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8" w:hanging="2"/>
        <w:rPr>
          <w:color w:val="FF0000"/>
          <w:sz w:val="21"/>
          <w:szCs w:val="21"/>
        </w:rPr>
      </w:pPr>
      <w:r>
        <w:rPr>
          <w:rFonts w:hint="eastAsia"/>
          <w:color w:val="FF0000"/>
          <w:sz w:val="21"/>
          <w:szCs w:val="21"/>
        </w:rPr>
        <w:t>2、★ 部分为核心参数，不满足视为无效投标。</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color w:val="FF0000"/>
          <w:sz w:val="21"/>
          <w:szCs w:val="21"/>
        </w:rPr>
      </w:pPr>
      <w:r>
        <w:rPr>
          <w:rFonts w:hint="eastAsia" w:cs="宋体"/>
          <w:b/>
          <w:bCs/>
        </w:rPr>
        <w:t>（一）</w:t>
      </w:r>
      <w:commentRangeStart w:id="0"/>
      <w:r>
        <w:rPr>
          <w:rFonts w:hint="eastAsia" w:cs="宋体"/>
          <w:b/>
          <w:bCs/>
        </w:rPr>
        <w:t>采购清单</w:t>
      </w:r>
      <w:commentRangeEnd w:id="0"/>
      <w:r>
        <w:rPr>
          <w:rStyle w:val="11"/>
          <w:color w:val="auto"/>
          <w:kern w:val="2"/>
        </w:rPr>
        <w:commentReference w:id="0"/>
      </w:r>
      <w:r>
        <w:rPr>
          <w:b/>
          <w:bCs/>
        </w:rPr>
        <w:t> </w:t>
      </w:r>
    </w:p>
    <w:tbl>
      <w:tblPr>
        <w:tblStyle w:val="9"/>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846"/>
        <w:gridCol w:w="43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840" w:type="dxa"/>
          </w:tcPr>
          <w:p>
            <w:pPr>
              <w:pStyle w:val="2"/>
              <w:jc w:val="both"/>
            </w:pPr>
            <w:r>
              <w:rPr>
                <w:rFonts w:hint="eastAsia"/>
              </w:rPr>
              <w:t>项目名称</w:t>
            </w:r>
          </w:p>
        </w:tc>
        <w:tc>
          <w:tcPr>
            <w:tcW w:w="846" w:type="dxa"/>
          </w:tcPr>
          <w:p>
            <w:pPr>
              <w:pStyle w:val="2"/>
              <w:jc w:val="both"/>
            </w:pPr>
            <w:r>
              <w:rPr>
                <w:rFonts w:hint="eastAsia"/>
              </w:rPr>
              <w:t>数量</w:t>
            </w:r>
          </w:p>
        </w:tc>
        <w:tc>
          <w:tcPr>
            <w:tcW w:w="4394" w:type="dxa"/>
          </w:tcPr>
          <w:p>
            <w:pPr>
              <w:pStyle w:val="2"/>
              <w:jc w:val="both"/>
            </w:pPr>
            <w:r>
              <w:rPr>
                <w:rFonts w:hint="eastAsia"/>
              </w:rPr>
              <w:t>产品用途与说明</w:t>
            </w:r>
          </w:p>
        </w:tc>
        <w:tc>
          <w:tcPr>
            <w:tcW w:w="1701" w:type="dxa"/>
          </w:tcPr>
          <w:p>
            <w:pPr>
              <w:pStyle w:val="2"/>
              <w:jc w:val="both"/>
            </w:pPr>
            <w:r>
              <w:rPr>
                <w:rFonts w:hint="eastAsia"/>
              </w:rPr>
              <w:t>实施地点</w:t>
            </w:r>
          </w:p>
        </w:tc>
      </w:tr>
      <w:sdt>
        <w:sdtPr>
          <w:alias w:val="根据实际情况填写"/>
          <w:tag w:val="根据实际情况填写"/>
          <w:id w:val="-1110810611"/>
          <w:placeholder>
            <w:docPart w:val="{5d77395c-d697-47e8-bbea-19f837e5012a}"/>
          </w:placeholder>
          <w15:color w:val="FF6600"/>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840" w:type="dxa"/>
              </w:tcPr>
              <w:p>
                <w:pPr>
                  <w:pStyle w:val="2"/>
                  <w:jc w:val="both"/>
                  <w:rPr>
                    <w:rFonts w:hint="eastAsia"/>
                  </w:rPr>
                </w:pPr>
                <w:r>
                  <w:rPr>
                    <w:rFonts w:hint="eastAsia"/>
                  </w:rPr>
                  <w:t>医用洗手液</w:t>
                </w:r>
              </w:p>
            </w:tc>
            <w:tc>
              <w:tcPr>
                <w:tcW w:w="846" w:type="dxa"/>
              </w:tcPr>
              <w:p>
                <w:pPr>
                  <w:pStyle w:val="2"/>
                  <w:jc w:val="both"/>
                  <w:rPr>
                    <w:rFonts w:hint="eastAsia"/>
                  </w:rPr>
                </w:pPr>
                <w:r>
                  <w:rPr>
                    <w:rFonts w:hint="eastAsia"/>
                  </w:rPr>
                  <w:t>7000瓶</w:t>
                </w:r>
              </w:p>
            </w:tc>
            <w:tc>
              <w:tcPr>
                <w:tcW w:w="4394" w:type="dxa"/>
              </w:tcPr>
              <w:p>
                <w:pPr>
                  <w:pStyle w:val="2"/>
                  <w:jc w:val="both"/>
                  <w:rPr>
                    <w:rFonts w:hint="eastAsia"/>
                  </w:rPr>
                </w:pPr>
                <w:r>
                  <w:rPr>
                    <w:rFonts w:hint="eastAsia"/>
                  </w:rPr>
                  <w:t>见技术规格参数要求</w:t>
                </w:r>
              </w:p>
            </w:tc>
            <w:tc>
              <w:tcPr>
                <w:tcW w:w="1701" w:type="dxa"/>
              </w:tcPr>
              <w:p>
                <w:pPr>
                  <w:pStyle w:val="2"/>
                  <w:jc w:val="both"/>
                  <w:rPr>
                    <w:rFonts w:hint="eastAsia"/>
                  </w:rPr>
                </w:pPr>
                <w:r>
                  <w:rPr>
                    <w:rFonts w:hint="eastAsia"/>
                  </w:rPr>
                  <w:t>广西壮族自治区桂东人民医院</w:t>
                </w:r>
              </w:p>
              <w:p>
                <w:pPr>
                  <w:pStyle w:val="2"/>
                  <w:jc w:val="both"/>
                </w:pPr>
              </w:p>
            </w:tc>
          </w:tr>
        </w:sdtContent>
      </w:sdt>
    </w:tbl>
    <w:p>
      <w:pPr>
        <w:widowControl/>
        <w:numPr>
          <w:ilvl w:val="0"/>
          <w:numId w:val="1"/>
        </w:numPr>
        <w:spacing w:line="360" w:lineRule="auto"/>
        <w:ind w:left="-708" w:leftChars="-337"/>
        <w:jc w:val="left"/>
      </w:pPr>
      <w:r>
        <w:rPr>
          <w:rFonts w:hint="eastAsia" w:cs="宋体"/>
          <w:b/>
          <w:bCs/>
          <w:kern w:val="0"/>
          <w:sz w:val="24"/>
          <w:szCs w:val="24"/>
        </w:rPr>
        <w:t>技术规格参数</w:t>
      </w:r>
    </w:p>
    <w:sdt>
      <w:sdtPr>
        <w:rPr>
          <w:rFonts w:hint="eastAsia" w:ascii="Times New Roman" w:hAnsi="Times New Roman" w:eastAsia="宋体" w:cs="Times New Roman"/>
          <w:color w:val="000000"/>
          <w:kern w:val="0"/>
          <w:sz w:val="24"/>
          <w:szCs w:val="24"/>
          <w:lang w:val="en-US" w:eastAsia="zh-CN" w:bidi="ar-SA"/>
        </w:rPr>
        <w:id w:val="147471302"/>
        <w15:repeatingSection/>
      </w:sdtPr>
      <w:sdtEndPr>
        <w:rPr>
          <w:rFonts w:hint="eastAsia" w:ascii="Times New Roman" w:hAnsi="Times New Roman" w:eastAsia="宋体" w:cs="Times New Roman"/>
          <w:color w:val="000000"/>
          <w:kern w:val="0"/>
          <w:sz w:val="24"/>
          <w:szCs w:val="24"/>
          <w:lang w:val="en-US" w:eastAsia="zh-CN" w:bidi="ar-SA"/>
        </w:rPr>
      </w:sdtEndPr>
      <w:sdtContent>
        <w:sdt>
          <w:sdtPr>
            <w:rPr>
              <w:rFonts w:hint="eastAsia" w:ascii="Times New Roman" w:hAnsi="Times New Roman" w:eastAsia="宋体" w:cs="Times New Roman"/>
              <w:color w:val="000000"/>
              <w:kern w:val="0"/>
              <w:sz w:val="24"/>
              <w:szCs w:val="24"/>
              <w:lang w:val="en-US" w:eastAsia="zh-CN" w:bidi="ar-SA"/>
            </w:rPr>
            <w:id w:val="147467374"/>
            <w:placeholder>
              <w:docPart w:val="{577edb77-1249-4f54-ad69-ba801eb50a32}"/>
            </w:placeholder>
            <w15:repeatingSectionItem/>
          </w:sdtPr>
          <w:sdtEndPr>
            <w:rPr>
              <w:rFonts w:hint="eastAsia" w:ascii="Times New Roman" w:hAnsi="Times New Roman" w:eastAsia="宋体" w:cs="Times New Roman"/>
              <w:color w:val="000000"/>
              <w:kern w:val="0"/>
              <w:sz w:val="24"/>
              <w:szCs w:val="24"/>
              <w:lang w:val="en-US" w:eastAsia="zh-CN" w:bidi="ar-SA"/>
            </w:rPr>
          </w:sdtEndPr>
          <w:sdtContent>
            <w:p>
              <w:pPr>
                <w:tabs>
                  <w:tab w:val="left" w:pos="720"/>
                </w:tabs>
                <w:autoSpaceDE w:val="0"/>
                <w:autoSpaceDN w:val="0"/>
                <w:adjustRightInd w:val="0"/>
                <w:snapToGrid w:val="0"/>
                <w:textAlignment w:val="baseline"/>
                <w:rPr>
                  <w:rFonts w:hint="eastAsia" w:ascii="宋体" w:hAnsi="宋体" w:eastAsiaTheme="minorEastAsia"/>
                  <w:b/>
                  <w:color w:val="000000" w:themeColor="text1"/>
                  <w:spacing w:val="20"/>
                  <w:szCs w:val="21"/>
                  <w:lang w:eastAsia="zh-CN"/>
                  <w14:textFill>
                    <w14:solidFill>
                      <w14:schemeClr w14:val="tx1"/>
                    </w14:solidFill>
                  </w14:textFill>
                </w:rPr>
              </w:pPr>
            </w:p>
            <w:tbl>
              <w:tblPr>
                <w:tblStyle w:val="9"/>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622"/>
                <w:gridCol w:w="3027"/>
                <w:gridCol w:w="1230"/>
                <w:gridCol w:w="1155"/>
                <w:gridCol w:w="99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76" w:type="dxa"/>
                    <w:vAlign w:val="center"/>
                  </w:tcPr>
                  <w:p>
                    <w:pPr>
                      <w:jc w:val="center"/>
                      <w:rPr>
                        <w:color w:val="000000" w:themeColor="text1"/>
                        <w:szCs w:val="21"/>
                        <w14:textFill>
                          <w14:solidFill>
                            <w14:schemeClr w14:val="tx1"/>
                          </w14:solidFill>
                        </w14:textFill>
                      </w:rPr>
                    </w:pPr>
                    <w:r>
                      <w:rPr>
                        <w:rFonts w:hint="eastAsia"/>
                      </w:rPr>
                      <w:t>货物名称</w:t>
                    </w:r>
                  </w:p>
                </w:tc>
                <w:tc>
                  <w:tcPr>
                    <w:tcW w:w="1622" w:type="dxa"/>
                    <w:vAlign w:val="center"/>
                  </w:tcPr>
                  <w:p>
                    <w:pPr>
                      <w:jc w:val="center"/>
                      <w:rPr>
                        <w:color w:val="000000" w:themeColor="text1"/>
                        <w:szCs w:val="21"/>
                        <w14:textFill>
                          <w14:solidFill>
                            <w14:schemeClr w14:val="tx1"/>
                          </w14:solidFill>
                        </w14:textFill>
                      </w:rPr>
                    </w:pPr>
                    <w:r>
                      <w:rPr>
                        <w:rFonts w:hint="eastAsia"/>
                      </w:rPr>
                      <w:t>成品规格</w:t>
                    </w:r>
                  </w:p>
                </w:tc>
                <w:tc>
                  <w:tcPr>
                    <w:tcW w:w="3027" w:type="dxa"/>
                    <w:vAlign w:val="center"/>
                  </w:tcPr>
                  <w:p>
                    <w:pPr>
                      <w:jc w:val="center"/>
                      <w:rPr>
                        <w:color w:val="000000" w:themeColor="text1"/>
                        <w:szCs w:val="21"/>
                        <w14:textFill>
                          <w14:solidFill>
                            <w14:schemeClr w14:val="tx1"/>
                          </w14:solidFill>
                        </w14:textFill>
                      </w:rPr>
                    </w:pPr>
                    <w:r>
                      <w:rPr>
                        <w:rFonts w:hint="eastAsia"/>
                      </w:rPr>
                      <w:t>要求</w:t>
                    </w:r>
                  </w:p>
                </w:tc>
                <w:tc>
                  <w:tcPr>
                    <w:tcW w:w="1230" w:type="dxa"/>
                    <w:vAlign w:val="center"/>
                  </w:tcPr>
                  <w:p>
                    <w:pPr>
                      <w:jc w:val="center"/>
                      <w:rPr>
                        <w:color w:val="000000" w:themeColor="text1"/>
                        <w:szCs w:val="21"/>
                        <w:highlight w:val="none"/>
                        <w14:textFill>
                          <w14:solidFill>
                            <w14:schemeClr w14:val="tx1"/>
                          </w14:solidFill>
                        </w14:textFill>
                      </w:rPr>
                    </w:pPr>
                    <w:r>
                      <w:rPr>
                        <w:rFonts w:hint="eastAsia"/>
                      </w:rPr>
                      <w:t>2020年使用金额(元)</w:t>
                    </w:r>
                  </w:p>
                </w:tc>
                <w:tc>
                  <w:tcPr>
                    <w:tcW w:w="1155" w:type="dxa"/>
                    <w:vAlign w:val="center"/>
                  </w:tcPr>
                  <w:p>
                    <w:pPr>
                      <w:jc w:val="center"/>
                      <w:rPr>
                        <w:color w:val="000000" w:themeColor="text1"/>
                        <w:szCs w:val="21"/>
                        <w:highlight w:val="none"/>
                        <w14:textFill>
                          <w14:solidFill>
                            <w14:schemeClr w14:val="tx1"/>
                          </w14:solidFill>
                        </w14:textFill>
                      </w:rPr>
                    </w:pPr>
                    <w:r>
                      <w:rPr>
                        <w:rFonts w:hint="eastAsia"/>
                      </w:rPr>
                      <w:t>控制价2020价格(包/元)</w:t>
                    </w:r>
                  </w:p>
                </w:tc>
                <w:tc>
                  <w:tcPr>
                    <w:tcW w:w="990" w:type="dxa"/>
                    <w:vAlign w:val="center"/>
                  </w:tcPr>
                  <w:p>
                    <w:pPr>
                      <w:jc w:val="center"/>
                      <w:rPr>
                        <w:rFonts w:hint="default" w:eastAsiaTheme="minorEastAsia"/>
                        <w:color w:val="000000" w:themeColor="text1"/>
                        <w:szCs w:val="21"/>
                        <w:highlight w:val="none"/>
                        <w:lang w:val="en-US" w:eastAsia="zh-CN"/>
                        <w14:textFill>
                          <w14:solidFill>
                            <w14:schemeClr w14:val="tx1"/>
                          </w14:solidFill>
                        </w14:textFill>
                      </w:rPr>
                    </w:pPr>
                    <w:r>
                      <w:rPr>
                        <w:rFonts w:hint="eastAsia"/>
                      </w:rPr>
                      <w:t>2021年采购数量</w:t>
                    </w:r>
                  </w:p>
                </w:tc>
                <w:tc>
                  <w:tcPr>
                    <w:tcW w:w="1005" w:type="dxa"/>
                    <w:vAlign w:val="center"/>
                  </w:tcPr>
                  <w:p>
                    <w:pPr>
                      <w:jc w:val="center"/>
                      <w:rPr>
                        <w:color w:val="000000" w:themeColor="text1"/>
                        <w:szCs w:val="21"/>
                        <w:highlight w:val="none"/>
                        <w14:textFill>
                          <w14:solidFill>
                            <w14:schemeClr w14:val="tx1"/>
                          </w14:solidFill>
                        </w14:textFill>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876" w:type="dxa"/>
                    <w:vAlign w:val="center"/>
                  </w:tcPr>
                  <w:p>
                    <w:pPr>
                      <w:jc w:val="center"/>
                      <w:rPr>
                        <w:rFonts w:hint="eastAsia" w:eastAsiaTheme="minorEastAsia"/>
                        <w:color w:val="000000" w:themeColor="text1"/>
                        <w:szCs w:val="21"/>
                        <w:lang w:eastAsia="zh-CN"/>
                        <w14:textFill>
                          <w14:solidFill>
                            <w14:schemeClr w14:val="tx1"/>
                          </w14:solidFill>
                        </w14:textFill>
                      </w:rPr>
                    </w:pPr>
                    <w:r>
                      <w:rPr>
                        <w:rFonts w:hint="eastAsia"/>
                      </w:rPr>
                      <w:t>医用洗手液</w:t>
                    </w:r>
                  </w:p>
                </w:tc>
                <w:tc>
                  <w:tcPr>
                    <w:tcW w:w="1622" w:type="dxa"/>
                    <w:vAlign w:val="center"/>
                  </w:tcPr>
                  <w:p>
                    <w:pPr>
                      <w:spacing w:line="240" w:lineRule="exact"/>
                      <w:jc w:val="both"/>
                      <w:rPr>
                        <w:rFonts w:hint="eastAsia"/>
                        <w:color w:val="000000" w:themeColor="text1"/>
                        <w:szCs w:val="21"/>
                        <w14:textFill>
                          <w14:solidFill>
                            <w14:schemeClr w14:val="tx1"/>
                          </w14:solidFill>
                        </w14:textFill>
                      </w:rPr>
                    </w:pPr>
                    <w:r>
                      <w:rPr>
                        <w:rFonts w:hint="eastAsia"/>
                      </w:rPr>
                      <w:t>包装:塑料瓶</w:t>
                    </w:r>
                  </w:p>
                  <w:p>
                    <w:pPr>
                      <w:spacing w:line="240" w:lineRule="exact"/>
                      <w:jc w:val="both"/>
                      <w:rPr>
                        <w:rFonts w:hint="eastAsia"/>
                        <w:color w:val="000000" w:themeColor="text1"/>
                        <w:szCs w:val="21"/>
                        <w14:textFill>
                          <w14:solidFill>
                            <w14:schemeClr w14:val="tx1"/>
                          </w14:solidFill>
                        </w14:textFill>
                      </w:rPr>
                    </w:pPr>
                    <w:r>
                      <w:rPr>
                        <w:rFonts w:hint="eastAsia"/>
                      </w:rPr>
                      <w:t>规格:500ml</w:t>
                    </w:r>
                  </w:p>
                  <w:p>
                    <w:pPr>
                      <w:spacing w:line="240" w:lineRule="exact"/>
                      <w:jc w:val="both"/>
                      <w:rPr>
                        <w:rFonts w:hint="eastAsia"/>
                        <w:color w:val="000000" w:themeColor="text1"/>
                        <w:szCs w:val="21"/>
                        <w14:textFill>
                          <w14:solidFill>
                            <w14:schemeClr w14:val="tx1"/>
                          </w14:solidFill>
                        </w14:textFill>
                      </w:rPr>
                    </w:pPr>
                    <w:r>
                      <w:rPr>
                        <w:rFonts w:hint="eastAsia"/>
                      </w:rPr>
                      <w:t>剂型：液体</w:t>
                    </w:r>
                  </w:p>
                  <w:p>
                    <w:pPr>
                      <w:spacing w:line="240" w:lineRule="exact"/>
                      <w:jc w:val="center"/>
                      <w:rPr>
                        <w:rFonts w:hint="eastAsia"/>
                        <w:color w:val="000000" w:themeColor="text1"/>
                        <w:szCs w:val="21"/>
                        <w14:textFill>
                          <w14:solidFill>
                            <w14:schemeClr w14:val="tx1"/>
                          </w14:solidFill>
                        </w14:textFill>
                      </w:rPr>
                    </w:pPr>
                    <w:r>
                      <w:rPr>
                        <w:rFonts w:hint="eastAsia"/>
                      </w:rPr>
                      <w:t>外观：透明稠状液体</w:t>
                    </w:r>
                  </w:p>
                  <w:p>
                    <w:pPr>
                      <w:spacing w:line="240" w:lineRule="exact"/>
                      <w:jc w:val="center"/>
                      <w:rPr>
                        <w:rFonts w:hint="eastAsia"/>
                        <w:color w:val="000000" w:themeColor="text1"/>
                        <w:szCs w:val="21"/>
                        <w14:textFill>
                          <w14:solidFill>
                            <w14:schemeClr w14:val="tx1"/>
                          </w14:solidFill>
                        </w14:textFill>
                      </w:rPr>
                    </w:pPr>
                    <w:r>
                      <w:rPr>
                        <w:rFonts w:hint="eastAsia"/>
                      </w:rPr>
                      <w:t>气味：微清香味</w:t>
                    </w:r>
                  </w:p>
                  <w:p>
                    <w:pPr>
                      <w:spacing w:line="240" w:lineRule="exact"/>
                      <w:jc w:val="both"/>
                      <w:rPr>
                        <w:rFonts w:hint="eastAsia"/>
                        <w:color w:val="000000" w:themeColor="text1"/>
                        <w:szCs w:val="21"/>
                        <w14:textFill>
                          <w14:solidFill>
                            <w14:schemeClr w14:val="tx1"/>
                          </w14:solidFill>
                        </w14:textFill>
                      </w:rPr>
                    </w:pPr>
                    <w:r>
                      <w:rPr>
                        <w:rFonts w:hint="eastAsia"/>
                      </w:rPr>
                      <w:t>PH值：7.4</w:t>
                    </w:r>
                  </w:p>
                  <w:p>
                    <w:pPr>
                      <w:spacing w:line="240" w:lineRule="exact"/>
                      <w:jc w:val="center"/>
                      <w:rPr>
                        <w:color w:val="000000" w:themeColor="text1"/>
                        <w:szCs w:val="21"/>
                        <w14:textFill>
                          <w14:solidFill>
                            <w14:schemeClr w14:val="tx1"/>
                          </w14:solidFill>
                        </w14:textFill>
                      </w:rPr>
                    </w:pPr>
                  </w:p>
                </w:tc>
                <w:tc>
                  <w:tcPr>
                    <w:tcW w:w="3027" w:type="dxa"/>
                    <w:vAlign w:val="center"/>
                  </w:tcPr>
                  <w:p>
                    <w:pPr>
                      <w:spacing w:line="240" w:lineRule="exact"/>
                      <w:rPr>
                        <w:rFonts w:hint="eastAsia"/>
                        <w:szCs w:val="21"/>
                        <w:lang w:eastAsia="zh-CN"/>
                      </w:rPr>
                    </w:pPr>
                    <w:r>
                      <w:rPr>
                        <w:rFonts w:hint="eastAsia"/>
                      </w:rPr>
                      <w:t>性能：去污、护肤、有较强的抑菌的作用，对大肠杆菌、金黄色葡萄球菌抑菌率100%。</w:t>
                    </w:r>
                  </w:p>
                  <w:p>
                    <w:pPr>
                      <w:spacing w:line="240" w:lineRule="exact"/>
                      <w:rPr>
                        <w:rFonts w:hint="eastAsia"/>
                        <w:szCs w:val="21"/>
                        <w:lang w:eastAsia="zh-CN"/>
                      </w:rPr>
                    </w:pPr>
                    <w:r>
                      <w:rPr>
                        <w:rFonts w:hint="eastAsia"/>
                      </w:rPr>
                      <w:t>其他要求附后。</w:t>
                    </w:r>
                  </w:p>
                </w:tc>
                <w:tc>
                  <w:tcPr>
                    <w:tcW w:w="1230" w:type="dxa"/>
                    <w:vAlign w:val="center"/>
                  </w:tcPr>
                  <w:p>
                    <w:pPr>
                      <w:jc w:val="center"/>
                      <w:rPr>
                        <w:rFonts w:hint="default" w:eastAsiaTheme="minorEastAsia"/>
                        <w:color w:val="000000" w:themeColor="text1"/>
                        <w:szCs w:val="21"/>
                        <w:highlight w:val="none"/>
                        <w:lang w:val="en-US" w:eastAsia="zh-CN"/>
                        <w14:textFill>
                          <w14:solidFill>
                            <w14:schemeClr w14:val="tx1"/>
                          </w14:solidFill>
                        </w14:textFill>
                      </w:rPr>
                    </w:pPr>
                    <w:r>
                      <w:rPr>
                        <w:rFonts w:hint="eastAsia"/>
                      </w:rPr>
                      <w:t>44800</w:t>
                    </w:r>
                  </w:p>
                </w:tc>
                <w:tc>
                  <w:tcPr>
                    <w:tcW w:w="1155" w:type="dxa"/>
                    <w:vAlign w:val="center"/>
                  </w:tcPr>
                  <w:p>
                    <w:pPr>
                      <w:jc w:val="center"/>
                      <w:rPr>
                        <w:color w:val="000000" w:themeColor="text1"/>
                        <w:szCs w:val="21"/>
                        <w:highlight w:val="none"/>
                        <w14:textFill>
                          <w14:solidFill>
                            <w14:schemeClr w14:val="tx1"/>
                          </w14:solidFill>
                        </w14:textFill>
                      </w:rPr>
                    </w:pPr>
                    <w:r>
                      <w:rPr>
                        <w:rFonts w:hint="eastAsia"/>
                      </w:rPr>
                      <w:t>7</w:t>
                    </w:r>
                  </w:p>
                </w:tc>
                <w:tc>
                  <w:tcPr>
                    <w:tcW w:w="990" w:type="dxa"/>
                    <w:vAlign w:val="center"/>
                  </w:tcPr>
                  <w:p>
                    <w:pPr>
                      <w:jc w:val="center"/>
                      <w:rPr>
                        <w:rFonts w:hint="default" w:eastAsiaTheme="minorEastAsia"/>
                        <w:color w:val="000000" w:themeColor="text1"/>
                        <w:szCs w:val="21"/>
                        <w:highlight w:val="none"/>
                        <w:lang w:val="en-US" w:eastAsia="zh-CN"/>
                        <w14:textFill>
                          <w14:solidFill>
                            <w14:schemeClr w14:val="tx1"/>
                          </w14:solidFill>
                        </w14:textFill>
                      </w:rPr>
                    </w:pPr>
                    <w:r>
                      <w:rPr>
                        <w:rFonts w:hint="eastAsia"/>
                      </w:rPr>
                      <w:t>7000瓶</w:t>
                    </w:r>
                  </w:p>
                </w:tc>
                <w:tc>
                  <w:tcPr>
                    <w:tcW w:w="1005" w:type="dxa"/>
                    <w:vAlign w:val="center"/>
                  </w:tcPr>
                  <w:p>
                    <w:pPr>
                      <w:jc w:val="center"/>
                      <w:rPr>
                        <w:color w:val="000000" w:themeColor="text1"/>
                        <w:szCs w:val="21"/>
                        <w:highlight w:val="none"/>
                        <w14:textFill>
                          <w14:solidFill>
                            <w14:schemeClr w14:val="tx1"/>
                          </w14:solidFill>
                        </w14:textFill>
                      </w:rPr>
                    </w:pPr>
                    <w:r>
                      <w:rPr>
                        <w:rFonts w:hint="eastAsia"/>
                      </w:rPr>
                      <w:t>（每次按采购员发出的订单数量供货，一年内供完））</w:t>
                    </w:r>
                  </w:p>
                </w:tc>
              </w:tr>
            </w:tbl>
            <w:p>
              <w:pPr>
                <w:pStyle w:val="2"/>
              </w:pPr>
            </w:p>
          </w:sdtContent>
        </w:sdt>
        <w:sdt>
          <w:sdtPr>
            <w:rPr>
              <w:rFonts w:hint="eastAsia" w:ascii="Times New Roman" w:hAnsi="Times New Roman" w:eastAsia="宋体" w:cs="Times New Roman"/>
              <w:color w:val="000000"/>
              <w:kern w:val="0"/>
              <w:sz w:val="24"/>
              <w:szCs w:val="24"/>
              <w:lang w:val="en-US" w:eastAsia="zh-CN" w:bidi="ar-SA"/>
            </w:rPr>
            <w:id w:val="147466972"/>
            <w:placeholder>
              <w:docPart w:val="{a00c6787-3008-404b-afbe-e64524211143}"/>
            </w:placeholder>
            <w15:repeatingSectionItem/>
          </w:sdtPr>
          <w:sdtEndPr>
            <w:rPr>
              <w:rFonts w:hint="eastAsia" w:ascii="Times New Roman" w:hAnsi="Times New Roman" w:eastAsia="宋体" w:cs="Times New Roman"/>
              <w:color w:val="000000"/>
              <w:kern w:val="0"/>
              <w:sz w:val="24"/>
              <w:szCs w:val="24"/>
              <w:lang w:val="en-US" w:eastAsia="zh-CN" w:bidi="ar-SA"/>
            </w:rPr>
          </w:sdtEndPr>
          <w:sdtContent>
            <w:p>
              <w:pPr>
                <w:spacing w:line="440" w:lineRule="exact"/>
                <w:ind w:firstLine="540"/>
                <w:rPr>
                  <w:sz w:val="28"/>
                  <w:szCs w:val="28"/>
                </w:rPr>
              </w:pPr>
              <w:r>
                <w:rPr>
                  <w:rFonts w:hint="eastAsia"/>
                </w:rPr>
                <w:t>（一）质量要求：含量测定要求，需</w:t>
              </w:r>
              <w:r>
                <w:t>提供相关的证明、检测报告或证书</w:t>
              </w:r>
              <w:r>
                <w:rPr>
                  <w:rFonts w:hint="eastAsia"/>
                </w:rPr>
                <w:t>:</w:t>
              </w:r>
            </w:p>
            <w:p>
              <w:pPr>
                <w:spacing w:line="440" w:lineRule="exact"/>
                <w:ind w:firstLine="540"/>
                <w:rPr>
                  <w:sz w:val="28"/>
                  <w:szCs w:val="28"/>
                </w:rPr>
              </w:pPr>
              <w:r>
                <w:rPr>
                  <w:rFonts w:hint="eastAsia"/>
                </w:rPr>
                <w:t>①三氯羟基二苯醚含量为0.08%</w:t>
              </w:r>
              <w:r>
                <w:t>。</w:t>
              </w:r>
            </w:p>
            <w:p>
              <w:pPr>
                <w:spacing w:line="440" w:lineRule="exact"/>
                <w:ind w:firstLine="540"/>
                <w:rPr>
                  <w:sz w:val="28"/>
                  <w:szCs w:val="28"/>
                </w:rPr>
              </w:pPr>
              <w:r>
                <w:rPr>
                  <w:rFonts w:hint="eastAsia"/>
                </w:rPr>
                <w:t>②37度恒温箱放置90天后三氯羟基二苯醚含量下降率为0%。</w:t>
              </w:r>
            </w:p>
            <w:p>
              <w:pPr>
                <w:spacing w:line="440" w:lineRule="exact"/>
                <w:ind w:firstLine="540"/>
                <w:rPr>
                  <w:rFonts w:asciiTheme="minorEastAsia" w:hAnsiTheme="minorEastAsia"/>
                  <w:sz w:val="28"/>
                  <w:szCs w:val="28"/>
                </w:rPr>
              </w:pPr>
              <w:r>
                <w:rPr>
                  <w:rFonts w:hint="eastAsia"/>
                </w:rPr>
                <w:t>③微生物污染检测：细菌菌落总数、真菌菌落总数、大肠菌群、绿脓杆菌、金黄色葡萄球菌、溶血性链球菌符合GB15979-2002&lt;&lt;一次性使用卫生用品卫生标准&gt;&gt;的规定。</w:t>
              </w:r>
            </w:p>
            <w:p>
              <w:pPr>
                <w:spacing w:line="440" w:lineRule="exact"/>
                <w:ind w:left="538" w:leftChars="256"/>
                <w:rPr>
                  <w:rFonts w:hint="eastAsia"/>
                </w:rPr>
              </w:pPr>
              <w:r>
                <w:rPr>
                  <w:rFonts w:hint="eastAsia"/>
                </w:rPr>
                <w:t>④医用洗手液作用1min，对金黄色葡萄球菌和大肠杆菌的抑菌率均为100%。</w:t>
              </w:r>
            </w:p>
            <w:p>
              <w:pPr>
                <w:spacing w:line="440" w:lineRule="exact"/>
                <w:ind w:left="538" w:leftChars="256"/>
                <w:rPr>
                  <w:rFonts w:hint="eastAsia" w:asciiTheme="minorEastAsia" w:hAnsiTheme="minorEastAsia"/>
                  <w:sz w:val="28"/>
                  <w:szCs w:val="28"/>
                </w:rPr>
              </w:pPr>
              <w:r>
                <w:rPr>
                  <w:rFonts w:hint="eastAsia"/>
                </w:rPr>
                <w:t>⑤一次性完整皮肤刺激试验：轻度刺激。</w:t>
              </w:r>
            </w:p>
            <w:p>
              <w:pPr>
                <w:spacing w:line="440" w:lineRule="exact"/>
                <w:ind w:left="538" w:leftChars="256"/>
                <w:rPr>
                  <w:rFonts w:hint="eastAsia" w:asciiTheme="minorEastAsia" w:hAnsiTheme="minorEastAsia"/>
                  <w:sz w:val="28"/>
                  <w:szCs w:val="28"/>
                </w:rPr>
              </w:pPr>
              <w:r>
                <w:rPr>
                  <w:rFonts w:asciiTheme="minorEastAsia" w:hAnsiTheme="minorEastAsia"/>
                  <w:sz w:val="28"/>
                  <w:szCs w:val="28"/>
                </w:rPr>
                <w:fldChar w:fldCharType="begin"/>
              </w:r>
              <w:r>
                <w:instrText xml:space="preserve"> </w:instrText>
              </w:r>
              <w:r>
                <w:rPr>
                  <w:rFonts w:hint="eastAsia"/>
                </w:rPr>
                <w:instrText xml:space="preserve">= 6 \* GB3</w:instrText>
              </w:r>
              <w:r>
                <w:instrText xml:space="preserve"> </w:instrText>
              </w:r>
              <w:r>
                <w:rPr>
                  <w:rFonts w:asciiTheme="minorEastAsia" w:hAnsiTheme="minorEastAsia"/>
                  <w:sz w:val="28"/>
                  <w:szCs w:val="28"/>
                </w:rPr>
                <w:fldChar w:fldCharType="separate"/>
              </w:r>
              <w:r>
                <w:rPr>
                  <w:rFonts w:hint="eastAsia"/>
                </w:rPr>
                <w:t>⑥</w:t>
              </w:r>
              <w:r>
                <w:rPr>
                  <w:rFonts w:asciiTheme="minorEastAsia" w:hAnsiTheme="minorEastAsia"/>
                  <w:sz w:val="28"/>
                  <w:szCs w:val="28"/>
                </w:rPr>
                <w:fldChar w:fldCharType="end"/>
              </w:r>
              <w:r>
                <w:t>取得</w:t>
              </w:r>
              <w:r>
                <w:rPr>
                  <w:rFonts w:hint="eastAsia"/>
                </w:rPr>
                <w:t>卫消证字生产许可。</w:t>
              </w:r>
            </w:p>
            <w:p>
              <w:pPr>
                <w:spacing w:line="440" w:lineRule="exact"/>
                <w:rPr>
                  <w:sz w:val="28"/>
                  <w:szCs w:val="28"/>
                </w:rPr>
              </w:pPr>
              <w:r>
                <w:rPr>
                  <w:rFonts w:hint="eastAsia"/>
                </w:rPr>
                <w:t xml:space="preserve">   （二）产品卫生指标：</w:t>
              </w:r>
            </w:p>
            <w:p>
              <w:pPr>
                <w:spacing w:line="440" w:lineRule="exact"/>
                <w:rPr>
                  <w:rFonts w:asciiTheme="minorEastAsia" w:hAnsiTheme="minorEastAsia"/>
                  <w:sz w:val="28"/>
                  <w:szCs w:val="28"/>
                </w:rPr>
              </w:pPr>
              <w:r>
                <w:rPr>
                  <w:rFonts w:hint="eastAsia"/>
                </w:rPr>
                <w:t xml:space="preserve">   ①外观必须整洁，符合该卫生用品的固有的性状，不得有异常气味与异物。</w:t>
              </w:r>
            </w:p>
            <w:p>
              <w:pPr>
                <w:spacing w:line="440" w:lineRule="exact"/>
                <w:ind w:firstLine="315" w:firstLineChars="150"/>
                <w:rPr>
                  <w:rFonts w:asciiTheme="minorEastAsia" w:hAnsiTheme="minorEastAsia"/>
                  <w:sz w:val="28"/>
                  <w:szCs w:val="28"/>
                </w:rPr>
              </w:pPr>
              <w:r>
                <w:rPr>
                  <w:rFonts w:hint="eastAsia"/>
                </w:rPr>
                <w:t>②不得对皮肤与粘膜产生不良刺激与过敏反应及其他损害作用。</w:t>
              </w:r>
            </w:p>
            <w:p>
              <w:pPr>
                <w:spacing w:line="440" w:lineRule="exact"/>
                <w:ind w:firstLine="315" w:firstLineChars="150"/>
                <w:rPr>
                  <w:rFonts w:asciiTheme="minorEastAsia" w:hAnsiTheme="minorEastAsia"/>
                  <w:sz w:val="28"/>
                  <w:szCs w:val="28"/>
                </w:rPr>
              </w:pPr>
              <w:r>
                <w:rPr>
                  <w:rFonts w:hint="eastAsia"/>
                </w:rPr>
                <w:t>③产品必须符合表中微生物学指标：</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9"/>
                <w:gridCol w:w="1438"/>
                <w:gridCol w:w="1557"/>
                <w:gridCol w:w="1275"/>
                <w:gridCol w:w="1259"/>
                <w:gridCol w:w="15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42" w:type="dxa"/>
                    <w:vMerge w:val="restart"/>
                  </w:tcPr>
                  <w:p>
                    <w:pPr>
                      <w:spacing w:line="360" w:lineRule="exact"/>
                      <w:rPr>
                        <w:sz w:val="24"/>
                        <w:szCs w:val="24"/>
                      </w:rPr>
                    </w:pPr>
                    <w:r>
                      <w:rPr>
                        <w:rFonts w:hint="eastAsia"/>
                      </w:rPr>
                      <w:t>产品种类</w:t>
                    </w:r>
                  </w:p>
                </w:tc>
                <w:tc>
                  <w:tcPr>
                    <w:tcW w:w="8212" w:type="dxa"/>
                    <w:gridSpan w:val="5"/>
                  </w:tcPr>
                  <w:p>
                    <w:pPr>
                      <w:spacing w:line="360" w:lineRule="exact"/>
                      <w:ind w:firstLine="2760"/>
                      <w:rPr>
                        <w:sz w:val="24"/>
                        <w:szCs w:val="24"/>
                      </w:rPr>
                    </w:pPr>
                    <w:r>
                      <w:rPr>
                        <w:rFonts w:hint="eastAsia"/>
                      </w:rPr>
                      <w:t>微生物指数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42" w:type="dxa"/>
                    <w:vMerge w:val="continue"/>
                  </w:tcPr>
                  <w:p>
                    <w:pPr>
                      <w:spacing w:line="360" w:lineRule="exact"/>
                      <w:rPr>
                        <w:sz w:val="24"/>
                        <w:szCs w:val="24"/>
                      </w:rPr>
                    </w:pPr>
                  </w:p>
                </w:tc>
                <w:tc>
                  <w:tcPr>
                    <w:tcW w:w="1642" w:type="dxa"/>
                  </w:tcPr>
                  <w:p>
                    <w:pPr>
                      <w:spacing w:line="360" w:lineRule="exact"/>
                      <w:rPr>
                        <w:sz w:val="24"/>
                        <w:szCs w:val="24"/>
                      </w:rPr>
                    </w:pPr>
                    <w:r>
                      <w:rPr>
                        <w:rFonts w:hint="eastAsia"/>
                      </w:rPr>
                      <w:t>初始污染菌cfu/g</w:t>
                    </w:r>
                  </w:p>
                </w:tc>
                <w:tc>
                  <w:tcPr>
                    <w:tcW w:w="1786" w:type="dxa"/>
                  </w:tcPr>
                  <w:p>
                    <w:pPr>
                      <w:spacing w:line="360" w:lineRule="exact"/>
                      <w:rPr>
                        <w:rFonts w:asciiTheme="minorEastAsia" w:hAnsiTheme="minorEastAsia"/>
                        <w:sz w:val="24"/>
                        <w:szCs w:val="24"/>
                      </w:rPr>
                    </w:pPr>
                    <w:r>
                      <w:rPr>
                        <w:rFonts w:hint="eastAsia"/>
                      </w:rPr>
                      <w:t>细菌菌落总数</w:t>
                    </w:r>
                  </w:p>
                  <w:p>
                    <w:pPr>
                      <w:spacing w:line="360" w:lineRule="exact"/>
                      <w:rPr>
                        <w:sz w:val="24"/>
                        <w:szCs w:val="24"/>
                      </w:rPr>
                    </w:pPr>
                    <w:r>
                      <w:rPr>
                        <w:rFonts w:hint="eastAsia"/>
                      </w:rPr>
                      <w:t>cfu/g或fu/ml</w:t>
                    </w:r>
                  </w:p>
                </w:tc>
                <w:tc>
                  <w:tcPr>
                    <w:tcW w:w="1498" w:type="dxa"/>
                  </w:tcPr>
                  <w:p>
                    <w:pPr>
                      <w:spacing w:line="360" w:lineRule="exact"/>
                      <w:rPr>
                        <w:sz w:val="24"/>
                        <w:szCs w:val="24"/>
                      </w:rPr>
                    </w:pPr>
                    <w:r>
                      <w:rPr>
                        <w:rFonts w:hint="eastAsia"/>
                      </w:rPr>
                      <w:t>大肠菌群</w:t>
                    </w:r>
                  </w:p>
                </w:tc>
                <w:tc>
                  <w:tcPr>
                    <w:tcW w:w="1478" w:type="dxa"/>
                  </w:tcPr>
                  <w:p>
                    <w:pPr>
                      <w:spacing w:line="360" w:lineRule="exact"/>
                      <w:rPr>
                        <w:sz w:val="24"/>
                        <w:szCs w:val="24"/>
                      </w:rPr>
                    </w:pPr>
                    <w:r>
                      <w:rPr>
                        <w:rFonts w:hint="eastAsia"/>
                      </w:rPr>
                      <w:t>致病性化脓菌</w:t>
                    </w:r>
                  </w:p>
                </w:tc>
                <w:tc>
                  <w:tcPr>
                    <w:tcW w:w="1808" w:type="dxa"/>
                  </w:tcPr>
                  <w:p>
                    <w:pPr>
                      <w:spacing w:line="360" w:lineRule="exact"/>
                      <w:rPr>
                        <w:rFonts w:asciiTheme="minorEastAsia" w:hAnsiTheme="minorEastAsia"/>
                        <w:sz w:val="24"/>
                        <w:szCs w:val="24"/>
                      </w:rPr>
                    </w:pPr>
                    <w:r>
                      <w:rPr>
                        <w:rFonts w:hint="eastAsia"/>
                      </w:rPr>
                      <w:t>真菌菌落总数</w:t>
                    </w:r>
                  </w:p>
                  <w:p>
                    <w:pPr>
                      <w:spacing w:line="360" w:lineRule="exact"/>
                      <w:rPr>
                        <w:sz w:val="24"/>
                        <w:szCs w:val="24"/>
                      </w:rPr>
                    </w:pPr>
                    <w:r>
                      <w:rPr>
                        <w:rFonts w:hint="eastAsia"/>
                      </w:rPr>
                      <w:t>cfu/g或fu/ml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42" w:type="dxa"/>
                  </w:tcPr>
                  <w:p>
                    <w:pPr>
                      <w:spacing w:line="360" w:lineRule="exact"/>
                      <w:rPr>
                        <w:sz w:val="24"/>
                        <w:szCs w:val="24"/>
                      </w:rPr>
                    </w:pPr>
                    <w:r>
                      <w:rPr>
                        <w:rFonts w:hint="eastAsia"/>
                      </w:rPr>
                      <w:t>抗菌（抑菌）液体产品</w:t>
                    </w:r>
                  </w:p>
                </w:tc>
                <w:tc>
                  <w:tcPr>
                    <w:tcW w:w="1642" w:type="dxa"/>
                  </w:tcPr>
                  <w:p>
                    <w:pPr>
                      <w:spacing w:line="360" w:lineRule="exact"/>
                      <w:rPr>
                        <w:sz w:val="24"/>
                        <w:szCs w:val="24"/>
                      </w:rPr>
                    </w:pPr>
                  </w:p>
                </w:tc>
                <w:tc>
                  <w:tcPr>
                    <w:tcW w:w="1786" w:type="dxa"/>
                  </w:tcPr>
                  <w:p>
                    <w:pPr>
                      <w:spacing w:line="360" w:lineRule="exact"/>
                      <w:rPr>
                        <w:sz w:val="24"/>
                        <w:szCs w:val="24"/>
                      </w:rPr>
                    </w:pPr>
                    <w:r>
                      <w:rPr>
                        <w:rFonts w:hint="eastAsia"/>
                      </w:rPr>
                      <w:t>≤200</w:t>
                    </w:r>
                  </w:p>
                </w:tc>
                <w:tc>
                  <w:tcPr>
                    <w:tcW w:w="1498" w:type="dxa"/>
                  </w:tcPr>
                  <w:p>
                    <w:pPr>
                      <w:spacing w:line="360" w:lineRule="exact"/>
                      <w:rPr>
                        <w:sz w:val="24"/>
                        <w:szCs w:val="24"/>
                      </w:rPr>
                    </w:pPr>
                    <w:r>
                      <w:rPr>
                        <w:rFonts w:hint="eastAsia"/>
                      </w:rPr>
                      <w:t>不得检出</w:t>
                    </w:r>
                  </w:p>
                </w:tc>
                <w:tc>
                  <w:tcPr>
                    <w:tcW w:w="1478" w:type="dxa"/>
                  </w:tcPr>
                  <w:p>
                    <w:pPr>
                      <w:spacing w:line="360" w:lineRule="exact"/>
                      <w:rPr>
                        <w:sz w:val="24"/>
                        <w:szCs w:val="24"/>
                      </w:rPr>
                    </w:pPr>
                    <w:r>
                      <w:rPr>
                        <w:rFonts w:hint="eastAsia"/>
                      </w:rPr>
                      <w:t>不得检出</w:t>
                    </w:r>
                  </w:p>
                </w:tc>
                <w:tc>
                  <w:tcPr>
                    <w:tcW w:w="1808" w:type="dxa"/>
                  </w:tcPr>
                  <w:p>
                    <w:pPr>
                      <w:spacing w:line="360" w:lineRule="exact"/>
                      <w:rPr>
                        <w:sz w:val="24"/>
                        <w:szCs w:val="24"/>
                      </w:rPr>
                    </w:pPr>
                    <w:r>
                      <w:rPr>
                        <w:rFonts w:hint="eastAsia"/>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spacing w:line="360" w:lineRule="exact"/>
                      <w:rPr>
                        <w:sz w:val="24"/>
                        <w:szCs w:val="24"/>
                      </w:rPr>
                    </w:pPr>
                    <w:r>
                      <w:rPr>
                        <w:rFonts w:hint="eastAsia"/>
                      </w:rPr>
                      <w:t>致病性化脓菌指绿脓杆菌、金黄色葡萄球菌与溶血性链球菌。</w:t>
                    </w:r>
                  </w:p>
                </w:tc>
              </w:tr>
            </w:tbl>
            <w:p>
              <w:pPr>
                <w:spacing w:line="440" w:lineRule="exact"/>
                <w:ind w:firstLine="420" w:firstLineChars="200"/>
                <w:rPr>
                  <w:sz w:val="28"/>
                  <w:szCs w:val="28"/>
                </w:rPr>
              </w:pPr>
              <w:r>
                <w:rPr>
                  <w:rFonts w:hint="eastAsia"/>
                </w:rPr>
                <w:t>（三）原材料卫生要求</w:t>
              </w:r>
            </w:p>
            <w:p>
              <w:pPr>
                <w:spacing w:line="440" w:lineRule="exact"/>
                <w:ind w:firstLine="420" w:firstLineChars="200"/>
                <w:rPr>
                  <w:rFonts w:asciiTheme="minorEastAsia" w:hAnsiTheme="minorEastAsia"/>
                  <w:sz w:val="28"/>
                  <w:szCs w:val="28"/>
                </w:rPr>
              </w:pPr>
              <w:r>
                <w:rPr>
                  <w:rFonts w:hint="eastAsia"/>
                </w:rPr>
                <w:t>①原材料 应无毒、无害、无污染。</w:t>
              </w:r>
            </w:p>
            <w:p>
              <w:pPr>
                <w:spacing w:line="440" w:lineRule="exact"/>
                <w:ind w:firstLine="420" w:firstLineChars="200"/>
                <w:rPr>
                  <w:rFonts w:asciiTheme="minorEastAsia" w:hAnsiTheme="minorEastAsia"/>
                  <w:sz w:val="28"/>
                  <w:szCs w:val="28"/>
                </w:rPr>
              </w:pPr>
              <w:r>
                <w:rPr>
                  <w:rFonts w:hint="eastAsia"/>
                </w:rPr>
                <w:t>②对影响产品卫生质量的原材料应有相应的检验报告或证明材料。</w:t>
              </w:r>
            </w:p>
            <w:p>
              <w:pPr>
                <w:spacing w:line="440" w:lineRule="exact"/>
                <w:ind w:firstLine="420" w:firstLineChars="200"/>
                <w:rPr>
                  <w:rFonts w:hint="eastAsia" w:asciiTheme="minorEastAsia" w:hAnsiTheme="minorEastAsia" w:eastAsiaTheme="minorEastAsia"/>
                  <w:sz w:val="28"/>
                  <w:szCs w:val="28"/>
                  <w:lang w:eastAsia="zh-CN"/>
                </w:rPr>
              </w:pPr>
              <w:r>
                <w:rPr>
                  <w:rFonts w:hint="eastAsia"/>
                </w:rPr>
                <w:t>③禁止使用废弃的卫生用品作原材料和半成品。</w:t>
              </w:r>
            </w:p>
            <w:p>
              <w:pPr>
                <w:spacing w:line="440" w:lineRule="exact"/>
                <w:ind w:firstLine="420" w:firstLineChars="200"/>
                <w:rPr>
                  <w:rFonts w:hint="eastAsia"/>
                </w:rPr>
              </w:pPr>
              <w:r>
                <w:rPr>
                  <w:rFonts w:hint="eastAsia"/>
                </w:rPr>
                <w:t>产品识别要求：产品识别应符合《中华人民共和国产品质量法》的规定，并在产品包装上标明执行的卫生标准号以及生产日期和保质期（有效期）或生产批号和限定使用日期。</w:t>
              </w:r>
            </w:p>
            <w:p>
              <w:pPr>
                <w:spacing w:line="440" w:lineRule="exact"/>
                <w:ind w:firstLine="420" w:firstLineChars="200"/>
                <w:rPr>
                  <w:rFonts w:hint="eastAsia" w:asciiTheme="minorEastAsia" w:hAnsiTheme="minorEastAsia" w:cstheme="minorEastAsia"/>
                  <w:b/>
                  <w:sz w:val="28"/>
                  <w:szCs w:val="28"/>
                </w:rPr>
              </w:pPr>
              <w:r>
                <w:rPr>
                  <w:rFonts w:hint="eastAsia"/>
                </w:rPr>
                <w:t>（四）配送承诺：</w:t>
              </w:r>
            </w:p>
            <w:p>
              <w:pPr>
                <w:pStyle w:val="2"/>
                <w:rPr>
                  <w:rFonts w:hint="eastAsia"/>
                </w:rPr>
              </w:pPr>
              <w:r>
                <w:rPr>
                  <w:rFonts w:hint="eastAsia"/>
                </w:rPr>
                <w:t xml:space="preserve">  直接与产品接触的包装材料必须无毒、无害、清洁，产品所有包装材料具有足够的密封性和牢固性，以达到保证产品在正常的运输与贮存条件下不受污染的目的。</w:t>
              </w:r>
            </w:p>
            <w:p>
              <w:pPr>
                <w:pStyle w:val="2"/>
                <w:rPr>
                  <w:rFonts w:hint="eastAsia" w:eastAsia="宋体"/>
                  <w:lang w:eastAsia="zh-CN"/>
                </w:rPr>
              </w:pPr>
            </w:p>
          </w:sdtContent>
        </w:sdt>
      </w:sdtContent>
    </w:sdt>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1、以上产品必须是具备合法资质的制造商生产的全新正品，并完全满足招标采购文件的要求，若产品在运输或安装过程中损坏或擦伤须无偿调换相同产品。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color w:val="auto"/>
        </w:rPr>
      </w:pPr>
      <w:r>
        <w:rPr>
          <w:rFonts w:hint="eastAsia"/>
          <w:color w:val="auto"/>
        </w:rPr>
        <w:t>5、投标产品如包括必备的易损易耗备品备件和专用工具，竞标人应提供完整清单。</w:t>
      </w:r>
    </w:p>
    <w:p>
      <w:pPr>
        <w:pStyle w:val="2"/>
        <w:ind w:left="-708" w:leftChars="-337"/>
        <w:rPr>
          <w:rFonts w:cs="宋体"/>
          <w:b/>
          <w:bCs/>
        </w:rPr>
      </w:pPr>
      <w:r>
        <w:rPr>
          <w:rFonts w:hint="eastAsia" w:cs="宋体"/>
          <w:b/>
          <w:bCs/>
        </w:rPr>
        <w:t>（四）商务要求</w:t>
      </w:r>
    </w:p>
    <w:p>
      <w:pPr>
        <w:pStyle w:val="2"/>
        <w:ind w:left="-708" w:leftChars="-337"/>
        <w:rPr>
          <w:rFonts w:hint="eastAsia"/>
        </w:rPr>
      </w:pPr>
      <w:r>
        <w:rPr>
          <w:rFonts w:hint="eastAsia"/>
          <w:lang w:val="en-US" w:eastAsia="zh-CN"/>
        </w:rPr>
        <w:t>1、</w:t>
      </w:r>
      <w:r>
        <w:rPr>
          <w:rFonts w:hint="eastAsia"/>
        </w:rPr>
        <w:t>投标人为独立法人，并具备统一社会信用代码。</w:t>
      </w:r>
    </w:p>
    <w:p>
      <w:pPr>
        <w:pStyle w:val="2"/>
        <w:ind w:left="-708" w:leftChars="-337"/>
        <w:rPr>
          <w:rFonts w:hint="eastAsia"/>
        </w:rPr>
      </w:pPr>
      <w:r>
        <w:rPr>
          <w:rFonts w:hint="eastAsia"/>
          <w:lang w:val="en-US" w:eastAsia="zh-CN"/>
        </w:rPr>
        <w:t>2、</w:t>
      </w:r>
      <w:r>
        <w:rPr>
          <w:rFonts w:hint="eastAsia"/>
        </w:rPr>
        <w:t>经营范围必须与本采购项目实质性相符；</w:t>
      </w:r>
    </w:p>
    <w:p>
      <w:pPr>
        <w:pStyle w:val="2"/>
        <w:ind w:left="-708" w:leftChars="-337"/>
        <w:rPr>
          <w:rFonts w:hint="eastAsia"/>
        </w:rPr>
      </w:pPr>
      <w:r>
        <w:rPr>
          <w:rFonts w:hint="eastAsia"/>
          <w:lang w:val="en-US" w:eastAsia="zh-CN"/>
        </w:rPr>
        <w:t>3</w:t>
      </w:r>
      <w:r>
        <w:rPr>
          <w:rFonts w:hint="eastAsia"/>
        </w:rPr>
        <w:t>、参加本次采购活动前三年内，有重大违法、违纪记录的声明；被列入失信被执行人、重大税收违法案件当事人名单、政府采购严重违法失信行为记录名单及其他不符合《中华人民共和国政府采购法》第二十二条规定条件的供应商，将被拒绝参与本次招投标活动。（在“信用中国”网站（www.creditchina.gov.cn）或“中国政府采购网”（www.ccgp.gov.cn）查询相关供应商主体信用记录。）</w:t>
      </w:r>
    </w:p>
    <w:p>
      <w:pPr>
        <w:pStyle w:val="2"/>
        <w:ind w:left="-708" w:leftChars="-337"/>
        <w:rPr>
          <w:rFonts w:hint="eastAsia"/>
        </w:rPr>
      </w:pPr>
      <w:r>
        <w:rPr>
          <w:rFonts w:hint="eastAsia"/>
          <w:lang w:val="en-US" w:eastAsia="zh-CN"/>
        </w:rPr>
        <w:t>4</w:t>
      </w:r>
      <w:r>
        <w:rPr>
          <w:rFonts w:hint="eastAsia"/>
        </w:rPr>
        <w:t>、被列入我院投标人黑名单（在我院招投标活动中存在2次违规行为）未满3年的投标人将被拒绝参与本次招投标活动。</w:t>
      </w:r>
    </w:p>
    <w:p>
      <w:pPr>
        <w:pStyle w:val="2"/>
        <w:ind w:left="-708" w:leftChars="-337"/>
        <w:rPr>
          <w:rFonts w:hint="eastAsia"/>
        </w:rPr>
      </w:pPr>
      <w:r>
        <w:rPr>
          <w:rFonts w:hint="eastAsia"/>
          <w:lang w:val="en-US" w:eastAsia="zh-CN"/>
        </w:rPr>
        <w:t>5、</w:t>
      </w:r>
      <w:r>
        <w:rPr>
          <w:rFonts w:hint="eastAsia"/>
        </w:rPr>
        <w:t>有固定的经营场所，有适应项目需要的专业技术人员，具备相关项目的供货能力和售后服务能力，具有良好的商业信誉和财务状况；</w:t>
      </w:r>
    </w:p>
    <w:p>
      <w:pPr>
        <w:pStyle w:val="2"/>
        <w:ind w:left="-708" w:leftChars="-337"/>
        <w:rPr>
          <w:rFonts w:hint="eastAsia"/>
        </w:rPr>
      </w:pPr>
      <w:r>
        <w:rPr>
          <w:rFonts w:hint="eastAsia"/>
          <w:lang w:val="en-US" w:eastAsia="zh-CN"/>
        </w:rPr>
        <w:t>6、</w:t>
      </w:r>
      <w:r>
        <w:rPr>
          <w:rFonts w:hint="eastAsia"/>
        </w:rPr>
        <w:t>提供营业执照、税务登记证、组织机构代码证复印件（盖章的），提供法人或被授权代表人身份证复印件</w:t>
      </w:r>
      <w:r>
        <w:rPr>
          <w:rFonts w:hint="eastAsia"/>
          <w:lang w:val="en-US" w:eastAsia="zh-CN"/>
        </w:rPr>
        <w:t>,</w:t>
      </w:r>
      <w:r>
        <w:rPr>
          <w:rFonts w:hint="eastAsia"/>
        </w:rPr>
        <w:t>投标人所投产品资质证件齐全</w:t>
      </w:r>
    </w:p>
    <w:sdt>
      <w:sdtPr>
        <w:rPr>
          <w:rFonts w:hint="eastAsia"/>
        </w:rPr>
        <w:alias w:val="根据实际情况填写，这里为设备和维保模板"/>
        <w:tag w:val="根据实际情况填写，这里为设备和维保模板"/>
        <w:id w:val="545178371"/>
        <w:placeholder>
          <w:docPart w:val="{8cdad74a-ff9f-43ac-af3a-905d2ae92e75}"/>
        </w:placeholder>
        <w15:color w:val="FF0000"/>
      </w:sdtPr>
      <w:sdtEndPr>
        <w:rPr>
          <w:rFonts w:hint="eastAsia" w:cs="Times New Roman"/>
          <w:color w:val="000000" w:themeColor="text1"/>
          <w:kern w:val="0"/>
          <w:sz w:val="24"/>
          <w:szCs w:val="24"/>
          <w14:textFill>
            <w14:solidFill>
              <w14:schemeClr w14:val="tx1"/>
            </w14:solidFill>
          </w14:textFill>
        </w:rPr>
      </w:sdtEndPr>
      <w:sdtContent>
        <w:p>
          <w:pPr>
            <w:pStyle w:val="2"/>
            <w:ind w:left="-708" w:leftChars="-337"/>
            <w:rPr>
              <w:rFonts w:hint="eastAsia"/>
            </w:rPr>
          </w:pPr>
          <w:r>
            <w:rPr>
              <w:rFonts w:hint="eastAsia"/>
              <w:lang w:val="en-US" w:eastAsia="zh-CN"/>
            </w:rPr>
            <w:t>7、</w:t>
          </w:r>
          <w:r>
            <w:rPr>
              <w:rFonts w:hint="eastAsia"/>
            </w:rPr>
            <w:t>本项目不接收联合体投标。</w:t>
          </w:r>
        </w:p>
        <w:p>
          <w:pPr>
            <w:pStyle w:val="2"/>
            <w:ind w:left="-708" w:leftChars="-337"/>
          </w:pPr>
          <w:r>
            <w:rPr>
              <w:rFonts w:hint="eastAsia"/>
              <w:lang w:val="en-US" w:eastAsia="zh-CN"/>
            </w:rPr>
            <w:t>8、</w:t>
          </w:r>
          <w:r>
            <w:rPr>
              <w:rFonts w:hint="eastAsia"/>
            </w:rPr>
            <w:t>投标人必须同时送产品样版每个品种最少2份。</w:t>
          </w:r>
          <w:bookmarkStart w:id="0" w:name="_GoBack"/>
          <w:bookmarkEnd w:id="0"/>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color w:val="000000"/>
          <w:kern w:val="0"/>
          <w:sz w:val="24"/>
          <w:szCs w:val="24"/>
        </w:rPr>
        <w:alias w:val="根据实际情况修改"/>
        <w:tag w:val="根据实际情况修改"/>
        <w:id w:val="1526364755"/>
        <w:placeholder>
          <w:docPart w:val="{5d77395c-d697-47e8-bbea-19f837e5012a}"/>
        </w:placeholder>
        <w15:color w:val="FF0000"/>
      </w:sdtPr>
      <w:sdtEndPr>
        <w:rPr>
          <w:rFonts w:hint="eastAsia"/>
          <w:color w:val="000000"/>
          <w:kern w:val="0"/>
          <w:sz w:val="24"/>
          <w:szCs w:val="24"/>
        </w:rPr>
      </w:sdtEndPr>
      <w:sdtContent>
        <w:p>
          <w:pPr>
            <w:widowControl/>
            <w:spacing w:line="360" w:lineRule="auto"/>
            <w:ind w:left="-708" w:leftChars="-338" w:hanging="2"/>
            <w:jc w:val="left"/>
            <w:rPr>
              <w:color w:val="000000"/>
              <w:kern w:val="0"/>
              <w:sz w:val="24"/>
              <w:szCs w:val="24"/>
            </w:rPr>
          </w:pPr>
          <w:r>
            <w:rPr>
              <w:rFonts w:hint="eastAsia"/>
              <w:color w:val="000000"/>
              <w:kern w:val="0"/>
              <w:sz w:val="24"/>
              <w:szCs w:val="24"/>
            </w:rPr>
            <w:t>1、竞价人在竞价文件中必须提交设备配置清单，如设备</w:t>
          </w:r>
          <w:r>
            <w:rPr>
              <w:rFonts w:hint="eastAsia"/>
              <w:color w:val="FF0000"/>
              <w:kern w:val="0"/>
              <w:sz w:val="24"/>
              <w:szCs w:val="24"/>
            </w:rPr>
            <w:t>有配套耗材及定期更换的配件请投标时与设备一起报价</w:t>
          </w:r>
          <w:r>
            <w:rPr>
              <w:rFonts w:hint="eastAsia"/>
              <w:color w:val="000000"/>
              <w:kern w:val="0"/>
              <w:sz w:val="24"/>
              <w:szCs w:val="24"/>
            </w:rPr>
            <w:t>。</w:t>
          </w:r>
        </w:p>
        <w:p>
          <w:pPr>
            <w:widowControl/>
            <w:spacing w:line="360" w:lineRule="auto"/>
            <w:ind w:left="-708" w:leftChars="-338" w:hanging="2"/>
            <w:jc w:val="left"/>
            <w:rPr>
              <w:color w:val="000000"/>
              <w:kern w:val="0"/>
              <w:sz w:val="24"/>
              <w:szCs w:val="24"/>
            </w:rPr>
          </w:pPr>
          <w:r>
            <w:rPr>
              <w:rFonts w:hint="eastAsia"/>
              <w:color w:val="000000"/>
              <w:kern w:val="0"/>
              <w:sz w:val="24"/>
              <w:szCs w:val="24"/>
            </w:rPr>
            <w:t>1、为了防止虚假应标，项目成交结果公示期间，招标人</w:t>
          </w:r>
          <w:r>
            <w:rPr>
              <w:rFonts w:hint="eastAsia"/>
              <w:color w:val="FF0000"/>
              <w:kern w:val="0"/>
              <w:sz w:val="24"/>
              <w:szCs w:val="24"/>
            </w:rPr>
            <w:t>有权要求拟中标的投标人提供所投标产品以供测试</w:t>
          </w:r>
          <w:r>
            <w:rPr>
              <w:rFonts w:hint="eastAsia"/>
              <w:color w:val="000000"/>
              <w:kern w:val="0"/>
              <w:sz w:val="24"/>
              <w:szCs w:val="24"/>
            </w:rPr>
            <w:t>；若测试达不到应答指标，以虚假应标论处。</w:t>
          </w:r>
        </w:p>
        <w:p>
          <w:pPr>
            <w:pStyle w:val="2"/>
            <w:ind w:left="-708" w:leftChars="-337"/>
          </w:pPr>
          <w:r>
            <w:rPr>
              <w:rFonts w:hint="eastAsia"/>
            </w:rPr>
            <w:t>2、投标产品必须是按厂家标准制作，具备正规合法经销渠道的，符合国家各项有关质量标准的合格产品。相关部件及服务满足以上各项要求。若产品在运输过程中损坏或擦伤须无偿调换相同产品。</w:t>
          </w:r>
        </w:p>
        <w:p>
          <w:pPr>
            <w:pStyle w:val="2"/>
            <w:ind w:left="-708" w:leftChars="-337"/>
          </w:pPr>
          <w:r>
            <w:rPr>
              <w:rFonts w:hint="eastAsia"/>
            </w:rPr>
            <w:t>3、按厂家规定保修，同时提供产品“三包”服务；定期安排相关人员回访进行质量跟踪；其他售后服务按厂家承诺实行。</w:t>
          </w:r>
        </w:p>
        <w:p>
          <w:pPr>
            <w:pStyle w:val="2"/>
            <w:ind w:left="-708" w:leftChars="-337"/>
            <w:rPr>
              <w:color w:val="FF0000"/>
            </w:rPr>
          </w:pPr>
          <w:r>
            <w:rPr>
              <w:rFonts w:hint="eastAsia"/>
            </w:rPr>
            <w:t>4、</w:t>
          </w:r>
          <w:r>
            <w:rPr>
              <w:rFonts w:hint="eastAsia"/>
              <w:color w:val="FF0000"/>
            </w:rPr>
            <w:t>质保期：使用之日起不少于1年。</w:t>
          </w:r>
        </w:p>
        <w:p>
          <w:pPr>
            <w:pStyle w:val="2"/>
            <w:ind w:left="-708" w:leftChars="-337"/>
          </w:pPr>
          <w:r>
            <w:rPr>
              <w:rFonts w:hint="eastAsia"/>
            </w:rPr>
            <w:t>5、</w:t>
          </w:r>
          <w:r>
            <w:rPr>
              <w:rFonts w:hint="eastAsia"/>
              <w:color w:val="FF0000"/>
            </w:rPr>
            <w:t>故障处理</w:t>
          </w:r>
          <w:r>
            <w:rPr>
              <w:rFonts w:hint="eastAsia"/>
            </w:rPr>
            <w:t>：厂家须设有24小时免费服务电话，中标供应商应提供</w:t>
          </w:r>
          <w:r>
            <w:rPr>
              <w:rFonts w:hint="eastAsia"/>
              <w:color w:val="FF0000"/>
            </w:rPr>
            <w:t>常驻广西维保人员</w:t>
          </w:r>
          <w:r>
            <w:rPr>
              <w:rFonts w:hint="eastAsia"/>
            </w:rPr>
            <w:t>名单、联系电话等。质保期内，在使用过程中发现质量问题或故障时，须接到通知后24小时内派售后人员及时处理或更换，以保证采购单位的正常使用，所发生的一切费用由成交供应商负责。</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二、交货期要求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r>
        <w:rPr>
          <w:color w:val="FF0000"/>
          <w:kern w:val="0"/>
          <w:sz w:val="24"/>
          <w:szCs w:val="24"/>
          <w:u w:val="single"/>
        </w:rPr>
        <w:t xml:space="preserve">  </w:t>
      </w:r>
      <w:sdt>
        <w:sdtPr>
          <w:rPr>
            <w:color w:val="FF0000"/>
            <w:kern w:val="0"/>
            <w:sz w:val="24"/>
            <w:szCs w:val="24"/>
            <w:u w:val="single"/>
          </w:rPr>
          <w:alias w:val="根据实际情况填写"/>
          <w:tag w:val="根据实际情况填写"/>
          <w:id w:val="445283709"/>
          <w:placeholder>
            <w:docPart w:val="{5d77395c-d697-47e8-bbea-19f837e5012a}"/>
          </w:placeholder>
          <w15:color w:val="FF0000"/>
        </w:sdtPr>
        <w:sdtEndPr>
          <w:rPr>
            <w:color w:val="FF0000"/>
            <w:kern w:val="0"/>
            <w:sz w:val="24"/>
            <w:szCs w:val="24"/>
            <w:u w:val="single"/>
          </w:rPr>
        </w:sdtEndPr>
        <w:sdtContent>
          <w:r>
            <w:rPr>
              <w:rFonts w:hint="eastAsia"/>
              <w:u w:val="single"/>
            </w:rPr>
            <w:t>根据采购员采购需求7</w:t>
          </w:r>
        </w:sdtContent>
      </w:sdt>
      <w:r>
        <w:rPr>
          <w:color w:val="FF0000"/>
          <w:kern w:val="0"/>
          <w:sz w:val="24"/>
          <w:szCs w:val="24"/>
          <w:u w:val="single"/>
        </w:rPr>
        <w:t xml:space="preserve">    </w:t>
      </w:r>
      <w:r>
        <w:rPr>
          <w:rFonts w:hint="eastAsia" w:cs="宋体"/>
          <w:kern w:val="0"/>
          <w:sz w:val="24"/>
          <w:szCs w:val="24"/>
        </w:rPr>
        <w:t>天内仪器设备安装调试结束并交付使用。投标人予以特别注意：如出现未能到期供货的情况，采购人有权单方终止合同的执行，所有的经济损失由逾期供货商单方承担。</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三、交货地点</w:t>
      </w:r>
    </w:p>
    <w:p>
      <w:pPr>
        <w:widowControl/>
        <w:spacing w:line="360" w:lineRule="auto"/>
        <w:ind w:left="-708" w:leftChars="-338" w:hanging="2"/>
        <w:jc w:val="left"/>
        <w:rPr>
          <w:rFonts w:cs="宋体"/>
          <w:kern w:val="0"/>
          <w:sz w:val="24"/>
          <w:szCs w:val="24"/>
        </w:rPr>
      </w:pPr>
      <w:r>
        <w:rPr>
          <w:rFonts w:hint="eastAsia" w:cs="宋体"/>
          <w:kern w:val="0"/>
          <w:sz w:val="24"/>
          <w:szCs w:val="24"/>
        </w:rPr>
        <w:t>交货地点为：广西壮族自治区桂东人民医院</w:t>
      </w:r>
      <w:r>
        <w:rPr>
          <w:kern w:val="0"/>
          <w:sz w:val="24"/>
          <w:szCs w:val="24"/>
        </w:rPr>
        <w:t xml:space="preserve"> </w:t>
      </w:r>
      <w:r>
        <w:rPr>
          <w:kern w:val="0"/>
          <w:sz w:val="24"/>
          <w:szCs w:val="24"/>
          <w:u w:val="single"/>
        </w:rPr>
        <w:t xml:space="preserve"> </w:t>
      </w:r>
      <w:sdt>
        <w:sdtPr>
          <w:rPr>
            <w:kern w:val="0"/>
            <w:sz w:val="24"/>
            <w:szCs w:val="24"/>
            <w:u w:val="single"/>
          </w:rPr>
          <w:alias w:val="根据实际情况填写"/>
          <w:tag w:val="根据实际情况填写"/>
          <w:id w:val="1589662405"/>
          <w:placeholder>
            <w:docPart w:val="{5d77395c-d697-47e8-bbea-19f837e5012a}"/>
          </w:placeholder>
          <w15:color w:val="FF0000"/>
        </w:sdtPr>
        <w:sdtEndPr>
          <w:rPr>
            <w:kern w:val="0"/>
            <w:sz w:val="24"/>
            <w:szCs w:val="24"/>
            <w:u w:val="single"/>
          </w:rPr>
        </w:sdtEndPr>
        <w:sdtContent>
          <w:r>
            <w:rPr>
              <w:rFonts w:hint="eastAsia"/>
              <w:kern w:val="0"/>
              <w:sz w:val="24"/>
              <w:szCs w:val="24"/>
              <w:u w:val="single"/>
              <w:lang w:eastAsia="zh-CN"/>
            </w:rPr>
            <w:t>总务科</w:t>
          </w:r>
        </w:sdtContent>
      </w:sdt>
      <w:r>
        <w:rPr>
          <w:kern w:val="0"/>
          <w:sz w:val="24"/>
          <w:szCs w:val="24"/>
          <w:u w:val="single"/>
        </w:rPr>
        <w:t xml:space="preserve">     </w:t>
      </w:r>
      <w:r>
        <w:rPr>
          <w:kern w:val="0"/>
          <w:sz w:val="24"/>
          <w:szCs w:val="24"/>
        </w:rPr>
        <w:t xml:space="preserve">         </w:t>
      </w:r>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w:t>
      </w:r>
      <w:sdt>
        <w:sdtPr>
          <w:rPr>
            <w:rFonts w:hint="eastAsia" w:cs="宋体"/>
            <w:kern w:val="0"/>
            <w:sz w:val="24"/>
            <w:szCs w:val="24"/>
          </w:rPr>
          <w:alias w:val="根据实际情况修改"/>
          <w:tag w:val="根据实际情况修改"/>
          <w:id w:val="1199816932"/>
          <w:placeholder>
            <w:docPart w:val="{5d77395c-d697-47e8-bbea-19f837e5012a}"/>
          </w:placeholder>
          <w15:color w:val="FF0000"/>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rPr>
            <w:t>95</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hint="eastAsia" w:cs="宋体"/>
          <w:kern w:val="0"/>
          <w:sz w:val="24"/>
          <w:szCs w:val="24"/>
        </w:rPr>
        <w:t>，其余</w:t>
      </w:r>
      <w:r>
        <w:rPr>
          <w:rFonts w:cs="宋体"/>
          <w:color w:val="FF0000"/>
          <w:kern w:val="0"/>
          <w:sz w:val="24"/>
          <w:szCs w:val="24"/>
        </w:rPr>
        <w:t> </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525755077"/>
          <w:placeholder>
            <w:docPart w:val="{5d77395c-d697-47e8-bbea-19f837e5012a}"/>
          </w:placeholder>
          <w15:color w:val="FF0000"/>
        </w:sdtPr>
        <w:sdtEndPr>
          <w:rPr>
            <w:rFonts w:hint="eastAsia" w:cs="宋体"/>
            <w:color w:val="FF0000"/>
            <w:kern w:val="0"/>
            <w:sz w:val="24"/>
            <w:szCs w:val="24"/>
            <w:u w:val="single"/>
          </w:rPr>
        </w:sdtEndPr>
        <w:sdtContent>
          <w:r>
            <w:rPr>
              <w:rFonts w:hint="eastAsia"/>
            </w:rPr>
            <w:t>5</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cs="宋体"/>
          <w:kern w:val="0"/>
          <w:sz w:val="24"/>
          <w:szCs w:val="24"/>
        </w:rPr>
        <w:t> </w:t>
      </w:r>
      <w:r>
        <w:rPr>
          <w:rFonts w:hint="eastAsia" w:cs="宋体"/>
          <w:kern w:val="0"/>
          <w:sz w:val="24"/>
          <w:szCs w:val="24"/>
        </w:rPr>
        <w:t>作为质保金，</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762253292"/>
          <w:placeholder>
            <w:docPart w:val="{5d77395c-d697-47e8-bbea-19f837e5012a}"/>
          </w:placeholder>
          <w15:color w:val="FF0000"/>
        </w:sdtPr>
        <w:sdtEndPr>
          <w:rPr>
            <w:rFonts w:hint="eastAsia" w:cs="宋体"/>
            <w:color w:val="FF0000"/>
            <w:kern w:val="0"/>
            <w:sz w:val="24"/>
            <w:szCs w:val="24"/>
            <w:u w:val="single"/>
          </w:rPr>
        </w:sdtEndPr>
        <w:sdtContent>
          <w:r>
            <w:rPr>
              <w:rFonts w:hint="eastAsia"/>
            </w:rPr>
            <w:t>1</w:t>
          </w:r>
        </w:sdtContent>
      </w:sdt>
      <w:r>
        <w:rPr>
          <w:rFonts w:cs="宋体"/>
          <w:color w:val="FF0000"/>
          <w:kern w:val="0"/>
          <w:sz w:val="24"/>
          <w:szCs w:val="24"/>
          <w:u w:val="single"/>
        </w:rPr>
        <w:t xml:space="preserve"> </w:t>
      </w:r>
      <w:r>
        <w:rPr>
          <w:rFonts w:hint="eastAsia" w:cs="宋体"/>
          <w:kern w:val="0"/>
          <w:sz w:val="24"/>
          <w:szCs w:val="24"/>
        </w:rPr>
        <w:t>年（根据项目特点定）内无质量问题后付清（无息）。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5d77395c-d697-47e8-bbea-19f837e5012a}"/>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5d77395c-d697-47e8-bbea-19f837e5012a}"/>
        </w:placeholder>
        <w15:color w:val="FF0000"/>
      </w:sdtPr>
      <w:sdtContent>
        <w:p>
          <w:pPr>
            <w:spacing w:line="440" w:lineRule="exact"/>
            <w:ind w:firstLine="420" w:firstLineChars="200"/>
            <w:rPr>
              <w:rFonts w:asciiTheme="minorEastAsia" w:hAnsiTheme="minorEastAsia" w:cstheme="minorEastAsia"/>
              <w:b/>
              <w:sz w:val="28"/>
              <w:szCs w:val="28"/>
            </w:rPr>
          </w:pPr>
          <w:r>
            <w:rPr>
              <w:rFonts w:hint="eastAsia"/>
            </w:rPr>
            <w:t>出现以下情况包退</w:t>
          </w:r>
        </w:p>
        <w:p>
          <w:pPr>
            <w:spacing w:line="440" w:lineRule="exact"/>
            <w:ind w:firstLine="424" w:firstLineChars="202"/>
            <w:rPr>
              <w:rFonts w:asciiTheme="minorEastAsia" w:hAnsiTheme="minorEastAsia" w:cstheme="minorEastAsia"/>
              <w:sz w:val="28"/>
              <w:szCs w:val="28"/>
            </w:rPr>
          </w:pPr>
          <w:r>
            <w:rPr>
              <w:rFonts w:hint="eastAsia"/>
            </w:rPr>
            <w:t>a、质量有问题（包括但不仅限于产品质量不符合国家标准及有关质量要求）</w:t>
          </w:r>
        </w:p>
        <w:p>
          <w:pPr>
            <w:spacing w:line="440" w:lineRule="exact"/>
            <w:ind w:firstLine="424" w:firstLineChars="202"/>
            <w:rPr>
              <w:rFonts w:asciiTheme="minorEastAsia" w:hAnsiTheme="minorEastAsia" w:cstheme="minorEastAsia"/>
              <w:sz w:val="28"/>
              <w:szCs w:val="28"/>
            </w:rPr>
          </w:pPr>
          <w:r>
            <w:rPr>
              <w:rFonts w:hint="eastAsia"/>
            </w:rPr>
            <w:t>b、在运输过程中造成的损坏。</w:t>
          </w:r>
        </w:p>
        <w:p>
          <w:pPr>
            <w:pStyle w:val="2"/>
          </w:pPr>
          <w:r>
            <w:rPr>
              <w:rFonts w:hint="eastAsia"/>
            </w:rPr>
            <w:t>c、没有按照要求和合同制作。</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p>
      <w:pPr>
        <w:pStyle w:val="2"/>
      </w:pPr>
      <w:sdt>
        <w:sdtPr>
          <w:rPr>
            <w:rFonts w:cs="宋体"/>
            <w:kern w:val="0"/>
            <w:sz w:val="24"/>
            <w:szCs w:val="24"/>
          </w:rPr>
          <w:alias w:val="选填"/>
          <w:tag w:val="选填"/>
          <w:id w:val="50653589"/>
          <w:placeholder>
            <w:docPart w:val="{5d77395c-d697-47e8-bbea-19f837e5012a}"/>
          </w:placeholder>
          <w15:color w:val="FF0000"/>
        </w:sdtPr>
        <w:sdtEndPr>
          <w:rPr>
            <w:rFonts w:hint="eastAsia" w:cs="宋体"/>
            <w:kern w:val="0"/>
            <w:sz w:val="24"/>
            <w:szCs w:val="24"/>
          </w:rPr>
        </w:sdtEndPr>
        <w:sdtContent>
          <w:r>
            <w:rPr>
              <w:rFonts w:cs="宋体"/>
              <w:kern w:val="0"/>
              <w:sz w:val="24"/>
              <w:szCs w:val="24"/>
            </w:rPr>
            <w:t>1</w:t>
          </w:r>
          <w:r>
            <w:rPr>
              <w:rFonts w:hint="eastAsia" w:cs="宋体"/>
              <w:kern w:val="0"/>
              <w:sz w:val="24"/>
              <w:szCs w:val="24"/>
              <w:lang w:val="en-US" w:eastAsia="zh-CN"/>
            </w:rPr>
            <w:t>.</w:t>
          </w: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sdtContent>
      </w:sdt>
      <w:r>
        <w:rPr>
          <w:rFonts w:cs="宋体"/>
          <w:kern w:val="0"/>
          <w:sz w:val="24"/>
          <w:szCs w:val="24"/>
        </w:rPr>
        <w:br w:type="textWrapping" w:clear="all"/>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 k" w:date="2021-01-18T15:48:00Z" w:initials="ck">
    <w:p w14:paraId="3D6C4AE1">
      <w:pPr>
        <w:pStyle w:val="3"/>
      </w:pPr>
      <w:r>
        <w:rPr>
          <w:rFonts w:hint="eastAsia"/>
        </w:rPr>
        <w:t>总清单，具体细节可在（二）技术规格参数中具体列明。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D6C4A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 k">
    <w15:presenceInfo w15:providerId="Windows Live" w15:userId="dd1b3a7fea7c4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59B56A7"/>
    <w:rsid w:val="0F6E0B56"/>
    <w:rsid w:val="10C97A40"/>
    <w:rsid w:val="155C6D66"/>
    <w:rsid w:val="18A04119"/>
    <w:rsid w:val="1C7D5409"/>
    <w:rsid w:val="217676C3"/>
    <w:rsid w:val="2E9B29D4"/>
    <w:rsid w:val="334934D2"/>
    <w:rsid w:val="37B43629"/>
    <w:rsid w:val="3B467885"/>
    <w:rsid w:val="442A381D"/>
    <w:rsid w:val="57A83BF7"/>
    <w:rsid w:val="62D778BE"/>
    <w:rsid w:val="6672542C"/>
    <w:rsid w:val="6FD54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openxmlformats.org/officeDocument/2006/relationships/glossaryDocument" Target="glossary/document.xml"/><Relationship Id="rId10" Type="http://schemas.microsoft.com/office/2011/relationships/people" Target="peop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d77395c-d697-47e8-bbea-19f837e5012a}"/>
        <w:style w:val=""/>
        <w:category>
          <w:name w:val="常规"/>
          <w:gallery w:val="placeholder"/>
        </w:category>
        <w:types>
          <w:type w:val="bbPlcHdr"/>
        </w:types>
        <w:behaviors>
          <w:behavior w:val="content"/>
        </w:behaviors>
        <w:description w:val=""/>
        <w:guid w:val="{5d77395c-d697-47e8-bbea-19f837e5012a}"/>
      </w:docPartPr>
      <w:docPartBody>
        <w:p>
          <w:r>
            <w:rPr>
              <w:rStyle w:val="4"/>
            </w:rPr>
            <w:t>单击或点击此处输入文字。</w:t>
          </w:r>
        </w:p>
      </w:docPartBody>
    </w:docPart>
    <w:docPart>
      <w:docPartPr>
        <w:name w:val="{577edb77-1249-4f54-ad69-ba801eb50a32}"/>
        <w:style w:val=""/>
        <w:category>
          <w:name w:val="常规"/>
          <w:gallery w:val="placeholder"/>
        </w:category>
        <w:types>
          <w:type w:val="bbPlcHdr"/>
        </w:types>
        <w:behaviors>
          <w:behavior w:val="content"/>
        </w:behaviors>
        <w:description w:val=""/>
        <w:guid w:val="{577edb77-1249-4f54-ad69-ba801eb50a32}"/>
      </w:docPartPr>
      <w:docPartBody>
        <w:p>
          <w:r>
            <w:rPr>
              <w:color w:val="808080"/>
            </w:rPr>
            <w:t>输入要重复的任何内容(包括其他内容控件)。您也可以在表格行周围插入此控件，以便重复部分表格。</w:t>
          </w:r>
        </w:p>
      </w:docPartBody>
    </w:docPart>
    <w:docPart>
      <w:docPartPr>
        <w:name w:val="{a00c6787-3008-404b-afbe-e64524211143}"/>
        <w:style w:val="Normal"/>
        <w:category>
          <w:name w:val="常规"/>
          <w:gallery w:val="placeholder"/>
        </w:category>
        <w:types>
          <w:type w:val="bbPlcHdr"/>
        </w:types>
        <w:behaviors>
          <w:behavior w:val="content"/>
        </w:behaviors>
        <w:description w:val=""/>
        <w:guid w:val="{a00c6787-3008-404b-afbe-e64524211143}"/>
      </w:docPartPr>
      <w:docPartBody>
        <w:p>
          <w:r>
            <w:rPr>
              <w:color w:val="808080"/>
            </w:rPr>
            <w:t>输入要重复的任何内容(包括其他内容控件)。您也可以在表格行周围插入此控件，以便重复部分表格。</w:t>
          </w:r>
        </w:p>
      </w:docPartBody>
    </w:docPart>
    <w:docPart>
      <w:docPartPr>
        <w:name w:val="{8cdad74a-ff9f-43ac-af3a-905d2ae92e75}"/>
        <w:style w:val=""/>
        <w:category>
          <w:name w:val="常规"/>
          <w:gallery w:val="placeholder"/>
        </w:category>
        <w:types>
          <w:type w:val="bbPlcHdr"/>
        </w:types>
        <w:behaviors>
          <w:behavior w:val="content"/>
        </w:behaviors>
        <w:description w:val=""/>
        <w:guid w:val="{8cdad74a-ff9f-43ac-af3a-905d2ae92e75}"/>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4</Pages>
  <Words>2560</Words>
  <Characters>2682</Characters>
  <Lines>26</Lines>
  <Paragraphs>7</Paragraphs>
  <TotalTime>0</TotalTime>
  <ScaleCrop>false</ScaleCrop>
  <LinksUpToDate>false</LinksUpToDate>
  <CharactersWithSpaces>2727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N一ᴥ一R</cp:lastModifiedBy>
  <cp:lastPrinted>2021-05-02T05:14:00Z</cp:lastPrinted>
  <dcterms:modified xsi:type="dcterms:W3CDTF">2021-05-12T09:42:08Z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BC6B623858AD4EF6B8932C9852D63447</vt:lpwstr>
  </property>
</Properties>
</file>