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p>
      <w:pPr>
        <w:pStyle w:val="2"/>
        <w:ind w:left="-708" w:leftChars="-337"/>
        <w:rPr>
          <w:rFonts w:hint="default" w:eastAsia="宋体"/>
          <w:b/>
          <w:bCs/>
          <w:lang w:val="en-US" w:eastAsia="zh-CN"/>
        </w:rPr>
      </w:pPr>
      <w:r>
        <w:rPr>
          <w:rFonts w:hint="eastAsia"/>
          <w:b/>
          <w:bCs/>
          <w:lang w:val="en-US" w:eastAsia="zh-CN"/>
        </w:rPr>
        <w:t xml:space="preserve">     </w:t>
      </w:r>
    </w:p>
    <w:tbl>
      <w:tblPr>
        <w:tblStyle w:val="8"/>
        <w:tblW w:w="9177" w:type="dxa"/>
        <w:tblInd w:w="93" w:type="dxa"/>
        <w:tblLayout w:type="fixed"/>
        <w:tblCellMar>
          <w:top w:w="0" w:type="dxa"/>
          <w:left w:w="108" w:type="dxa"/>
          <w:bottom w:w="0" w:type="dxa"/>
          <w:right w:w="108" w:type="dxa"/>
        </w:tblCellMar>
      </w:tblPr>
      <w:tblGrid>
        <w:gridCol w:w="799"/>
        <w:gridCol w:w="4376"/>
        <w:gridCol w:w="944"/>
        <w:gridCol w:w="779"/>
        <w:gridCol w:w="1110"/>
        <w:gridCol w:w="1169"/>
      </w:tblGrid>
      <w:tr>
        <w:tblPrEx>
          <w:tblCellMar>
            <w:top w:w="0" w:type="dxa"/>
            <w:left w:w="108" w:type="dxa"/>
            <w:bottom w:w="0" w:type="dxa"/>
            <w:right w:w="108" w:type="dxa"/>
          </w:tblCellMar>
        </w:tblPrEx>
        <w:trPr>
          <w:trHeight w:val="818"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工程量名称及工程规格说明</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tblPrEx>
          <w:tblCellMar>
            <w:top w:w="0" w:type="dxa"/>
            <w:left w:w="108" w:type="dxa"/>
            <w:bottom w:w="0" w:type="dxa"/>
            <w:right w:w="108" w:type="dxa"/>
          </w:tblCellMar>
        </w:tblPrEx>
        <w:trPr>
          <w:trHeight w:val="129"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一</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内科楼防雷整改</w:t>
            </w:r>
          </w:p>
        </w:tc>
      </w:tr>
      <w:tr>
        <w:tblPrEx>
          <w:tblCellMar>
            <w:top w:w="0" w:type="dxa"/>
            <w:left w:w="108" w:type="dxa"/>
            <w:bottom w:w="0" w:type="dxa"/>
            <w:right w:w="108" w:type="dxa"/>
          </w:tblCellMar>
        </w:tblPrEx>
        <w:trPr>
          <w:trHeight w:val="129"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避雷网安装 沿女儿墙敷设</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模块式电涌保护器安装 总配电箱电涌保护器 雷电流通量(10/350μS I类试验) 380V ≥12.5KA</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176"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0.500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成套配电箱安装 悬挂嵌入式(半周长m) 0.5</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6</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小型空气漏电保护开关 三相</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压铜接线端子 导线截面(m㎡ 以内) 16</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砖、混凝土结构明配 刚性阻燃管公称口径(mm以内) 20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0.0500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开凿及修复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母线、避雷器、电容器调试  避雷器 1 KV以下</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组</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sz w:val="24"/>
                <w:szCs w:val="24"/>
                <w:u w:val="none"/>
                <w:lang w:val="en-US" w:eastAsia="zh-CN"/>
              </w:rPr>
              <w:t>二</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kern w:val="0"/>
                <w:sz w:val="24"/>
                <w:szCs w:val="24"/>
                <w:u w:val="none"/>
                <w:lang w:val="en-US" w:eastAsia="zh-CN" w:bidi="ar"/>
              </w:rPr>
              <w:t>后勤综合楼防雷整改</w:t>
            </w: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模块式电涌保护器安装 总配电箱电涌保护器 雷电流通量(10/350μS I类试验) 380V ≥12.5KA</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成套配电箱安装 悬挂嵌入式(半周长m) 0.5</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小型空气漏电保护开关 三相</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压铜接线端子 导线截面(m㎡ 以内) 16</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砖、混凝土结构明配 刚性阻燃管公称口径(mm以内) 20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100m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0.0500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开凿及修复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母线、避雷器、电容器调试  避雷器 1 KV以下</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组</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sz w:val="24"/>
                <w:szCs w:val="24"/>
                <w:u w:val="none"/>
                <w:lang w:val="en-US" w:eastAsia="zh-CN"/>
              </w:rPr>
              <w:t>三</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kern w:val="0"/>
                <w:sz w:val="24"/>
                <w:szCs w:val="24"/>
                <w:u w:val="none"/>
                <w:lang w:val="en-US" w:eastAsia="zh-CN" w:bidi="ar"/>
              </w:rPr>
              <w:t>制剂楼防雷整改</w:t>
            </w: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避雷网安装 沿女儿墙敷设</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避雷引下线敷设 沿建筑、构筑物明敷引下</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避雷针制作 圆钢避雷针制作 2m以内</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模块式电涌保护器安装 总配电箱电涌保护器 雷电流通量(10/350μS I类试验) 380V ≥12.5KA</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成套配电箱安装 悬挂嵌入式(半周长m) 0.5</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小型空气漏电保护开关 三相</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压铜接线端子 导线截面(m㎡ 以内) 16</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砖、混凝土结构明配 刚性阻燃管公称口径(mm以内) 20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开凿及修复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避雷引下线敷设 钢断接卡子制作、安装</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母线、避雷器、电容器调试  避雷器 1 KV以下</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四</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kern w:val="0"/>
                <w:sz w:val="24"/>
                <w:szCs w:val="24"/>
                <w:u w:val="none"/>
                <w:lang w:val="en-US" w:eastAsia="zh-CN" w:bidi="ar"/>
              </w:rPr>
              <w:t>肝科楼防雷整改</w:t>
            </w: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避雷网安装 沿女儿墙敷设</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避雷引下线敷设 沿建筑、构筑物明敷引下</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避雷针制作 圆钢避雷针制作 2m以内</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模块式电涌保护器安装 总配电箱电涌保护器 雷电流通量(10/350μS I类试验) 380V ≥12.5KA</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成套配电箱安装 悬挂嵌入式(半周长m) 0.5</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小型空气漏电保护开关 三相</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压铜接线端子 导线截面(m㎡ 以内) 16</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砖、混凝土结构明配 刚性阻燃管公称口径(mm以内) 20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开凿及修复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避雷引下线敷设 钢断接卡子制作、安装</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五</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kern w:val="0"/>
                <w:sz w:val="24"/>
                <w:szCs w:val="24"/>
                <w:u w:val="none"/>
                <w:lang w:val="en-US" w:eastAsia="zh-CN" w:bidi="ar"/>
              </w:rPr>
              <w:t>门诊综合楼防雷整改</w:t>
            </w: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压铜接线端子 导线截面(m㎡ 以内) 16</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砖、混凝土结构明配 刚性阻燃管公称口径(mm以内) 20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开凿及修复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等电位连接、接地测试板</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六</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门诊综合楼21层信息机房供电房</w:t>
            </w:r>
            <w:r>
              <w:rPr>
                <w:rFonts w:hint="eastAsia" w:ascii="宋体" w:hAnsi="宋体" w:cs="宋体"/>
                <w:b/>
                <w:bCs/>
                <w:i w:val="0"/>
                <w:iCs w:val="0"/>
                <w:color w:val="000000"/>
                <w:kern w:val="0"/>
                <w:sz w:val="24"/>
                <w:szCs w:val="24"/>
                <w:u w:val="none"/>
                <w:lang w:val="en-US" w:eastAsia="zh-CN" w:bidi="ar"/>
              </w:rPr>
              <w:t>防雷整改</w:t>
            </w: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压铜接线端子 导线截面(m㎡ 以内) 16</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开凿及修复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等电位连接、接地测试板</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七</w:t>
            </w:r>
          </w:p>
        </w:tc>
        <w:tc>
          <w:tcPr>
            <w:tcW w:w="83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门诊综合楼21层信息机房</w:t>
            </w:r>
            <w:r>
              <w:rPr>
                <w:rFonts w:hint="eastAsia" w:ascii="宋体" w:hAnsi="宋体" w:cs="宋体"/>
                <w:b/>
                <w:bCs/>
                <w:i w:val="0"/>
                <w:iCs w:val="0"/>
                <w:color w:val="000000"/>
                <w:kern w:val="0"/>
                <w:sz w:val="24"/>
                <w:szCs w:val="24"/>
                <w:u w:val="none"/>
                <w:lang w:val="en-US" w:eastAsia="zh-CN" w:bidi="ar"/>
              </w:rPr>
              <w:t>防雷整改</w:t>
            </w: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铜接地母线敷设 铜接地绞线敷设 截面(m㎡以内)150</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压铜接线端子 导线截面(m㎡ 以内) 16</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开凿及修复</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等电位连接、接地测试板</w:t>
            </w:r>
          </w:p>
        </w:tc>
        <w:tc>
          <w:tcPr>
            <w:tcW w:w="9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p>
        </w:tc>
      </w:tr>
      <w:tr>
        <w:tblPrEx>
          <w:tblCellMar>
            <w:top w:w="0" w:type="dxa"/>
            <w:left w:w="108" w:type="dxa"/>
            <w:bottom w:w="0" w:type="dxa"/>
            <w:right w:w="108"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八</w:t>
            </w:r>
          </w:p>
        </w:tc>
        <w:tc>
          <w:tcPr>
            <w:tcW w:w="609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合计（含税）</w:t>
            </w:r>
          </w:p>
        </w:tc>
        <w:tc>
          <w:tcPr>
            <w:tcW w:w="22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bl>
    <w:p>
      <w:pPr>
        <w:pStyle w:val="2"/>
        <w:rPr>
          <w:rFonts w:hint="default" w:eastAsia="宋体"/>
          <w:b/>
          <w:bCs/>
          <w:lang w:val="en-US" w:eastAsia="zh-CN"/>
        </w:rPr>
      </w:pP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2"/>
        <w:rPr>
          <w:rFonts w:hint="eastAsia" w:ascii="宋体" w:hAnsi="宋体" w:eastAsia="宋体" w:cs="宋体"/>
          <w:i w:val="0"/>
          <w:iCs w:val="0"/>
          <w:caps w:val="0"/>
          <w:color w:val="333333"/>
          <w:spacing w:val="0"/>
          <w:sz w:val="24"/>
          <w:szCs w:val="24"/>
          <w:shd w:val="clear" w:fill="FFFFFF"/>
          <w:lang w:eastAsia="zh-CN"/>
        </w:rPr>
      </w:pPr>
      <w:r>
        <w:rPr>
          <w:rFonts w:hint="eastAsia" w:cs="Times New Roman"/>
          <w:color w:val="000000"/>
          <w:kern w:val="0"/>
          <w:sz w:val="24"/>
          <w:szCs w:val="24"/>
          <w:lang w:val="en-US" w:eastAsia="zh-CN" w:bidi="ar-SA"/>
        </w:rPr>
        <w:t>1、按照建筑物防雷设计规范（GB50057-2010）及有关几时规定施工</w:t>
      </w:r>
      <w:r>
        <w:rPr>
          <w:rFonts w:hint="eastAsia" w:ascii="宋体" w:hAnsi="宋体" w:cs="宋体"/>
          <w:color w:val="000000" w:themeColor="text1"/>
          <w:kern w:val="0"/>
          <w:sz w:val="24"/>
          <w:szCs w:val="24"/>
          <w:lang w:val="en-US" w:eastAsia="zh-CN" w:bidi="ar-SA"/>
          <w14:textFill>
            <w14:solidFill>
              <w14:schemeClr w14:val="tx1"/>
            </w14:solidFill>
          </w14:textFill>
        </w:rPr>
        <w:t>。</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rFonts w:hint="eastAsia"/>
          <w:color w:val="auto"/>
        </w:rPr>
      </w:pPr>
      <w:r>
        <w:rPr>
          <w:rFonts w:hint="eastAsia"/>
          <w:color w:val="auto"/>
          <w:lang w:val="en-US" w:eastAsia="zh-CN"/>
        </w:rPr>
        <w:t>5、投标人所投产品必须</w:t>
      </w:r>
      <w:r>
        <w:rPr>
          <w:rFonts w:hint="eastAsia"/>
          <w:color w:val="auto"/>
        </w:rPr>
        <w:t>提供产品“三包”服务；其他售后服务按厂家承诺实行。</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2"/>
        <w:ind w:left="-708" w:leftChars="-337"/>
        <w:rPr>
          <w:rFonts w:hint="eastAsia" w:eastAsia="宋体" w:cs="宋体"/>
          <w:lang w:val="en-US" w:eastAsia="zh-CN"/>
        </w:rPr>
      </w:pPr>
      <w:r>
        <w:rPr>
          <w:rFonts w:hint="eastAsia" w:cs="宋体"/>
          <w:lang w:val="en-US" w:eastAsia="zh-CN"/>
        </w:rPr>
        <w:t>4）</w:t>
      </w:r>
      <w:r>
        <w:rPr>
          <w:rFonts w:hint="eastAsia" w:cs="宋体"/>
          <w:color w:val="000000" w:themeColor="text1"/>
          <w:kern w:val="0"/>
          <w:sz w:val="24"/>
          <w:szCs w:val="24"/>
          <w:lang w:eastAsia="zh-CN"/>
          <w14:textFill>
            <w14:solidFill>
              <w14:schemeClr w14:val="tx1"/>
            </w14:solidFill>
          </w14:textFill>
        </w:rPr>
        <w:t>营业范围具备特种防雷施工资质</w:t>
      </w:r>
      <w:r>
        <w:rPr>
          <w:rFonts w:hint="eastAsia"/>
          <w:lang w:eastAsia="zh-CN"/>
        </w:rPr>
        <w:t>。</w:t>
      </w:r>
    </w:p>
    <w:p>
      <w:pPr>
        <w:pStyle w:val="2"/>
        <w:ind w:left="-708" w:leftChars="-337"/>
        <w:rPr>
          <w:rFonts w:hint="eastAsia" w:cs="宋体"/>
          <w:color w:val="auto"/>
        </w:rPr>
      </w:pPr>
      <w:r>
        <w:rPr>
          <w:rFonts w:hint="eastAsia" w:cs="宋体"/>
          <w:lang w:val="en-US" w:eastAsia="zh-CN"/>
        </w:rPr>
        <w:t>5）</w:t>
      </w:r>
      <w:r>
        <w:rPr>
          <w:rFonts w:hint="eastAsia" w:cs="宋体"/>
          <w:color w:val="auto"/>
        </w:rPr>
        <w:t>本项目不接收联合体投标。</w:t>
      </w:r>
    </w:p>
    <w:p>
      <w:pPr>
        <w:pStyle w:val="2"/>
        <w:ind w:left="-708" w:leftChars="-337"/>
        <w:rPr>
          <w:rFonts w:hint="default" w:cs="宋体"/>
          <w:b/>
          <w:bCs/>
          <w:lang w:val="en-US" w:eastAsia="zh-CN"/>
        </w:rPr>
      </w:pPr>
      <w:r>
        <w:rPr>
          <w:rFonts w:hint="eastAsia" w:cs="宋体"/>
          <w:b/>
          <w:bCs/>
          <w:lang w:val="en-US" w:eastAsia="zh-CN"/>
        </w:rPr>
        <w:t>2、投标产品资格要求</w:t>
      </w:r>
    </w:p>
    <w:p>
      <w:pPr>
        <w:pStyle w:val="2"/>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pPr>
        <w:pStyle w:val="2"/>
        <w:ind w:left="-708" w:leftChars="-337"/>
        <w:rPr>
          <w:rFonts w:hint="eastAsia"/>
        </w:rPr>
      </w:pPr>
      <w:r>
        <w:rPr>
          <w:rFonts w:hint="eastAsia"/>
          <w:b/>
          <w:bCs/>
        </w:rPr>
        <w:t>3、售后服务和</w:t>
      </w:r>
      <w:r>
        <w:rPr>
          <w:rFonts w:hint="eastAsia"/>
          <w:b/>
          <w:bCs/>
          <w:lang w:val="en-US" w:eastAsia="zh-CN"/>
        </w:rPr>
        <w:t>资质</w:t>
      </w:r>
    </w:p>
    <w:p>
      <w:pPr>
        <w:pStyle w:val="2"/>
        <w:ind w:left="-708" w:leftChars="-337"/>
        <w:rPr>
          <w:rFonts w:hint="eastAsia"/>
        </w:rPr>
      </w:pPr>
      <w:r>
        <w:rPr>
          <w:rFonts w:hint="eastAsia"/>
          <w:lang w:val="en-US" w:eastAsia="zh-CN"/>
        </w:rPr>
        <w:t>1）</w:t>
      </w:r>
      <w:r>
        <w:rPr>
          <w:rFonts w:hint="eastAsia"/>
        </w:rPr>
        <w:t>质保期：施工</w:t>
      </w:r>
      <w:r>
        <w:rPr>
          <w:rFonts w:hint="eastAsia"/>
          <w:color w:val="000000" w:themeColor="text1"/>
          <w14:textFill>
            <w14:solidFill>
              <w14:schemeClr w14:val="tx1"/>
            </w14:solidFill>
          </w14:textFill>
        </w:rPr>
        <w:t>完毕通过验收投入使用之日起不少于1年。</w:t>
      </w:r>
    </w:p>
    <w:p>
      <w:pPr>
        <w:pStyle w:val="2"/>
        <w:ind w:left="-708" w:leftChars="-337"/>
        <w:rPr>
          <w:rFonts w:hint="eastAsia"/>
          <w:lang w:val="en-US" w:eastAsia="zh-CN"/>
        </w:rPr>
      </w:pPr>
      <w:r>
        <w:rPr>
          <w:rFonts w:hint="eastAsia"/>
          <w:lang w:val="en-US" w:eastAsia="zh-CN"/>
        </w:rPr>
        <w:t>2）维修</w:t>
      </w:r>
      <w:r>
        <w:rPr>
          <w:rFonts w:hint="eastAsia"/>
        </w:rPr>
        <w:t>处理：</w:t>
      </w:r>
      <w:r>
        <w:rPr>
          <w:rFonts w:hint="eastAsia"/>
          <w:lang w:val="en-US" w:eastAsia="zh-CN"/>
        </w:rPr>
        <w:t>在质保期内发现工程质量问题，投标人需无条件翻工（包工包料）。</w:t>
      </w:r>
    </w:p>
    <w:p>
      <w:pPr>
        <w:pStyle w:val="2"/>
        <w:ind w:left="-708" w:leftChars="-337"/>
        <w:rPr>
          <w:kern w:val="0"/>
          <w:sz w:val="24"/>
          <w:szCs w:val="24"/>
        </w:rPr>
      </w:pPr>
      <w:r>
        <w:rPr>
          <w:rFonts w:hint="eastAsia" w:cs="宋体"/>
          <w:kern w:val="0"/>
          <w:sz w:val="24"/>
          <w:szCs w:val="24"/>
          <w:lang w:val="en-US" w:eastAsia="zh-CN"/>
        </w:rPr>
        <w:t>3）</w:t>
      </w:r>
      <w:r>
        <w:rPr>
          <w:rFonts w:hint="eastAsia" w:cs="宋体"/>
          <w:kern w:val="0"/>
          <w:sz w:val="24"/>
          <w:szCs w:val="24"/>
        </w:rPr>
        <w:t>交货地点为：</w:t>
      </w:r>
      <w:r>
        <w:rPr>
          <w:rFonts w:hint="eastAsia" w:cs="宋体"/>
          <w:kern w:val="0"/>
          <w:sz w:val="24"/>
          <w:szCs w:val="24"/>
          <w:highlight w:val="yellow"/>
        </w:rPr>
        <w:t>广西</w:t>
      </w:r>
      <w:r>
        <w:rPr>
          <w:rFonts w:hint="eastAsia" w:cs="宋体"/>
          <w:kern w:val="0"/>
          <w:sz w:val="24"/>
          <w:szCs w:val="24"/>
          <w:highlight w:val="yellow"/>
          <w:lang w:eastAsia="zh-CN"/>
        </w:rPr>
        <w:t>梧州市西江四路金鸡冲</w:t>
      </w:r>
      <w:r>
        <w:rPr>
          <w:rFonts w:hint="eastAsia" w:cs="宋体"/>
          <w:kern w:val="0"/>
          <w:sz w:val="24"/>
          <w:szCs w:val="24"/>
          <w:highlight w:val="yellow"/>
          <w:lang w:val="en-US" w:eastAsia="zh-CN"/>
        </w:rPr>
        <w:t>1号</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4）付款条件（进度和方式）：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经验收合格后，付合同款的 </w:t>
      </w:r>
      <w:r>
        <w:rPr>
          <w:rFonts w:hint="eastAsia" w:cs="宋体"/>
          <w:kern w:val="0"/>
          <w:sz w:val="24"/>
          <w:szCs w:val="24"/>
          <w:highlight w:val="yellow"/>
          <w:lang w:val="en-US" w:eastAsia="zh-CN"/>
        </w:rPr>
        <w:t xml:space="preserve"> 95 </w:t>
      </w:r>
      <w:r>
        <w:rPr>
          <w:rFonts w:hint="eastAsia" w:cs="宋体"/>
          <w:kern w:val="0"/>
          <w:sz w:val="24"/>
          <w:szCs w:val="24"/>
          <w:highlight w:val="yellow"/>
        </w:rPr>
        <w:t>%</w:t>
      </w:r>
      <w:r>
        <w:rPr>
          <w:rFonts w:hint="eastAsia" w:cs="宋体"/>
          <w:kern w:val="0"/>
          <w:sz w:val="24"/>
          <w:szCs w:val="24"/>
        </w:rPr>
        <w:t xml:space="preserve"> ，其</w:t>
      </w:r>
      <w:r>
        <w:rPr>
          <w:rFonts w:hint="eastAsia" w:ascii="宋体" w:hAnsi="宋体" w:eastAsia="宋体" w:cs="宋体"/>
          <w:b/>
          <w:bCs/>
          <w:color w:val="auto"/>
          <w:sz w:val="24"/>
          <w:szCs w:val="24"/>
          <w:u w:val="single"/>
        </w:rPr>
        <w:t xml:space="preserve">余  </w:t>
      </w:r>
      <w:r>
        <w:rPr>
          <w:rFonts w:hint="eastAsia" w:ascii="宋体" w:hAnsi="宋体" w:cs="宋体"/>
          <w:b/>
          <w:bCs/>
          <w:color w:val="auto"/>
          <w:sz w:val="24"/>
          <w:szCs w:val="24"/>
          <w:u w:val="single"/>
          <w:lang w:val="en-US" w:eastAsia="zh-CN"/>
        </w:rPr>
        <w:t>5</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作为质保金，</w:t>
      </w:r>
      <w:r>
        <w:rPr>
          <w:rFonts w:hint="eastAsia" w:cs="宋体"/>
          <w:kern w:val="0"/>
          <w:sz w:val="24"/>
          <w:szCs w:val="24"/>
          <w:highlight w:val="yellow"/>
        </w:rPr>
        <w:t xml:space="preserve"> </w:t>
      </w:r>
      <w:r>
        <w:rPr>
          <w:rFonts w:hint="eastAsia" w:cs="宋体"/>
          <w:kern w:val="0"/>
          <w:sz w:val="24"/>
          <w:szCs w:val="24"/>
          <w:highlight w:val="yellow"/>
          <w:lang w:val="en-US" w:eastAsia="zh-CN"/>
        </w:rPr>
        <w:t xml:space="preserve"> 1</w:t>
      </w:r>
      <w:r>
        <w:rPr>
          <w:rFonts w:hint="eastAsia" w:cs="宋体"/>
          <w:kern w:val="0"/>
          <w:sz w:val="24"/>
          <w:szCs w:val="24"/>
          <w:highlight w:val="yellow"/>
        </w:rPr>
        <w:t xml:space="preserve"> </w:t>
      </w:r>
      <w:r>
        <w:rPr>
          <w:rFonts w:hint="eastAsia" w:cs="宋体"/>
          <w:kern w:val="0"/>
          <w:sz w:val="24"/>
          <w:szCs w:val="24"/>
        </w:rPr>
        <w:t>年（根据项目特点定）内无质量问题后付清（无息）。如验收不合格以及发现伪劣产品等，招标人将视情形采取退货、拒付款、终止合同、索赔等措施，直至通过有关部门，依法维权。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15个历日</w:t>
          </w:r>
        </w:sdtContent>
      </w:sdt>
      <w:r>
        <w:rPr>
          <w:rFonts w:hint="eastAsia" w:cs="宋体"/>
          <w:kern w:val="0"/>
          <w:sz w:val="24"/>
          <w:szCs w:val="24"/>
        </w:rPr>
        <w:t>内签订采购合同。</w:t>
      </w:r>
    </w:p>
    <w:p>
      <w:pPr>
        <w:widowControl/>
        <w:spacing w:line="360" w:lineRule="auto"/>
        <w:ind w:left="-708" w:leftChars="-338" w:hanging="2"/>
        <w:jc w:val="left"/>
        <w:rPr>
          <w:rFonts w:hint="eastAsia"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widowControl/>
        <w:spacing w:line="360" w:lineRule="auto"/>
        <w:ind w:left="-708" w:leftChars="-338" w:hanging="2"/>
        <w:jc w:val="left"/>
        <w:rPr>
          <w:rFonts w:hint="eastAsia" w:eastAsia="宋体"/>
          <w:sz w:val="24"/>
          <w:szCs w:val="24"/>
          <w:lang w:eastAsia="zh-CN"/>
        </w:rPr>
      </w:pPr>
      <w:r>
        <w:rPr>
          <w:rFonts w:hint="eastAsia"/>
          <w:sz w:val="24"/>
          <w:szCs w:val="24"/>
          <w:lang w:eastAsia="zh-CN"/>
        </w:rPr>
        <w:t>无。</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0" w:name="_GoBack"/>
      <w:bookmarkEnd w:id="0"/>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1E08"/>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CC05EEA"/>
    <w:rsid w:val="10C97A40"/>
    <w:rsid w:val="122B15C9"/>
    <w:rsid w:val="21466CC1"/>
    <w:rsid w:val="2218153E"/>
    <w:rsid w:val="22430C86"/>
    <w:rsid w:val="26431704"/>
    <w:rsid w:val="2AEF452E"/>
    <w:rsid w:val="2E44559E"/>
    <w:rsid w:val="3194337D"/>
    <w:rsid w:val="3737378F"/>
    <w:rsid w:val="3806606D"/>
    <w:rsid w:val="397701BE"/>
    <w:rsid w:val="3F8769CB"/>
    <w:rsid w:val="41366ED0"/>
    <w:rsid w:val="4D010A26"/>
    <w:rsid w:val="52AB780D"/>
    <w:rsid w:val="55AE090F"/>
    <w:rsid w:val="56E10C5F"/>
    <w:rsid w:val="67AC64ED"/>
    <w:rsid w:val="6A513DD5"/>
    <w:rsid w:val="6CA37AD2"/>
    <w:rsid w:val="6CB86784"/>
    <w:rsid w:val="6DD0797D"/>
    <w:rsid w:val="71754026"/>
    <w:rsid w:val="74730AA2"/>
    <w:rsid w:val="74B5471E"/>
    <w:rsid w:val="751C6676"/>
    <w:rsid w:val="77E41C8F"/>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paragraph" w:customStyle="1" w:styleId="21">
    <w:name w:val="样式1"/>
    <w:basedOn w:val="1"/>
    <w:qFormat/>
    <w:uiPriority w:val="0"/>
  </w:style>
  <w:style w:type="character" w:customStyle="1" w:styleId="22">
    <w:name w:val="font21"/>
    <w:basedOn w:val="10"/>
    <w:qFormat/>
    <w:uiPriority w:val="0"/>
    <w:rPr>
      <w:rFonts w:hint="eastAsia" w:ascii="黑体" w:hAnsi="宋体" w:eastAsia="黑体" w:cs="黑体"/>
      <w:color w:val="000000"/>
      <w:sz w:val="28"/>
      <w:szCs w:val="28"/>
      <w:u w:val="none"/>
    </w:rPr>
  </w:style>
  <w:style w:type="character" w:customStyle="1" w:styleId="23">
    <w:name w:val="font3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2484</Words>
  <Characters>2858</Characters>
  <Lines>26</Lines>
  <Paragraphs>7</Paragraphs>
  <TotalTime>1</TotalTime>
  <ScaleCrop>false</ScaleCrop>
  <LinksUpToDate>false</LinksUpToDate>
  <CharactersWithSpaces>2999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2022-11-10T03:28:53Z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BC6B623858AD4EF6B8932C9852D63447</vt:lpwstr>
  </property>
</Properties>
</file>