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6"/>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6"/>
        <w:ind w:left="-500" w:leftChars="-238" w:firstLine="420" w:firstLineChars="199"/>
        <w:rPr>
          <w:rFonts w:hint="eastAsia"/>
          <w:lang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6"/>
        <w:ind w:left="-708" w:leftChars="-337"/>
        <w:rPr>
          <w:rFonts w:cs="宋体"/>
          <w:b/>
          <w:bCs/>
          <w:sz w:val="28"/>
          <w:szCs w:val="28"/>
        </w:rPr>
      </w:pPr>
      <w:r>
        <w:rPr>
          <w:rFonts w:hint="eastAsia" w:cs="宋体"/>
          <w:b/>
          <w:bCs/>
          <w:sz w:val="28"/>
          <w:szCs w:val="28"/>
        </w:rPr>
        <w:t>一、采购清单、技术规格参数、质量标准和要求</w:t>
      </w:r>
    </w:p>
    <w:p>
      <w:pPr>
        <w:pStyle w:val="6"/>
        <w:ind w:left="-708" w:leftChars="-337"/>
        <w:rPr>
          <w:b/>
          <w:bCs/>
        </w:rPr>
      </w:pPr>
      <w:r>
        <w:rPr>
          <w:rFonts w:hint="eastAsia" w:cs="宋体"/>
          <w:b/>
          <w:bCs/>
        </w:rPr>
        <w:t>（一）采购清单</w:t>
      </w:r>
      <w:r>
        <w:rPr>
          <w:b/>
          <w:bCs/>
        </w:rPr>
        <w:t> </w:t>
      </w:r>
    </w:p>
    <w:tbl>
      <w:tblPr>
        <w:tblStyle w:val="12"/>
        <w:tblW w:w="9275" w:type="dxa"/>
        <w:tblInd w:w="-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3"/>
        <w:gridCol w:w="937"/>
        <w:gridCol w:w="1937"/>
        <w:gridCol w:w="4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Pr>
          <w:p>
            <w:pPr>
              <w:pStyle w:val="6"/>
              <w:jc w:val="both"/>
              <w:rPr>
                <w:rFonts w:hint="default" w:eastAsia="宋体"/>
                <w:b w:val="0"/>
                <w:bCs w:val="0"/>
                <w:vertAlign w:val="baseline"/>
                <w:lang w:val="en-US" w:eastAsia="zh-CN"/>
              </w:rPr>
            </w:pPr>
            <w:r>
              <w:rPr>
                <w:rFonts w:hint="eastAsia"/>
                <w:b w:val="0"/>
                <w:bCs w:val="0"/>
                <w:vertAlign w:val="baseline"/>
                <w:lang w:val="en-US" w:eastAsia="zh-CN"/>
              </w:rPr>
              <w:t>名称</w:t>
            </w:r>
          </w:p>
        </w:tc>
        <w:tc>
          <w:tcPr>
            <w:tcW w:w="937" w:type="dxa"/>
          </w:tcPr>
          <w:p>
            <w:pPr>
              <w:pStyle w:val="6"/>
              <w:jc w:val="both"/>
              <w:rPr>
                <w:rFonts w:hint="default" w:eastAsia="宋体"/>
                <w:b w:val="0"/>
                <w:bCs w:val="0"/>
                <w:vertAlign w:val="baseline"/>
                <w:lang w:val="en-US" w:eastAsia="zh-CN"/>
              </w:rPr>
            </w:pPr>
            <w:r>
              <w:rPr>
                <w:rFonts w:hint="eastAsia"/>
                <w:b w:val="0"/>
                <w:bCs w:val="0"/>
                <w:vertAlign w:val="baseline"/>
                <w:lang w:val="en-US" w:eastAsia="zh-CN"/>
              </w:rPr>
              <w:t>数量</w:t>
            </w:r>
          </w:p>
        </w:tc>
        <w:tc>
          <w:tcPr>
            <w:tcW w:w="1937" w:type="dxa"/>
          </w:tcPr>
          <w:p>
            <w:pPr>
              <w:pStyle w:val="6"/>
              <w:jc w:val="both"/>
              <w:rPr>
                <w:rFonts w:hint="eastAsia" w:eastAsia="宋体"/>
                <w:b w:val="0"/>
                <w:bCs w:val="0"/>
                <w:vertAlign w:val="baseline"/>
                <w:lang w:val="en-US" w:eastAsia="zh-CN"/>
              </w:rPr>
            </w:pPr>
            <w:r>
              <w:rPr>
                <w:rFonts w:hint="eastAsia"/>
                <w:b w:val="0"/>
                <w:bCs w:val="0"/>
                <w:vertAlign w:val="baseline"/>
                <w:lang w:val="en-US" w:eastAsia="zh-CN"/>
              </w:rPr>
              <w:t>单价限价（万元）</w:t>
            </w:r>
          </w:p>
        </w:tc>
        <w:tc>
          <w:tcPr>
            <w:tcW w:w="4438" w:type="dxa"/>
            <w:vAlign w:val="top"/>
          </w:tcPr>
          <w:p>
            <w:pPr>
              <w:pStyle w:val="6"/>
              <w:ind w:firstLine="720" w:firstLineChars="300"/>
              <w:jc w:val="both"/>
              <w:rPr>
                <w:rFonts w:hint="default" w:eastAsia="宋体"/>
                <w:b w:val="0"/>
                <w:bCs w:val="0"/>
                <w:vertAlign w:val="baseline"/>
                <w:lang w:val="en-US" w:eastAsia="zh-CN"/>
              </w:rPr>
            </w:pPr>
            <w:r>
              <w:rPr>
                <w:rFonts w:hint="eastAsia" w:ascii="宋体" w:hAnsi="宋体" w:cs="宋体"/>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3" w:type="dxa"/>
          </w:tcPr>
          <w:p>
            <w:pPr>
              <w:pStyle w:val="6"/>
              <w:jc w:val="center"/>
              <w:rPr>
                <w:rFonts w:hint="default" w:eastAsia="宋体"/>
                <w:b w:val="0"/>
                <w:bCs w:val="0"/>
                <w:sz w:val="24"/>
                <w:szCs w:val="24"/>
                <w:vertAlign w:val="baseline"/>
                <w:lang w:val="en-US" w:eastAsia="zh-CN"/>
              </w:rPr>
            </w:pPr>
            <w:r>
              <w:rPr>
                <w:rFonts w:hint="eastAsia" w:ascii="宋体" w:hAnsi="宋体" w:cs="宋体"/>
              </w:rPr>
              <w:t>动态心电记录仪</w:t>
            </w:r>
          </w:p>
        </w:tc>
        <w:tc>
          <w:tcPr>
            <w:tcW w:w="937" w:type="dxa"/>
          </w:tcPr>
          <w:p>
            <w:pPr>
              <w:pStyle w:val="6"/>
              <w:jc w:val="center"/>
              <w:rPr>
                <w:rFonts w:hint="default" w:eastAsia="宋体"/>
                <w:b w:val="0"/>
                <w:bCs w:val="0"/>
                <w:sz w:val="24"/>
                <w:szCs w:val="24"/>
                <w:vertAlign w:val="baseline"/>
                <w:lang w:val="en-US" w:eastAsia="zh-CN"/>
              </w:rPr>
            </w:pPr>
            <w:r>
              <w:rPr>
                <w:rFonts w:hint="eastAsia"/>
                <w:b w:val="0"/>
                <w:bCs w:val="0"/>
                <w:sz w:val="24"/>
                <w:szCs w:val="24"/>
                <w:vertAlign w:val="baseline"/>
                <w:lang w:val="en-US" w:eastAsia="zh-CN"/>
              </w:rPr>
              <w:t>10台</w:t>
            </w:r>
          </w:p>
        </w:tc>
        <w:tc>
          <w:tcPr>
            <w:tcW w:w="1937" w:type="dxa"/>
          </w:tcPr>
          <w:p>
            <w:pPr>
              <w:pStyle w:val="6"/>
              <w:jc w:val="center"/>
              <w:rPr>
                <w:rFonts w:hint="eastAsia"/>
                <w:lang w:val="en-US" w:eastAsia="zh-CN"/>
              </w:rPr>
            </w:pPr>
            <w:r>
              <w:rPr>
                <w:rFonts w:hint="eastAsia"/>
                <w:lang w:val="en-US" w:eastAsia="zh-CN"/>
              </w:rPr>
              <w:t>2.25</w:t>
            </w:r>
          </w:p>
          <w:p>
            <w:pPr>
              <w:pStyle w:val="7"/>
              <w:widowControl w:val="0"/>
              <w:jc w:val="center"/>
              <w:rPr>
                <w:rFonts w:hint="default"/>
                <w:kern w:val="0"/>
                <w:lang w:val="en-US" w:eastAsia="zh-CN"/>
              </w:rPr>
            </w:pPr>
          </w:p>
        </w:tc>
        <w:tc>
          <w:tcPr>
            <w:tcW w:w="4438" w:type="dxa"/>
            <w:vAlign w:val="top"/>
          </w:tcPr>
          <w:p>
            <w:pPr>
              <w:pStyle w:val="6"/>
              <w:jc w:val="center"/>
              <w:rPr>
                <w:rFonts w:hint="eastAsia" w:eastAsia="宋体"/>
                <w:b/>
                <w:bCs/>
                <w:sz w:val="24"/>
                <w:szCs w:val="24"/>
                <w:vertAlign w:val="baseline"/>
                <w:lang w:val="en-US" w:eastAsia="zh-CN"/>
              </w:rPr>
            </w:pPr>
            <w:r>
              <w:rPr>
                <w:rFonts w:hint="eastAsia" w:ascii="宋体" w:hAnsi="宋体" w:cs="宋体"/>
              </w:rPr>
              <w:t>详见技术参数、性能（配置）及要其他求</w:t>
            </w:r>
          </w:p>
        </w:tc>
      </w:tr>
    </w:tbl>
    <w:p>
      <w:pPr>
        <w:pStyle w:val="6"/>
        <w:rPr>
          <w:rFonts w:hint="default" w:eastAsia="宋体"/>
          <w:b/>
          <w:bCs/>
          <w:lang w:val="en-US" w:eastAsia="zh-CN"/>
        </w:rPr>
      </w:pP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r>
        <w:rPr>
          <w:rFonts w:hint="eastAsia" w:cs="宋体"/>
          <w:b/>
          <w:bCs/>
          <w:kern w:val="0"/>
          <w:sz w:val="24"/>
          <w:szCs w:val="24"/>
          <w:lang w:eastAsia="zh-CN"/>
        </w:rPr>
        <w:t>要求</w:t>
      </w:r>
    </w:p>
    <w:p>
      <w:pPr>
        <w:numPr>
          <w:ilvl w:val="0"/>
          <w:numId w:val="0"/>
        </w:numPr>
        <w:adjustRightInd w:val="0"/>
        <w:snapToGrid w:val="0"/>
        <w:spacing w:line="300" w:lineRule="exact"/>
        <w:ind w:leftChars="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hint="eastAsia" w:ascii="宋体" w:hAnsi="宋体" w:eastAsia="宋体" w:cs="宋体"/>
          <w:i w:val="0"/>
          <w:iCs w:val="0"/>
          <w:caps w:val="0"/>
          <w:color w:val="606266"/>
          <w:spacing w:val="0"/>
          <w:sz w:val="24"/>
          <w:szCs w:val="24"/>
          <w:shd w:val="clear" w:color="auto" w:fill="auto"/>
        </w:rPr>
        <w:t>产品用于心电信号的记录和分析，供临床诊断和研究用</w:t>
      </w:r>
    </w:p>
    <w:p>
      <w:pPr>
        <w:numPr>
          <w:ilvl w:val="0"/>
          <w:numId w:val="0"/>
        </w:numPr>
        <w:adjustRightInd w:val="0"/>
        <w:snapToGrid w:val="0"/>
        <w:spacing w:line="300" w:lineRule="exact"/>
        <w:ind w:leftChars="0"/>
        <w:rPr>
          <w:rFonts w:hint="eastAsia" w:ascii="宋体" w:hAnsi="宋体"/>
          <w:sz w:val="24"/>
        </w:rPr>
      </w:pPr>
      <w:r>
        <w:rPr>
          <w:rFonts w:hint="eastAsia" w:ascii="宋体" w:hAnsi="宋体" w:cs="宋体"/>
          <w:color w:val="000000"/>
          <w:sz w:val="24"/>
          <w:lang w:val="en-US" w:eastAsia="zh-CN"/>
        </w:rPr>
        <w:t>2.</w:t>
      </w:r>
      <w:r>
        <w:rPr>
          <w:rFonts w:hint="eastAsia" w:ascii="宋体" w:hAnsi="宋体" w:cs="宋体"/>
          <w:color w:val="000000"/>
          <w:sz w:val="24"/>
        </w:rPr>
        <w:t>导联方式：标准</w:t>
      </w:r>
      <w:r>
        <w:rPr>
          <w:rFonts w:ascii="宋体" w:hAnsi="宋体" w:cs="宋体"/>
          <w:color w:val="000000"/>
          <w:sz w:val="24"/>
        </w:rPr>
        <w:t>12</w:t>
      </w:r>
      <w:r>
        <w:rPr>
          <w:rFonts w:hint="eastAsia" w:ascii="宋体" w:hAnsi="宋体" w:cs="宋体"/>
          <w:color w:val="000000"/>
          <w:sz w:val="24"/>
        </w:rPr>
        <w:t>导联，</w:t>
      </w:r>
      <w:r>
        <w:rPr>
          <w:rFonts w:ascii="宋体" w:hAnsi="宋体" w:cs="宋体"/>
          <w:color w:val="000000"/>
          <w:sz w:val="24"/>
        </w:rPr>
        <w:t>10</w:t>
      </w:r>
      <w:r>
        <w:rPr>
          <w:rFonts w:hint="eastAsia" w:ascii="宋体" w:hAnsi="宋体" w:cs="宋体"/>
          <w:color w:val="000000"/>
          <w:sz w:val="24"/>
        </w:rPr>
        <w:t>根导联线记录，真实准确采集</w:t>
      </w:r>
      <w:r>
        <w:rPr>
          <w:rFonts w:ascii="宋体" w:hAnsi="宋体" w:cs="宋体"/>
          <w:color w:val="000000"/>
          <w:sz w:val="24"/>
        </w:rPr>
        <w:t>12</w:t>
      </w:r>
      <w:r>
        <w:rPr>
          <w:rFonts w:hint="eastAsia" w:ascii="宋体" w:hAnsi="宋体" w:cs="宋体"/>
          <w:color w:val="000000"/>
          <w:sz w:val="24"/>
        </w:rPr>
        <w:t>导心电数据</w:t>
      </w:r>
      <w:r>
        <w:rPr>
          <w:rFonts w:hint="eastAsia" w:ascii="宋体" w:hAnsi="宋体"/>
          <w:sz w:val="24"/>
        </w:rPr>
        <w:t>；</w:t>
      </w:r>
    </w:p>
    <w:p>
      <w:pPr>
        <w:numPr>
          <w:ilvl w:val="0"/>
          <w:numId w:val="0"/>
        </w:numPr>
        <w:adjustRightInd w:val="0"/>
        <w:snapToGrid w:val="0"/>
        <w:spacing w:line="300" w:lineRule="exact"/>
        <w:ind w:leftChars="0"/>
        <w:rPr>
          <w:rFonts w:hint="eastAsia" w:ascii="宋体" w:hAnsi="宋体"/>
          <w:sz w:val="24"/>
        </w:rPr>
      </w:pPr>
      <w:r>
        <w:rPr>
          <w:rFonts w:hint="eastAsia" w:ascii="宋体" w:hAnsi="宋体" w:cs="宋体"/>
          <w:sz w:val="24"/>
          <w:lang w:val="en-US" w:eastAsia="zh-CN"/>
        </w:rPr>
        <w:t>3.</w:t>
      </w:r>
      <w:r>
        <w:rPr>
          <w:rFonts w:hint="eastAsia" w:ascii="宋体" w:hAnsi="宋体" w:cs="宋体"/>
          <w:sz w:val="24"/>
        </w:rPr>
        <w:t>轻便小巧，</w:t>
      </w:r>
      <w:r>
        <w:rPr>
          <w:rFonts w:ascii="宋体" w:hAnsi="宋体" w:cs="宋体"/>
          <w:sz w:val="24"/>
        </w:rPr>
        <w:t>1</w:t>
      </w:r>
      <w:r>
        <w:rPr>
          <w:rFonts w:hint="eastAsia" w:ascii="宋体" w:hAnsi="宋体" w:cs="宋体"/>
          <w:sz w:val="24"/>
        </w:rPr>
        <w:t>节</w:t>
      </w:r>
      <w:r>
        <w:rPr>
          <w:rFonts w:ascii="宋体" w:hAnsi="宋体" w:cs="宋体"/>
          <w:sz w:val="24"/>
        </w:rPr>
        <w:t>7</w:t>
      </w:r>
      <w:r>
        <w:rPr>
          <w:rFonts w:hint="eastAsia" w:ascii="宋体" w:hAnsi="宋体" w:cs="宋体"/>
          <w:sz w:val="24"/>
        </w:rPr>
        <w:t>号碱性电池供电，最高可连续记录</w:t>
      </w:r>
      <w:r>
        <w:rPr>
          <w:rFonts w:ascii="宋体" w:hAnsi="宋体" w:cs="宋体"/>
          <w:sz w:val="24"/>
        </w:rPr>
        <w:t>96</w:t>
      </w:r>
      <w:r>
        <w:rPr>
          <w:rFonts w:hint="eastAsia" w:ascii="宋体" w:hAnsi="宋体" w:cs="宋体"/>
          <w:sz w:val="24"/>
        </w:rPr>
        <w:t>小时以上</w:t>
      </w:r>
      <w:r>
        <w:rPr>
          <w:rFonts w:hint="eastAsia" w:ascii="宋体" w:hAnsi="宋体"/>
          <w:sz w:val="24"/>
        </w:rPr>
        <w:t>；</w:t>
      </w:r>
      <w:bookmarkStart w:id="0" w:name="_GoBack"/>
      <w:bookmarkEnd w:id="0"/>
    </w:p>
    <w:p>
      <w:pPr>
        <w:numPr>
          <w:ilvl w:val="0"/>
          <w:numId w:val="0"/>
        </w:numPr>
        <w:adjustRightInd w:val="0"/>
        <w:snapToGrid w:val="0"/>
        <w:spacing w:line="300" w:lineRule="exact"/>
        <w:ind w:left="-6" w:leftChars="0"/>
        <w:rPr>
          <w:rFonts w:hint="eastAsia" w:ascii="宋体" w:hAnsi="宋体"/>
          <w:sz w:val="24"/>
        </w:rPr>
      </w:pPr>
      <w:r>
        <w:rPr>
          <w:rFonts w:hint="eastAsia" w:ascii="宋体" w:hAnsi="宋体" w:cs="宋体"/>
          <w:color w:val="000000"/>
          <w:sz w:val="24"/>
          <w:lang w:val="en-US" w:eastAsia="zh-CN"/>
        </w:rPr>
        <w:t>4.</w:t>
      </w:r>
      <w:r>
        <w:rPr>
          <w:rFonts w:hint="eastAsia" w:ascii="宋体" w:hAnsi="宋体" w:cs="宋体"/>
          <w:color w:val="000000"/>
          <w:sz w:val="24"/>
        </w:rPr>
        <w:t>记录盒上的液晶屏可以查看数据采集模式，可以实时观察任意导联心电波形，确保电极安放成功；可以精确查看任意导联连接状态；可以查看数据采集完成进度；可以监控电池用量；能显示起博钉标识；</w:t>
      </w:r>
    </w:p>
    <w:p>
      <w:pPr>
        <w:numPr>
          <w:ilvl w:val="0"/>
          <w:numId w:val="0"/>
        </w:numPr>
        <w:adjustRightInd w:val="0"/>
        <w:snapToGrid w:val="0"/>
        <w:spacing w:line="300" w:lineRule="exact"/>
        <w:ind w:left="-6" w:leftChars="0"/>
        <w:rPr>
          <w:rFonts w:hint="eastAsia" w:ascii="宋体" w:hAnsi="宋体"/>
          <w:sz w:val="24"/>
        </w:rPr>
      </w:pPr>
      <w:r>
        <w:rPr>
          <w:rFonts w:hint="eastAsia" w:ascii="宋体" w:hAnsi="宋体" w:cs="宋体"/>
          <w:color w:val="000000"/>
          <w:sz w:val="24"/>
          <w:lang w:val="en-US" w:eastAsia="zh-CN"/>
        </w:rPr>
        <w:t>5.</w:t>
      </w:r>
      <w:r>
        <w:rPr>
          <w:rFonts w:hint="eastAsia" w:ascii="宋体" w:hAnsi="宋体" w:cs="宋体"/>
          <w:color w:val="000000"/>
          <w:sz w:val="24"/>
        </w:rPr>
        <w:t>采样率4000</w:t>
      </w:r>
      <w:r>
        <w:rPr>
          <w:rFonts w:ascii="宋体" w:hAnsi="宋体" w:cs="宋体"/>
          <w:color w:val="000000"/>
          <w:sz w:val="24"/>
        </w:rPr>
        <w:t>Hz</w:t>
      </w:r>
      <w:r>
        <w:rPr>
          <w:rFonts w:hint="eastAsia" w:ascii="宋体" w:hAnsi="宋体" w:cs="宋体"/>
          <w:color w:val="000000"/>
          <w:sz w:val="24"/>
        </w:rPr>
        <w:t>，开启起搏达到</w:t>
      </w:r>
      <w:r>
        <w:rPr>
          <w:rFonts w:ascii="宋体" w:hAnsi="宋体" w:cs="宋体"/>
          <w:color w:val="000000"/>
          <w:sz w:val="24"/>
        </w:rPr>
        <w:t>1000</w:t>
      </w:r>
      <w:r>
        <w:rPr>
          <w:rFonts w:hint="eastAsia" w:ascii="宋体" w:hAnsi="宋体" w:cs="宋体"/>
          <w:color w:val="000000"/>
          <w:sz w:val="24"/>
        </w:rPr>
        <w:t>0</w:t>
      </w:r>
      <w:r>
        <w:rPr>
          <w:rFonts w:ascii="宋体" w:hAnsi="宋体" w:cs="宋体"/>
          <w:color w:val="000000"/>
          <w:sz w:val="24"/>
        </w:rPr>
        <w:t>Hz</w:t>
      </w:r>
      <w:r>
        <w:rPr>
          <w:rFonts w:hint="eastAsia" w:ascii="宋体" w:hAnsi="宋体" w:cs="宋体"/>
          <w:color w:val="000000"/>
          <w:sz w:val="24"/>
        </w:rPr>
        <w:t>。高信噪比（</w:t>
      </w:r>
      <w:r>
        <w:rPr>
          <w:rFonts w:ascii="宋体" w:hAnsi="宋体" w:cs="宋体"/>
          <w:color w:val="000000"/>
          <w:sz w:val="24"/>
        </w:rPr>
        <w:t>&gt;100dB</w:t>
      </w:r>
      <w:r>
        <w:rPr>
          <w:rFonts w:hint="eastAsia" w:ascii="宋体" w:hAnsi="宋体" w:cs="宋体"/>
          <w:color w:val="000000"/>
          <w:sz w:val="24"/>
        </w:rPr>
        <w:t>），高精度高分辨率（</w:t>
      </w:r>
      <w:r>
        <w:rPr>
          <w:rFonts w:ascii="宋体" w:hAnsi="宋体" w:cs="宋体"/>
          <w:color w:val="000000"/>
          <w:sz w:val="24"/>
        </w:rPr>
        <w:t>16bit,</w:t>
      </w:r>
      <w:r>
        <w:rPr>
          <w:rFonts w:hint="eastAsia" w:ascii="宋体" w:hAnsi="宋体" w:cs="宋体"/>
          <w:color w:val="000000"/>
          <w:sz w:val="24"/>
        </w:rPr>
        <w:t>最高</w:t>
      </w:r>
      <w:r>
        <w:rPr>
          <w:rFonts w:ascii="宋体" w:hAnsi="宋体" w:cs="宋体"/>
          <w:color w:val="000000"/>
          <w:sz w:val="24"/>
        </w:rPr>
        <w:t>10000Hz</w:t>
      </w:r>
      <w:r>
        <w:rPr>
          <w:rFonts w:hint="eastAsia" w:ascii="宋体" w:hAnsi="宋体" w:cs="宋体"/>
          <w:color w:val="000000"/>
          <w:sz w:val="24"/>
        </w:rPr>
        <w:t>采样）</w:t>
      </w:r>
      <w:r>
        <w:rPr>
          <w:rFonts w:hint="eastAsia" w:ascii="宋体" w:hAnsi="宋体"/>
          <w:sz w:val="24"/>
        </w:rPr>
        <w:t>；</w:t>
      </w:r>
    </w:p>
    <w:p>
      <w:pPr>
        <w:numPr>
          <w:ilvl w:val="0"/>
          <w:numId w:val="0"/>
        </w:numPr>
        <w:adjustRightInd w:val="0"/>
        <w:snapToGrid w:val="0"/>
        <w:spacing w:line="300" w:lineRule="exact"/>
        <w:ind w:left="-6" w:leftChars="0"/>
        <w:rPr>
          <w:rFonts w:hint="eastAsia" w:ascii="宋体" w:hAnsi="宋体"/>
          <w:sz w:val="24"/>
        </w:rPr>
      </w:pPr>
      <w:r>
        <w:rPr>
          <w:rFonts w:hint="eastAsia" w:ascii="宋体" w:hAnsi="宋体" w:cs="宋体"/>
          <w:color w:val="000000"/>
          <w:sz w:val="24"/>
          <w:lang w:val="en-US" w:eastAsia="zh-CN"/>
        </w:rPr>
        <w:t>6.</w:t>
      </w:r>
      <w:r>
        <w:rPr>
          <w:rFonts w:hint="eastAsia" w:ascii="宋体" w:hAnsi="宋体" w:cs="宋体"/>
          <w:color w:val="000000"/>
          <w:sz w:val="24"/>
        </w:rPr>
        <w:t>多通道采集起搏器信号，内置起搏器检测电路；</w:t>
      </w:r>
    </w:p>
    <w:p>
      <w:pPr>
        <w:numPr>
          <w:ilvl w:val="0"/>
          <w:numId w:val="0"/>
        </w:numPr>
        <w:adjustRightInd w:val="0"/>
        <w:snapToGrid w:val="0"/>
        <w:spacing w:line="300" w:lineRule="exact"/>
        <w:ind w:left="-6" w:leftChars="0"/>
        <w:rPr>
          <w:rFonts w:hint="eastAsia" w:ascii="宋体" w:hAnsi="宋体"/>
          <w:sz w:val="24"/>
        </w:rPr>
      </w:pPr>
      <w:r>
        <w:rPr>
          <w:rFonts w:hint="eastAsia" w:ascii="宋体" w:hAnsi="宋体" w:cs="宋体"/>
          <w:color w:val="000000"/>
          <w:sz w:val="24"/>
          <w:lang w:val="en-US" w:eastAsia="zh-CN"/>
        </w:rPr>
        <w:t>7.</w:t>
      </w:r>
      <w:r>
        <w:rPr>
          <w:rFonts w:hint="eastAsia" w:ascii="宋体" w:hAnsi="宋体" w:cs="宋体"/>
          <w:color w:val="000000"/>
          <w:sz w:val="24"/>
        </w:rPr>
        <w:t>存储类型为</w:t>
      </w:r>
      <w:r>
        <w:rPr>
          <w:rFonts w:ascii="宋体" w:hAnsi="宋体" w:cs="宋体"/>
          <w:color w:val="000000"/>
          <w:sz w:val="24"/>
        </w:rPr>
        <w:t>SD</w:t>
      </w:r>
      <w:r>
        <w:rPr>
          <w:rFonts w:hint="eastAsia" w:ascii="宋体" w:hAnsi="宋体" w:cs="宋体"/>
          <w:color w:val="000000"/>
          <w:sz w:val="24"/>
        </w:rPr>
        <w:t>存储卡，</w:t>
      </w:r>
      <w:r>
        <w:rPr>
          <w:rFonts w:hint="eastAsia" w:ascii="宋体" w:hAnsi="宋体" w:cs="宋体"/>
          <w:sz w:val="24"/>
        </w:rPr>
        <w:t>容量为</w:t>
      </w:r>
      <w:r>
        <w:rPr>
          <w:rFonts w:ascii="宋体" w:hAnsi="宋体" w:cs="宋体"/>
          <w:sz w:val="24"/>
        </w:rPr>
        <w:t>4G</w:t>
      </w:r>
      <w:r>
        <w:rPr>
          <w:rFonts w:hint="eastAsia" w:ascii="宋体" w:hAnsi="宋体" w:cs="宋体"/>
          <w:sz w:val="24"/>
        </w:rPr>
        <w:t>；</w:t>
      </w:r>
    </w:p>
    <w:p>
      <w:pPr>
        <w:numPr>
          <w:ilvl w:val="0"/>
          <w:numId w:val="0"/>
        </w:numPr>
        <w:adjustRightInd w:val="0"/>
        <w:snapToGrid w:val="0"/>
        <w:spacing w:line="300" w:lineRule="exact"/>
        <w:ind w:left="-6" w:leftChars="0"/>
        <w:rPr>
          <w:rFonts w:hint="eastAsia" w:ascii="宋体" w:hAnsi="宋体"/>
          <w:sz w:val="24"/>
        </w:rPr>
      </w:pPr>
      <w:r>
        <w:rPr>
          <w:rFonts w:hint="eastAsia" w:ascii="宋体" w:hAnsi="宋体" w:cs="宋体"/>
          <w:color w:val="000000"/>
          <w:sz w:val="24"/>
          <w:lang w:val="en-US" w:eastAsia="zh-CN"/>
        </w:rPr>
        <w:t>8.</w:t>
      </w:r>
      <w:r>
        <w:rPr>
          <w:rFonts w:hint="eastAsia" w:ascii="宋体" w:hAnsi="宋体" w:cs="宋体"/>
          <w:color w:val="000000"/>
          <w:sz w:val="24"/>
        </w:rPr>
        <w:t>可采集最小脉宽</w:t>
      </w:r>
      <w:r>
        <w:rPr>
          <w:rFonts w:ascii="宋体" w:hAnsi="宋体" w:cs="宋体"/>
          <w:color w:val="000000"/>
          <w:sz w:val="24"/>
        </w:rPr>
        <w:t>0.1ms</w:t>
      </w:r>
      <w:r>
        <w:rPr>
          <w:rFonts w:hint="eastAsia" w:ascii="宋体" w:hAnsi="宋体" w:cs="宋体"/>
          <w:color w:val="000000"/>
          <w:sz w:val="24"/>
        </w:rPr>
        <w:t>，最小幅值</w:t>
      </w:r>
      <w:r>
        <w:rPr>
          <w:rFonts w:ascii="宋体" w:hAnsi="宋体" w:cs="宋体"/>
          <w:color w:val="000000"/>
          <w:sz w:val="24"/>
        </w:rPr>
        <w:t>2mv</w:t>
      </w:r>
      <w:r>
        <w:rPr>
          <w:rFonts w:hint="eastAsia" w:ascii="宋体" w:hAnsi="宋体" w:cs="宋体"/>
          <w:color w:val="000000"/>
          <w:sz w:val="24"/>
        </w:rPr>
        <w:t>的起搏器信号；</w:t>
      </w:r>
    </w:p>
    <w:p>
      <w:pPr>
        <w:numPr>
          <w:ilvl w:val="0"/>
          <w:numId w:val="0"/>
        </w:numPr>
        <w:adjustRightInd w:val="0"/>
        <w:snapToGrid w:val="0"/>
        <w:spacing w:line="300" w:lineRule="exact"/>
        <w:ind w:left="-6" w:leftChars="0"/>
        <w:rPr>
          <w:rFonts w:hint="eastAsia" w:ascii="宋体" w:hAnsi="宋体" w:cs="宋体"/>
          <w:b w:val="0"/>
          <w:bCs w:val="0"/>
          <w:color w:val="000000"/>
          <w:sz w:val="24"/>
        </w:rPr>
      </w:pPr>
      <w:r>
        <w:rPr>
          <w:rFonts w:hint="eastAsia" w:ascii="宋体" w:hAnsi="宋体" w:cs="宋体"/>
          <w:color w:val="000000"/>
          <w:sz w:val="24"/>
          <w:lang w:val="en-US" w:eastAsia="zh-CN"/>
        </w:rPr>
        <w:t>9.</w:t>
      </w:r>
      <w:r>
        <w:rPr>
          <w:rFonts w:hint="eastAsia" w:ascii="宋体" w:hAnsi="宋体" w:cs="宋体"/>
          <w:color w:val="000000"/>
          <w:sz w:val="24"/>
        </w:rPr>
        <w:t>记录盒内置电池电量检测和导联脱落检测电路，当电池电量不足或者导联线脱落时，</w:t>
      </w:r>
      <w:r>
        <w:rPr>
          <w:rFonts w:hint="eastAsia" w:ascii="宋体" w:hAnsi="宋体" w:cs="宋体"/>
          <w:b w:val="0"/>
          <w:bCs w:val="0"/>
          <w:color w:val="000000"/>
          <w:sz w:val="24"/>
        </w:rPr>
        <w:t>采用蜂鸣器和指示灯的方式报警；</w:t>
      </w:r>
    </w:p>
    <w:p>
      <w:pPr>
        <w:numPr>
          <w:ilvl w:val="0"/>
          <w:numId w:val="0"/>
        </w:numPr>
        <w:adjustRightInd w:val="0"/>
        <w:snapToGrid w:val="0"/>
        <w:spacing w:line="300" w:lineRule="exact"/>
        <w:ind w:left="-6" w:leftChars="0"/>
        <w:rPr>
          <w:rFonts w:hint="eastAsia" w:ascii="宋体" w:hAnsi="宋体" w:cs="宋体"/>
          <w:color w:val="000000"/>
          <w:sz w:val="24"/>
        </w:rPr>
      </w:pPr>
      <w:r>
        <w:rPr>
          <w:rFonts w:hint="eastAsia" w:ascii="宋体" w:hAnsi="宋体" w:cs="宋体"/>
          <w:color w:val="000000"/>
          <w:sz w:val="24"/>
          <w:lang w:val="en-US" w:eastAsia="zh-CN"/>
        </w:rPr>
        <w:t>10.</w:t>
      </w:r>
      <w:r>
        <w:rPr>
          <w:rFonts w:hint="eastAsia" w:ascii="宋体" w:hAnsi="宋体" w:cs="宋体"/>
          <w:color w:val="000000"/>
          <w:sz w:val="24"/>
        </w:rPr>
        <w:t>频率响应：+3dB~-3dB @ 0.05~60 Hz</w:t>
      </w:r>
      <w:r>
        <w:rPr>
          <w:rFonts w:hint="eastAsia" w:ascii="宋体" w:hAnsi="宋体" w:cs="宋体"/>
          <w:color w:val="000000"/>
          <w:sz w:val="24"/>
          <w:lang w:eastAsia="zh-CN"/>
        </w:rPr>
        <w:t>；</w:t>
      </w:r>
      <w:r>
        <w:rPr>
          <w:rFonts w:hint="eastAsia" w:ascii="宋体" w:hAnsi="宋体" w:cs="宋体"/>
          <w:color w:val="000000"/>
          <w:sz w:val="24"/>
        </w:rPr>
        <w:t>动态输入范围：10mV，耐极化电压：±300mV</w:t>
      </w:r>
    </w:p>
    <w:p>
      <w:pPr>
        <w:numPr>
          <w:ilvl w:val="0"/>
          <w:numId w:val="0"/>
        </w:numPr>
        <w:adjustRightInd w:val="0"/>
        <w:snapToGrid w:val="0"/>
        <w:spacing w:line="300" w:lineRule="exact"/>
        <w:ind w:left="-6" w:leftChars="0"/>
        <w:rPr>
          <w:rFonts w:hint="eastAsia" w:ascii="宋体" w:hAnsi="宋体" w:cs="宋体"/>
          <w:color w:val="000000"/>
          <w:sz w:val="24"/>
        </w:rPr>
      </w:pPr>
      <w:r>
        <w:rPr>
          <w:rFonts w:hint="eastAsia" w:ascii="宋体" w:hAnsi="宋体" w:cs="宋体"/>
          <w:color w:val="000000"/>
          <w:sz w:val="24"/>
        </w:rPr>
        <w:t>共模抑制比&gt;100dB；</w:t>
      </w:r>
    </w:p>
    <w:p>
      <w:pPr>
        <w:numPr>
          <w:ilvl w:val="0"/>
          <w:numId w:val="0"/>
        </w:numPr>
        <w:adjustRightInd w:val="0"/>
        <w:snapToGrid w:val="0"/>
        <w:spacing w:line="300" w:lineRule="exact"/>
        <w:ind w:left="-6" w:leftChars="0"/>
        <w:rPr>
          <w:rFonts w:hint="eastAsia" w:ascii="宋体" w:hAnsi="宋体" w:cs="宋体"/>
          <w:color w:val="000000"/>
          <w:sz w:val="24"/>
        </w:rPr>
      </w:pPr>
      <w:r>
        <w:rPr>
          <w:rFonts w:hint="eastAsia" w:ascii="宋体" w:hAnsi="宋体" w:cs="宋体"/>
          <w:color w:val="000000"/>
          <w:sz w:val="24"/>
          <w:lang w:val="en-US" w:eastAsia="zh-CN"/>
        </w:rPr>
        <w:t>11.</w:t>
      </w:r>
      <w:r>
        <w:rPr>
          <w:rFonts w:hint="eastAsia" w:ascii="宋体" w:hAnsi="宋体" w:cs="宋体"/>
          <w:color w:val="000000"/>
          <w:sz w:val="24"/>
        </w:rPr>
        <w:t>导联连接正常时，记录盒可自动开始记录；</w:t>
      </w:r>
    </w:p>
    <w:p>
      <w:pPr>
        <w:numPr>
          <w:ilvl w:val="0"/>
          <w:numId w:val="2"/>
        </w:numPr>
        <w:adjustRightInd w:val="0"/>
        <w:snapToGrid w:val="0"/>
        <w:spacing w:line="300" w:lineRule="exact"/>
        <w:ind w:left="-6" w:leftChars="0"/>
        <w:rPr>
          <w:rFonts w:hint="eastAsia" w:ascii="宋体" w:hAnsi="宋体" w:cs="宋体"/>
          <w:color w:val="000000"/>
          <w:sz w:val="24"/>
        </w:rPr>
      </w:pPr>
      <w:r>
        <w:rPr>
          <w:rFonts w:hint="eastAsia" w:ascii="宋体" w:hAnsi="宋体" w:cs="宋体"/>
          <w:color w:val="000000"/>
          <w:sz w:val="24"/>
        </w:rPr>
        <w:t>支持自定义ST段/T波幅值扫描功能,可手动指定ST段J点或T波起始结束等测量点；</w:t>
      </w:r>
    </w:p>
    <w:p>
      <w:pPr>
        <w:pStyle w:val="6"/>
        <w:numPr>
          <w:ilvl w:val="0"/>
          <w:numId w:val="2"/>
        </w:numPr>
        <w:rPr>
          <w:rFonts w:hint="default" w:eastAsia="宋体"/>
          <w:lang w:val="en-US" w:eastAsia="zh-CN"/>
        </w:rPr>
      </w:pPr>
      <w:r>
        <w:rPr>
          <w:rFonts w:hint="eastAsia" w:ascii="宋体" w:hAnsi="宋体" w:cs="宋体"/>
          <w:color w:val="000000"/>
          <w:kern w:val="2"/>
          <w:sz w:val="24"/>
          <w:szCs w:val="21"/>
          <w:lang w:val="en-US" w:eastAsia="zh-CN" w:bidi="ar-SA"/>
        </w:rPr>
        <w:t>系统</w:t>
      </w:r>
      <w:r>
        <w:rPr>
          <w:rFonts w:hint="eastAsia" w:ascii="宋体" w:hAnsi="宋体" w:eastAsia="宋体" w:cs="宋体"/>
          <w:color w:val="000000"/>
          <w:kern w:val="2"/>
          <w:sz w:val="24"/>
          <w:szCs w:val="21"/>
          <w:lang w:val="en-US" w:eastAsia="zh-CN" w:bidi="ar-SA"/>
        </w:rPr>
        <w:t>可支持科研需求,可导出病例原始心搏分析结果为Excel表格文件,支持病例心电数据导出为EDF格式</w:t>
      </w:r>
      <w:r>
        <w:rPr>
          <w:rFonts w:hint="eastAsia" w:ascii="宋体" w:hAnsi="宋体" w:cs="宋体"/>
          <w:color w:val="000000"/>
          <w:sz w:val="24"/>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b w:val="0"/>
          <w:bCs w:val="0"/>
          <w:sz w:val="24"/>
          <w:lang w:eastAsia="zh-CN"/>
        </w:rPr>
      </w:pPr>
      <w:r>
        <w:rPr>
          <w:rFonts w:hint="eastAsia"/>
          <w:b/>
          <w:bCs/>
          <w:color w:val="FF0000"/>
          <w:sz w:val="21"/>
          <w:szCs w:val="21"/>
        </w:rPr>
        <w:t>★</w:t>
      </w:r>
      <w:r>
        <w:rPr>
          <w:rFonts w:hint="eastAsia" w:ascii="宋体" w:hAnsi="宋体" w:cs="宋体"/>
          <w:b w:val="0"/>
          <w:bCs w:val="0"/>
          <w:color w:val="000000" w:themeColor="text1"/>
          <w:sz w:val="24"/>
          <w:szCs w:val="24"/>
          <w:lang w:val="en-US" w:eastAsia="zh-CN"/>
          <w14:textFill>
            <w14:solidFill>
              <w14:schemeClr w14:val="tx1"/>
            </w14:solidFill>
          </w14:textFill>
        </w:rPr>
        <w:t>14</w:t>
      </w:r>
      <w:r>
        <w:rPr>
          <w:rFonts w:hint="eastAsia" w:ascii="宋体" w:hAnsi="宋体" w:eastAsia="宋体" w:cs="宋体"/>
          <w:b w:val="0"/>
          <w:bCs w:val="0"/>
          <w:color w:val="000000" w:themeColor="text1"/>
          <w:sz w:val="24"/>
          <w:szCs w:val="24"/>
          <w:lang w:val="en-US" w:eastAsia="zh-CN"/>
          <w14:textFill>
            <w14:solidFill>
              <w14:schemeClr w14:val="tx1"/>
            </w14:solidFill>
          </w14:textFill>
        </w:rPr>
        <w:t>.</w:t>
      </w:r>
      <w:r>
        <w:rPr>
          <w:rFonts w:hint="eastAsia" w:ascii="宋体" w:hAnsi="宋体" w:cs="宋体"/>
          <w:b w:val="0"/>
          <w:bCs w:val="0"/>
          <w:color w:val="000000" w:themeColor="text1"/>
          <w:sz w:val="24"/>
          <w:szCs w:val="24"/>
          <w:lang w:val="en-US" w:eastAsia="zh-CN"/>
          <w14:textFill>
            <w14:solidFill>
              <w14:schemeClr w14:val="tx1"/>
            </w14:solidFill>
          </w14:textFill>
        </w:rPr>
        <w:t>免费接入</w:t>
      </w:r>
      <w:r>
        <w:rPr>
          <w:rFonts w:hint="eastAsia" w:ascii="宋体" w:hAnsi="宋体"/>
          <w:b w:val="0"/>
          <w:bCs w:val="0"/>
          <w:sz w:val="24"/>
        </w:rPr>
        <w:t>我院现有动态心电图系统</w:t>
      </w:r>
      <w:r>
        <w:rPr>
          <w:rFonts w:hint="eastAsia" w:ascii="宋体" w:hAnsi="宋体" w:cs="宋体"/>
          <w:color w:val="000000"/>
          <w:sz w:val="24"/>
        </w:rPr>
        <w:t>；</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b w:val="0"/>
          <w:bCs w:val="0"/>
          <w:color w:val="FF0000"/>
          <w:sz w:val="24"/>
          <w:lang w:val="en-US" w:eastAsia="zh-CN"/>
        </w:rPr>
      </w:pPr>
      <w:r>
        <w:rPr>
          <w:rFonts w:hint="eastAsia" w:ascii="宋体" w:hAnsi="宋体"/>
          <w:b w:val="0"/>
          <w:bCs w:val="0"/>
          <w:color w:val="FF0000"/>
          <w:sz w:val="24"/>
          <w:lang w:val="en-US" w:eastAsia="zh-CN"/>
        </w:rPr>
        <w:t>15.配备品牌电脑2套。</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项目产品</w:t>
      </w:r>
      <w:r>
        <w:rPr>
          <w:rFonts w:hint="eastAsia" w:cs="宋体"/>
          <w:b/>
          <w:bCs/>
          <w:color w:val="000000"/>
          <w:kern w:val="0"/>
          <w:sz w:val="24"/>
          <w:szCs w:val="24"/>
        </w:rPr>
        <w:t>基本要求</w:t>
      </w:r>
    </w:p>
    <w:p>
      <w:pPr>
        <w:pStyle w:val="6"/>
        <w:ind w:left="-708" w:leftChars="-337"/>
        <w:rPr>
          <w:color w:val="auto"/>
        </w:rPr>
      </w:pPr>
      <w:r>
        <w:rPr>
          <w:rFonts w:hint="eastAsia"/>
          <w:color w:val="auto"/>
        </w:rPr>
        <w:t>1</w:t>
      </w:r>
      <w:r>
        <w:rPr>
          <w:rFonts w:hint="eastAsia"/>
          <w:color w:val="auto"/>
          <w:lang w:val="en-US" w:eastAsia="zh-CN"/>
        </w:rPr>
        <w:t>.</w:t>
      </w:r>
      <w:r>
        <w:rPr>
          <w:rFonts w:hint="eastAsia"/>
          <w:color w:val="auto"/>
        </w:rPr>
        <w:t>以上产品必须是具备合法资质的制造商生产的</w:t>
      </w:r>
      <w:r>
        <w:rPr>
          <w:rFonts w:hint="eastAsia"/>
          <w:b/>
          <w:bCs/>
          <w:color w:val="auto"/>
        </w:rPr>
        <w:t>全新正品</w:t>
      </w:r>
      <w:r>
        <w:rPr>
          <w:rFonts w:hint="eastAsia"/>
          <w:color w:val="auto"/>
        </w:rPr>
        <w:t>，并满足招标采购文件的要求，若产品在运输或安装过程中损坏或擦伤须无偿调换相同产品。</w:t>
      </w:r>
    </w:p>
    <w:p>
      <w:pPr>
        <w:pStyle w:val="6"/>
        <w:ind w:left="-708" w:leftChars="-337"/>
        <w:rPr>
          <w:color w:val="auto"/>
        </w:rPr>
      </w:pPr>
      <w:r>
        <w:rPr>
          <w:rFonts w:hint="eastAsia"/>
          <w:color w:val="auto"/>
        </w:rPr>
        <w:t>2</w:t>
      </w:r>
      <w:r>
        <w:rPr>
          <w:rFonts w:hint="eastAsia"/>
          <w:color w:val="auto"/>
          <w:lang w:val="en-US" w:eastAsia="zh-CN"/>
        </w:rPr>
        <w:t>.</w:t>
      </w:r>
      <w:r>
        <w:rPr>
          <w:rFonts w:hint="eastAsia"/>
          <w:color w:val="auto"/>
        </w:rPr>
        <w:t>投标人所投产品参数应同等或优于以上各项参数要求，产品、辅材及生产工艺符合国家相关规范。</w:t>
      </w:r>
    </w:p>
    <w:p>
      <w:pPr>
        <w:pStyle w:val="6"/>
        <w:ind w:left="-708" w:leftChars="-337"/>
        <w:rPr>
          <w:color w:val="auto"/>
        </w:rPr>
      </w:pPr>
      <w:r>
        <w:rPr>
          <w:rFonts w:hint="eastAsia"/>
          <w:color w:val="auto"/>
        </w:rPr>
        <w:t>3</w:t>
      </w:r>
      <w:r>
        <w:rPr>
          <w:rFonts w:hint="eastAsia"/>
          <w:color w:val="auto"/>
          <w:lang w:val="en-US" w:eastAsia="zh-CN"/>
        </w:rPr>
        <w:t>.</w:t>
      </w:r>
      <w:r>
        <w:rPr>
          <w:rFonts w:hint="eastAsia"/>
          <w:color w:val="auto"/>
        </w:rPr>
        <w:t>投标人应保证所提供的货物或其任何一部分均不会侵犯任何第三方的专利权、商标权等，如在使用过程中出现的一切经济和法律责任均由投标人负责。</w:t>
      </w:r>
    </w:p>
    <w:p>
      <w:pPr>
        <w:pStyle w:val="6"/>
        <w:ind w:left="-708" w:leftChars="-337"/>
        <w:rPr>
          <w:rFonts w:hint="eastAsia"/>
          <w:color w:val="auto"/>
        </w:rPr>
      </w:pPr>
      <w:r>
        <w:rPr>
          <w:rFonts w:hint="eastAsia"/>
          <w:color w:val="auto"/>
        </w:rPr>
        <w:t>4</w:t>
      </w:r>
      <w:r>
        <w:rPr>
          <w:rFonts w:hint="eastAsia"/>
          <w:color w:val="auto"/>
          <w:lang w:val="en-US" w:eastAsia="zh-CN"/>
        </w:rPr>
        <w:t>.</w:t>
      </w:r>
      <w:r>
        <w:rPr>
          <w:rFonts w:hint="eastAsia"/>
          <w:color w:val="auto"/>
        </w:rPr>
        <w:t>投标总价必须包含货物及货物运抵指定交货地点的各种费用和安装调校、售后服务、税金、验收检验及其它所有费用的总和，如另有要求请在投标文件中注明。</w:t>
      </w:r>
    </w:p>
    <w:p>
      <w:pPr>
        <w:pStyle w:val="6"/>
        <w:ind w:left="-708" w:leftChars="-337"/>
      </w:pPr>
      <w:r>
        <w:rPr>
          <w:rFonts w:cs="宋体"/>
          <w:color w:val="000000" w:themeColor="text1"/>
          <w14:textFill>
            <w14:solidFill>
              <w14:schemeClr w14:val="tx1"/>
            </w14:solidFill>
          </w14:textFill>
        </w:rPr>
        <w:t>5</w:t>
      </w:r>
      <w:r>
        <w:rPr>
          <w:rFonts w:hint="eastAsia" w:cs="宋体"/>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为保证服务和产品质量, 必须提供产品制造商的授权书原件</w:t>
      </w:r>
      <w:r>
        <w:rPr>
          <w:rFonts w:hint="eastAsia"/>
          <w:color w:val="000000" w:themeColor="text1"/>
          <w:lang w:eastAsia="zh-CN"/>
          <w14:textFill>
            <w14:solidFill>
              <w14:schemeClr w14:val="tx1"/>
            </w14:solidFill>
          </w14:textFill>
        </w:rPr>
        <w:t>（或复印件）</w:t>
      </w:r>
      <w:r>
        <w:rPr>
          <w:rFonts w:hint="eastAsia"/>
          <w:color w:val="000000" w:themeColor="text1"/>
          <w14:textFill>
            <w14:solidFill>
              <w14:schemeClr w14:val="tx1"/>
            </w14:solidFill>
          </w14:textFill>
        </w:rPr>
        <w:t>及售后服务原件</w:t>
      </w:r>
      <w:r>
        <w:rPr>
          <w:rFonts w:hint="eastAsia"/>
          <w:color w:val="000000" w:themeColor="text1"/>
          <w:lang w:eastAsia="zh-CN"/>
          <w14:textFill>
            <w14:solidFill>
              <w14:schemeClr w14:val="tx1"/>
            </w14:solidFill>
          </w14:textFill>
        </w:rPr>
        <w:t>（或复印件）</w:t>
      </w:r>
      <w:r>
        <w:rPr>
          <w:rFonts w:hint="eastAsia"/>
          <w:color w:val="000000" w:themeColor="text1"/>
          <w14:textFill>
            <w14:solidFill>
              <w14:schemeClr w14:val="tx1"/>
            </w14:solidFill>
          </w14:textFill>
        </w:rPr>
        <w:t>，否则投标无效。</w:t>
      </w:r>
    </w:p>
    <w:p>
      <w:pPr>
        <w:pStyle w:val="6"/>
        <w:ind w:left="-708" w:leftChars="-337"/>
        <w:rPr>
          <w:rFonts w:hint="eastAsia" w:cs="宋体"/>
          <w:b/>
          <w:bCs/>
        </w:rPr>
      </w:pPr>
      <w:r>
        <w:rPr>
          <w:rFonts w:hint="eastAsia" w:cs="宋体"/>
          <w:b/>
          <w:bCs/>
        </w:rPr>
        <w:t>（四）商务要求</w:t>
      </w:r>
    </w:p>
    <w:p>
      <w:pPr>
        <w:pStyle w:val="6"/>
        <w:ind w:left="-708" w:leftChars="-337"/>
        <w:rPr>
          <w:rFonts w:hint="default" w:eastAsia="宋体" w:cs="宋体"/>
          <w:b w:val="0"/>
          <w:bCs w:val="0"/>
          <w:lang w:val="en-US" w:eastAsia="zh-CN"/>
        </w:rPr>
      </w:pPr>
      <w:r>
        <w:rPr>
          <w:rFonts w:hint="eastAsia" w:cs="宋体"/>
          <w:b/>
          <w:bCs/>
          <w:lang w:val="en-US" w:eastAsia="zh-CN"/>
        </w:rPr>
        <w:t>1.投标人资格要求</w:t>
      </w:r>
    </w:p>
    <w:p>
      <w:pPr>
        <w:pStyle w:val="6"/>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6"/>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6"/>
        <w:ind w:left="-708" w:leftChars="-337"/>
        <w:rPr>
          <w:rFonts w:hint="eastAsia"/>
        </w:rPr>
      </w:pPr>
      <w:r>
        <w:rPr>
          <w:rFonts w:hint="eastAsia" w:cs="宋体"/>
          <w:lang w:val="en-US" w:eastAsia="zh-CN"/>
        </w:rPr>
        <w:t>4）</w:t>
      </w:r>
      <w:r>
        <w:rPr>
          <w:rFonts w:hint="eastAsia" w:cs="宋体"/>
          <w:color w:val="auto"/>
        </w:rPr>
        <w:t>本项目不接收联合体投标。</w:t>
      </w:r>
    </w:p>
    <w:p>
      <w:pPr>
        <w:pStyle w:val="6"/>
        <w:ind w:left="-708" w:leftChars="-337"/>
        <w:rPr>
          <w:rFonts w:hint="default" w:cs="宋体"/>
          <w:b/>
          <w:bCs/>
          <w:lang w:val="en-US" w:eastAsia="zh-CN"/>
        </w:rPr>
      </w:pPr>
      <w:r>
        <w:rPr>
          <w:rFonts w:hint="eastAsia" w:cs="宋体"/>
          <w:b/>
          <w:bCs/>
          <w:lang w:val="en-US" w:eastAsia="zh-CN"/>
        </w:rPr>
        <w:t>2.投标产品资格要求</w:t>
      </w:r>
    </w:p>
    <w:p>
      <w:pPr>
        <w:pStyle w:val="6"/>
        <w:ind w:left="-708" w:leftChars="-337"/>
        <w:rPr>
          <w:rFonts w:hint="eastAsia"/>
          <w:highlight w:val="yellow"/>
        </w:rPr>
      </w:pPr>
      <w:r>
        <w:rPr>
          <w:rFonts w:hint="eastAsia"/>
        </w:rPr>
        <w:t>投标人所投产品要求包含以下相关证件：</w:t>
      </w:r>
      <w:r>
        <w:rPr>
          <w:rFonts w:hint="eastAsia"/>
          <w:highlight w:val="yellow"/>
        </w:rPr>
        <w:t>投标公司的《医疗器械经营许可证》、生产厂家的《医疗器械生产许可证》、《中华人民共和国医疗器械注册证》</w:t>
      </w:r>
    </w:p>
    <w:p>
      <w:pPr>
        <w:pStyle w:val="6"/>
        <w:ind w:left="-708" w:leftChars="-337"/>
        <w:rPr>
          <w:rFonts w:hint="eastAsia"/>
        </w:rPr>
      </w:pPr>
      <w:r>
        <w:rPr>
          <w:rFonts w:hint="eastAsia"/>
          <w:b/>
          <w:bCs/>
        </w:rPr>
        <w:t>3</w:t>
      </w:r>
      <w:r>
        <w:rPr>
          <w:rFonts w:hint="eastAsia"/>
          <w:b/>
          <w:bCs/>
          <w:lang w:val="en-US" w:eastAsia="zh-CN"/>
        </w:rPr>
        <w:t>.</w:t>
      </w:r>
      <w:r>
        <w:rPr>
          <w:rFonts w:hint="eastAsia"/>
          <w:b/>
          <w:bCs/>
        </w:rPr>
        <w:t>售后服务和</w:t>
      </w:r>
      <w:r>
        <w:rPr>
          <w:rFonts w:hint="eastAsia"/>
          <w:b/>
          <w:bCs/>
          <w:lang w:val="en-US" w:eastAsia="zh-CN"/>
        </w:rPr>
        <w:t>资质</w:t>
      </w:r>
    </w:p>
    <w:p>
      <w:pPr>
        <w:pStyle w:val="6"/>
        <w:ind w:left="-708" w:leftChars="-337"/>
        <w:rPr>
          <w:rFonts w:hint="eastAsia"/>
        </w:rPr>
      </w:pPr>
      <w:r>
        <w:rPr>
          <w:rFonts w:hint="eastAsia"/>
          <w:lang w:val="en-US" w:eastAsia="zh-CN"/>
        </w:rPr>
        <w:t>（1）</w:t>
      </w:r>
      <w:r>
        <w:rPr>
          <w:rFonts w:hint="eastAsia"/>
        </w:rPr>
        <w:t>为了防止虚假应标，项目成交结果公示期间，招标人</w:t>
      </w:r>
      <w:r>
        <w:rPr>
          <w:rFonts w:hint="eastAsia"/>
          <w:highlight w:val="yellow"/>
        </w:rPr>
        <w:t>有权要求拟中标的投标人提供所投标产品以供测试</w:t>
      </w:r>
      <w:r>
        <w:rPr>
          <w:rFonts w:hint="eastAsia"/>
        </w:rPr>
        <w:t>；若测试达不到应答指标，以虚假应标论处。</w:t>
      </w:r>
    </w:p>
    <w:p>
      <w:pPr>
        <w:pStyle w:val="6"/>
        <w:ind w:left="-708" w:leftChars="-337"/>
        <w:rPr>
          <w:rFonts w:hint="eastAsia"/>
        </w:rPr>
      </w:pPr>
      <w:r>
        <w:rPr>
          <w:rFonts w:hint="eastAsia"/>
          <w:lang w:val="en-US" w:eastAsia="zh-CN"/>
        </w:rPr>
        <w:t>（2）</w:t>
      </w:r>
      <w:r>
        <w:rPr>
          <w:rFonts w:hint="eastAsia"/>
        </w:rPr>
        <w:t>质保期：设备安装完毕通过验收投入使用之日起不少于</w:t>
      </w:r>
      <w:r>
        <w:rPr>
          <w:rFonts w:hint="eastAsia"/>
          <w:highlight w:val="yellow"/>
        </w:rPr>
        <w:t>1</w:t>
      </w:r>
      <w:r>
        <w:rPr>
          <w:rFonts w:hint="eastAsia"/>
        </w:rPr>
        <w:t>年。</w:t>
      </w:r>
    </w:p>
    <w:p>
      <w:pPr>
        <w:pStyle w:val="6"/>
        <w:ind w:left="-708" w:leftChars="-337"/>
        <w:rPr>
          <w:rFonts w:hint="eastAsia"/>
          <w:color w:val="000000"/>
        </w:rPr>
      </w:pPr>
      <w:r>
        <w:rPr>
          <w:rFonts w:hint="eastAsia"/>
          <w:lang w:eastAsia="zh-CN"/>
        </w:rPr>
        <w:t>（</w:t>
      </w:r>
      <w:r>
        <w:rPr>
          <w:rFonts w:hint="eastAsia"/>
          <w:lang w:val="en-US" w:eastAsia="zh-CN"/>
        </w:rPr>
        <w:t>3)</w:t>
      </w:r>
      <w:r>
        <w:rPr>
          <w:rFonts w:hint="eastAsia"/>
          <w:color w:val="000000"/>
        </w:rPr>
        <w:t>免费送货上门，免费由技术人员现场安装、调试和技术指导，并在用户使用处免费现场培训 2～3 名操作人员（培训内容：包含设备功能、安装、操作、维护等内容）， 直至采购人操作人员能熟练操作各项功能。</w:t>
      </w:r>
    </w:p>
    <w:p>
      <w:pPr>
        <w:pStyle w:val="6"/>
        <w:ind w:left="-708" w:leftChars="-337"/>
        <w:rPr>
          <w:rFonts w:hint="eastAsia"/>
        </w:rPr>
      </w:pPr>
      <w:r>
        <w:rPr>
          <w:rFonts w:hint="eastAsia"/>
          <w:lang w:val="en-US" w:eastAsia="zh-CN"/>
        </w:rPr>
        <w:t>（4）</w:t>
      </w:r>
      <w:r>
        <w:rPr>
          <w:rFonts w:hint="eastAsia"/>
        </w:rPr>
        <w:t>故障处理：质保期内，在使用过程中发现质量问题或故障时，须接到通知后24小时内派工程师到达用户现场及提供常用备件，按国家及行业标准对故障进行及时处理或更换，以保证采购单位的正常使用，所发生的一切费用由成交供应商负责。</w:t>
      </w:r>
    </w:p>
    <w:p>
      <w:pPr>
        <w:pStyle w:val="6"/>
        <w:ind w:left="-708" w:leftChars="-337"/>
        <w:rPr>
          <w:rFonts w:hint="eastAsia" w:cs="宋体"/>
          <w:kern w:val="0"/>
          <w:sz w:val="24"/>
          <w:szCs w:val="24"/>
        </w:rPr>
      </w:pPr>
      <w:r>
        <w:rPr>
          <w:rFonts w:hint="eastAsia"/>
          <w:lang w:val="en-US" w:eastAsia="zh-CN"/>
        </w:rPr>
        <w:t>8）</w:t>
      </w:r>
      <w:r>
        <w:rPr>
          <w:rFonts w:hint="eastAsia" w:cs="宋体"/>
          <w:kern w:val="0"/>
          <w:sz w:val="24"/>
          <w:szCs w:val="24"/>
        </w:rPr>
        <w:t>签订合同后，</w:t>
      </w:r>
      <w:r>
        <w:rPr>
          <w:rFonts w:hint="eastAsia"/>
          <w:color w:val="FF0000"/>
          <w:kern w:val="0"/>
          <w:sz w:val="24"/>
          <w:szCs w:val="24"/>
          <w:u w:val="single"/>
          <w:lang w:val="en-US" w:eastAsia="zh-CN"/>
        </w:rPr>
        <w:t>30</w:t>
      </w:r>
      <w:r>
        <w:rPr>
          <w:rFonts w:hint="eastAsia" w:cs="宋体"/>
          <w:kern w:val="0"/>
          <w:sz w:val="24"/>
          <w:szCs w:val="24"/>
        </w:rPr>
        <w:t>天内仪器设备安装调试结束并交付使用。投标人予以特别注意：如出现未能到期供货的情况，采购人有权单方终止合同的执行，所有的经济损失由逾期供货商单方承担。</w:t>
      </w:r>
    </w:p>
    <w:p>
      <w:pPr>
        <w:pStyle w:val="6"/>
        <w:ind w:left="-708" w:leftChars="-337"/>
        <w:rPr>
          <w:kern w:val="0"/>
          <w:sz w:val="24"/>
          <w:szCs w:val="24"/>
        </w:rPr>
      </w:pPr>
      <w:r>
        <w:rPr>
          <w:rFonts w:hint="eastAsia" w:cs="宋体"/>
          <w:kern w:val="0"/>
          <w:sz w:val="24"/>
          <w:szCs w:val="24"/>
          <w:lang w:val="en-US" w:eastAsia="zh-CN"/>
        </w:rPr>
        <w:t>9）</w:t>
      </w:r>
      <w:r>
        <w:rPr>
          <w:rFonts w:hint="eastAsia" w:cs="宋体"/>
          <w:kern w:val="0"/>
          <w:sz w:val="24"/>
          <w:szCs w:val="24"/>
        </w:rPr>
        <w:t>交货地点为：</w:t>
      </w:r>
      <w:r>
        <w:rPr>
          <w:rFonts w:hint="eastAsia" w:cs="宋体"/>
          <w:kern w:val="0"/>
          <w:sz w:val="24"/>
          <w:szCs w:val="24"/>
          <w:highlight w:val="yellow"/>
        </w:rPr>
        <w:t>广西壮族自治区桂东人民医院</w:t>
      </w:r>
      <w:r>
        <w:rPr>
          <w:kern w:val="0"/>
          <w:sz w:val="24"/>
          <w:szCs w:val="24"/>
        </w:rPr>
        <w:t xml:space="preserve">     </w:t>
      </w:r>
    </w:p>
    <w:p>
      <w:pPr>
        <w:pStyle w:val="6"/>
        <w:ind w:left="-708" w:leftChars="-337"/>
        <w:rPr>
          <w:rFonts w:hint="eastAsia"/>
          <w:kern w:val="0"/>
          <w:sz w:val="24"/>
          <w:szCs w:val="24"/>
          <w:lang w:val="en-US" w:eastAsia="zh-CN"/>
        </w:rPr>
      </w:pPr>
      <w:r>
        <w:rPr>
          <w:rFonts w:hint="eastAsia"/>
          <w:kern w:val="0"/>
          <w:sz w:val="24"/>
          <w:szCs w:val="24"/>
          <w:lang w:val="en-US" w:eastAsia="zh-CN"/>
        </w:rPr>
        <w:t>10）付款条件（进度和方式）：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经安装调试验收合格后，付合同款的 </w:t>
      </w:r>
      <w:r>
        <w:rPr>
          <w:rFonts w:hint="eastAsia" w:cs="宋体"/>
          <w:kern w:val="0"/>
          <w:sz w:val="24"/>
          <w:szCs w:val="24"/>
          <w:highlight w:val="yellow"/>
        </w:rPr>
        <w:t>90%</w:t>
      </w:r>
      <w:r>
        <w:rPr>
          <w:rFonts w:hint="eastAsia" w:cs="宋体"/>
          <w:kern w:val="0"/>
          <w:sz w:val="24"/>
          <w:szCs w:val="24"/>
        </w:rPr>
        <w:t xml:space="preserve"> ，其</w:t>
      </w:r>
      <w:r>
        <w:rPr>
          <w:rFonts w:hint="eastAsia" w:ascii="宋体" w:hAnsi="宋体" w:cs="宋体"/>
          <w:b/>
          <w:bCs/>
          <w:sz w:val="24"/>
          <w:szCs w:val="24"/>
          <w:u w:val="single"/>
        </w:rPr>
        <w:t>余10% 作为履约保证金，</w:t>
      </w:r>
      <w:r>
        <w:rPr>
          <w:rFonts w:hint="eastAsia" w:cs="宋体"/>
          <w:kern w:val="0"/>
          <w:sz w:val="24"/>
          <w:szCs w:val="24"/>
          <w:highlight w:val="yellow"/>
        </w:rPr>
        <w:t xml:space="preserve"> </w:t>
      </w:r>
      <w:r>
        <w:rPr>
          <w:rFonts w:hint="eastAsia" w:cs="宋体"/>
          <w:kern w:val="0"/>
          <w:sz w:val="24"/>
          <w:szCs w:val="24"/>
          <w:highlight w:val="yellow"/>
          <w:lang w:eastAsia="zh-CN"/>
        </w:rPr>
        <w:t>合同期满后</w:t>
      </w:r>
      <w:r>
        <w:rPr>
          <w:rFonts w:hint="eastAsia" w:cs="宋体"/>
          <w:kern w:val="0"/>
          <w:sz w:val="24"/>
          <w:szCs w:val="24"/>
        </w:rPr>
        <w:t>质保期满后无质量问题后付清（无息）。如验收不合格以及发现伪劣产品等，招标人将视情形采取退货、拒付款、终止合同、索赔等措施，直至通过有关部门，依法维权。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default" w:cs="宋体"/>
            <w:color w:val="FF0000"/>
            <w:kern w:val="0"/>
            <w:sz w:val="24"/>
            <w:szCs w:val="24"/>
            <w:u w:val="single"/>
            <w:lang w:val="en-US" w:eastAsia="zh-CN"/>
          </w:rPr>
        </w:sdtEndPr>
        <w:sdtContent>
          <w:r>
            <w:rPr>
              <w:rFonts w:hint="eastAsia" w:cs="宋体"/>
              <w:color w:val="FF0000"/>
              <w:kern w:val="0"/>
              <w:sz w:val="24"/>
              <w:szCs w:val="24"/>
              <w:u w:val="single"/>
              <w:lang w:val="en-US" w:eastAsia="zh-CN"/>
            </w:rPr>
            <w:t>15个历日</w:t>
          </w:r>
        </w:sdtContent>
      </w:sdt>
      <w:r>
        <w:rPr>
          <w:rFonts w:hint="eastAsia" w:cs="宋体"/>
          <w:color w:val="FF0000"/>
          <w:kern w:val="0"/>
          <w:sz w:val="24"/>
          <w:szCs w:val="24"/>
          <w:u w:val="single"/>
          <w:lang w:val="en-US" w:eastAsia="zh-CN"/>
        </w:rPr>
        <w:t>内</w:t>
      </w:r>
      <w:r>
        <w:rPr>
          <w:rFonts w:hint="eastAsia" w:cs="宋体"/>
          <w:kern w:val="0"/>
          <w:sz w:val="24"/>
          <w:szCs w:val="24"/>
        </w:rPr>
        <w:t>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6"/>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u w:val="single"/>
        </w:rPr>
        <w:t xml:space="preserve"> </w:t>
      </w:r>
      <w:sdt>
        <w:sdtPr>
          <w:rPr>
            <w:rFonts w:hint="eastAsia" w:cs="宋体"/>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390aa0fa-d6d9-4c36-956e-8e8d999897eb}"/>
          </w:placeholder>
          <w15:color w:val="FF0000"/>
        </w:sdtPr>
        <w:sdtEndPr>
          <w:rPr>
            <w:rFonts w:hint="eastAsia" w:cs="宋体"/>
            <w:kern w:val="0"/>
            <w:sz w:val="24"/>
            <w:szCs w:val="24"/>
            <w:u w:val="single"/>
          </w:rPr>
        </w:sdtEndPr>
        <w:sdtContent>
          <w:r>
            <w:rPr>
              <w:rFonts w:hint="eastAsia" w:cs="宋体"/>
              <w:b/>
              <w:bCs/>
              <w:kern w:val="0"/>
              <w:sz w:val="24"/>
              <w:szCs w:val="24"/>
              <w:u w:val="single"/>
              <w:lang w:eastAsia="zh-CN"/>
            </w:rPr>
            <w:t>综合评分法</w:t>
          </w:r>
        </w:sdtContent>
      </w:sdt>
      <w:r>
        <w:rPr>
          <w:rFonts w:cs="宋体"/>
          <w:kern w:val="0"/>
          <w:sz w:val="24"/>
          <w:szCs w:val="24"/>
          <w:u w:val="single"/>
        </w:rPr>
        <w:t xml:space="preserve">  </w:t>
      </w:r>
      <w:r>
        <w:rPr>
          <w:rFonts w:hint="eastAsia" w:cs="宋体"/>
          <w:kern w:val="0"/>
          <w:sz w:val="24"/>
          <w:szCs w:val="24"/>
        </w:rPr>
        <w:t>确定中标候选人。</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二、评分标准</w:t>
      </w:r>
    </w:p>
    <w:p>
      <w:pPr>
        <w:widowControl/>
        <w:spacing w:line="360" w:lineRule="auto"/>
        <w:ind w:firstLine="482" w:firstLineChars="200"/>
        <w:jc w:val="left"/>
        <w:rPr>
          <w:kern w:val="0"/>
          <w:sz w:val="24"/>
          <w:szCs w:val="24"/>
        </w:rPr>
      </w:pPr>
      <w:r>
        <w:rPr>
          <w:rFonts w:hint="eastAsia" w:cs="宋体"/>
          <w:b/>
          <w:bCs/>
          <w:kern w:val="0"/>
          <w:sz w:val="24"/>
          <w:szCs w:val="24"/>
        </w:rPr>
        <w:t>本项目评分总分值为</w:t>
      </w:r>
      <w:r>
        <w:rPr>
          <w:b/>
          <w:bCs/>
          <w:kern w:val="0"/>
          <w:sz w:val="24"/>
          <w:szCs w:val="24"/>
        </w:rPr>
        <w:t>100</w:t>
      </w:r>
      <w:r>
        <w:rPr>
          <w:rFonts w:hint="eastAsia" w:cs="宋体"/>
          <w:b/>
          <w:bCs/>
          <w:kern w:val="0"/>
          <w:sz w:val="24"/>
          <w:szCs w:val="24"/>
        </w:rPr>
        <w:t>分。</w:t>
      </w:r>
    </w:p>
    <w:p>
      <w:pPr>
        <w:widowControl/>
        <w:numPr>
          <w:ilvl w:val="0"/>
          <w:numId w:val="3"/>
        </w:numPr>
        <w:spacing w:line="360" w:lineRule="auto"/>
        <w:ind w:firstLine="482" w:firstLineChars="200"/>
        <w:jc w:val="left"/>
        <w:rPr>
          <w:rFonts w:cs="宋体"/>
          <w:b/>
          <w:bCs/>
          <w:kern w:val="0"/>
          <w:sz w:val="24"/>
          <w:szCs w:val="24"/>
        </w:rPr>
      </w:pPr>
      <w:r>
        <w:rPr>
          <w:rFonts w:hint="eastAsia" w:cs="宋体"/>
          <w:b/>
          <w:bCs/>
          <w:kern w:val="0"/>
          <w:sz w:val="24"/>
          <w:szCs w:val="24"/>
        </w:rPr>
        <w:t>投标报价分（</w:t>
      </w:r>
      <w:r>
        <w:rPr>
          <w:rFonts w:cs="宋体"/>
          <w:kern w:val="0"/>
          <w:sz w:val="24"/>
          <w:szCs w:val="24"/>
        </w:rPr>
        <w:t>X</w:t>
      </w:r>
      <w:r>
        <w:rPr>
          <w:rFonts w:hint="eastAsia" w:cs="宋体"/>
          <w:b/>
          <w:bCs/>
          <w:kern w:val="0"/>
          <w:sz w:val="24"/>
          <w:szCs w:val="24"/>
        </w:rPr>
        <w:t>分）</w:t>
      </w:r>
    </w:p>
    <w:p>
      <w:pPr>
        <w:widowControl/>
        <w:spacing w:line="360" w:lineRule="auto"/>
        <w:ind w:left="482"/>
        <w:jc w:val="left"/>
        <w:rPr>
          <w:bCs/>
          <w:kern w:val="0"/>
          <w:sz w:val="24"/>
        </w:rPr>
      </w:pPr>
      <w:r>
        <w:rPr>
          <w:b/>
          <w:kern w:val="0"/>
          <w:sz w:val="24"/>
        </w:rPr>
        <w:t>1.1</w:t>
      </w:r>
      <w:r>
        <w:rPr>
          <w:bCs/>
          <w:kern w:val="0"/>
          <w:sz w:val="24"/>
        </w:rPr>
        <w:t>投标报价超过项目预算的</w:t>
      </w:r>
      <w:r>
        <w:rPr>
          <w:rFonts w:hint="eastAsia"/>
          <w:bCs/>
          <w:kern w:val="0"/>
          <w:sz w:val="24"/>
        </w:rPr>
        <w:t>计为0分，列为无效投标</w:t>
      </w:r>
      <w:r>
        <w:rPr>
          <w:bCs/>
          <w:kern w:val="0"/>
          <w:sz w:val="24"/>
        </w:rPr>
        <w:t>。</w:t>
      </w:r>
    </w:p>
    <w:p>
      <w:pPr>
        <w:widowControl/>
        <w:spacing w:line="360" w:lineRule="auto"/>
        <w:ind w:firstLine="482" w:firstLineChars="200"/>
        <w:jc w:val="left"/>
        <w:rPr>
          <w:kern w:val="0"/>
          <w:sz w:val="24"/>
        </w:rPr>
      </w:pPr>
      <w:r>
        <w:rPr>
          <w:b/>
          <w:bCs/>
          <w:kern w:val="0"/>
          <w:sz w:val="24"/>
        </w:rPr>
        <w:t xml:space="preserve">1.2 </w:t>
      </w:r>
      <w:r>
        <w:rPr>
          <w:kern w:val="0"/>
          <w:sz w:val="24"/>
        </w:rPr>
        <w:t>以有效投标中最低的报价为评标基准价，其价格分为满分。</w:t>
      </w:r>
    </w:p>
    <w:p>
      <w:pPr>
        <w:widowControl/>
        <w:spacing w:line="360" w:lineRule="auto"/>
        <w:ind w:firstLine="482" w:firstLineChars="200"/>
        <w:jc w:val="left"/>
        <w:rPr>
          <w:kern w:val="0"/>
          <w:sz w:val="24"/>
        </w:rPr>
      </w:pPr>
      <w:r>
        <w:rPr>
          <w:b/>
          <w:bCs/>
          <w:kern w:val="0"/>
          <w:sz w:val="24"/>
        </w:rPr>
        <w:t xml:space="preserve">1.3 </w:t>
      </w:r>
      <w:r>
        <w:rPr>
          <w:kern w:val="0"/>
          <w:sz w:val="24"/>
        </w:rPr>
        <w:t>各</w:t>
      </w:r>
      <w:r>
        <w:rPr>
          <w:rFonts w:hint="eastAsia"/>
          <w:kern w:val="0"/>
          <w:sz w:val="24"/>
        </w:rPr>
        <w:t>有效</w:t>
      </w:r>
      <w:r>
        <w:rPr>
          <w:kern w:val="0"/>
          <w:sz w:val="24"/>
        </w:rPr>
        <w:t>投标人的投标报价得分按照下列公式计算：</w:t>
      </w:r>
    </w:p>
    <w:p>
      <w:pPr>
        <w:pStyle w:val="6"/>
        <w:ind w:firstLine="480" w:firstLineChars="200"/>
      </w:pPr>
      <w:r>
        <w:t>投标报价得分=（评标基准价÷投标报价）×</w:t>
      </w:r>
      <w:r>
        <w:rPr>
          <w:rFonts w:hint="eastAsia" w:cs="宋体"/>
          <w:color w:val="auto"/>
        </w:rPr>
        <w:t>X</w:t>
      </w:r>
      <w:r>
        <w:t>（计算结果四舍五入，保留两位小数）</w:t>
      </w:r>
    </w:p>
    <w:p>
      <w:pPr>
        <w:pStyle w:val="6"/>
        <w:ind w:firstLine="480" w:firstLineChars="200"/>
      </w:pPr>
      <w:r>
        <w:rPr>
          <w:rFonts w:hint="eastAsia"/>
        </w:rPr>
        <w:t>1.4货物类报价分区间为30-60分</w:t>
      </w:r>
    </w:p>
    <w:p>
      <w:pPr>
        <w:pStyle w:val="6"/>
        <w:ind w:firstLine="480" w:firstLineChars="200"/>
      </w:pPr>
      <w:r>
        <w:rPr>
          <w:rFonts w:hint="eastAsia"/>
        </w:rPr>
        <w:t>1.5服务类报价分区间为10-30分</w:t>
      </w:r>
    </w:p>
    <w:p>
      <w:pPr>
        <w:widowControl/>
        <w:spacing w:line="360" w:lineRule="auto"/>
        <w:ind w:firstLine="482" w:firstLineChars="200"/>
        <w:jc w:val="left"/>
        <w:rPr>
          <w:rFonts w:cs="宋体"/>
          <w:b/>
          <w:bCs/>
          <w:kern w:val="0"/>
          <w:sz w:val="24"/>
          <w:szCs w:val="24"/>
        </w:rPr>
      </w:pPr>
      <w:r>
        <w:rPr>
          <w:b/>
          <w:bCs/>
          <w:kern w:val="0"/>
          <w:sz w:val="24"/>
          <w:szCs w:val="24"/>
        </w:rPr>
        <w:t xml:space="preserve">2. </w:t>
      </w:r>
      <w:r>
        <w:rPr>
          <w:rFonts w:hint="eastAsia" w:cs="宋体"/>
          <w:b/>
          <w:bCs/>
          <w:kern w:val="0"/>
          <w:sz w:val="24"/>
          <w:szCs w:val="24"/>
        </w:rPr>
        <w:t>技术质量分（</w:t>
      </w:r>
      <w:r>
        <w:rPr>
          <w:rFonts w:cs="宋体"/>
          <w:kern w:val="0"/>
          <w:sz w:val="24"/>
          <w:szCs w:val="24"/>
        </w:rPr>
        <w:t>Y</w:t>
      </w:r>
      <w:r>
        <w:rPr>
          <w:rFonts w:hint="eastAsia" w:cs="宋体"/>
          <w:b/>
          <w:bCs/>
          <w:kern w:val="0"/>
          <w:sz w:val="24"/>
          <w:szCs w:val="24"/>
        </w:rPr>
        <w:t>分）</w:t>
      </w:r>
    </w:p>
    <w:p>
      <w:pPr>
        <w:pStyle w:val="6"/>
      </w:pPr>
      <w:r>
        <w:rPr>
          <w:rFonts w:hint="eastAsia"/>
        </w:rPr>
        <w:t xml:space="preserve"> </w:t>
      </w:r>
      <w:r>
        <w:t xml:space="preserve">   </w:t>
      </w:r>
      <w:r>
        <w:rPr>
          <w:rFonts w:hint="eastAsia"/>
        </w:rPr>
        <w:t>2.1考察投标人产品技术参数、性能要求、功能特性等响应及偏离情况</w:t>
      </w:r>
    </w:p>
    <w:p>
      <w:pPr>
        <w:pStyle w:val="6"/>
        <w:ind w:firstLine="480" w:firstLineChars="200"/>
      </w:pPr>
      <w:r>
        <w:rPr>
          <w:rFonts w:hint="eastAsia"/>
        </w:rPr>
        <w:t>2.2区间为20-30分</w:t>
      </w:r>
    </w:p>
    <w:p>
      <w:pPr>
        <w:widowControl/>
        <w:spacing w:line="360" w:lineRule="auto"/>
        <w:ind w:firstLine="482" w:firstLineChars="200"/>
        <w:jc w:val="left"/>
        <w:rPr>
          <w:rFonts w:cs="宋体"/>
          <w:b/>
          <w:bCs/>
          <w:kern w:val="0"/>
          <w:sz w:val="24"/>
          <w:szCs w:val="24"/>
        </w:rPr>
      </w:pPr>
      <w:r>
        <w:rPr>
          <w:b/>
          <w:bCs/>
          <w:kern w:val="0"/>
          <w:sz w:val="24"/>
          <w:szCs w:val="24"/>
        </w:rPr>
        <w:t xml:space="preserve">3. </w:t>
      </w:r>
      <w:r>
        <w:rPr>
          <w:rFonts w:hint="eastAsia" w:cs="宋体"/>
          <w:b/>
          <w:bCs/>
          <w:kern w:val="0"/>
          <w:sz w:val="24"/>
          <w:szCs w:val="24"/>
        </w:rPr>
        <w:t>售后服务分</w:t>
      </w:r>
    </w:p>
    <w:p>
      <w:pPr>
        <w:pStyle w:val="6"/>
        <w:ind w:firstLine="480" w:firstLineChars="200"/>
      </w:pPr>
      <w:r>
        <w:rPr>
          <w:rFonts w:hint="eastAsia"/>
        </w:rPr>
        <w:t>3.1考察投标人的服务方案、售后服务承诺、投入人员、更长保修期等情况</w:t>
      </w:r>
    </w:p>
    <w:p>
      <w:pPr>
        <w:pStyle w:val="6"/>
        <w:ind w:firstLine="480" w:firstLineChars="200"/>
      </w:pPr>
      <w:r>
        <w:rPr>
          <w:rFonts w:hint="eastAsia"/>
        </w:rPr>
        <w:t>3.2区间为10-20分</w:t>
      </w:r>
    </w:p>
    <w:p>
      <w:pPr>
        <w:pStyle w:val="6"/>
        <w:ind w:firstLine="482" w:firstLineChars="200"/>
        <w:rPr>
          <w:b/>
          <w:bCs/>
        </w:rPr>
      </w:pPr>
      <w:r>
        <w:rPr>
          <w:rFonts w:hint="eastAsia"/>
          <w:b/>
          <w:bCs/>
        </w:rPr>
        <w:t>4.履约能力分</w:t>
      </w:r>
    </w:p>
    <w:p>
      <w:pPr>
        <w:pStyle w:val="6"/>
        <w:ind w:firstLine="480" w:firstLineChars="200"/>
      </w:pPr>
      <w:r>
        <w:rPr>
          <w:rFonts w:hint="eastAsia"/>
        </w:rPr>
        <w:t>4.1考察投标人的信誉业绩、相关资质、认证证书等情况</w:t>
      </w:r>
    </w:p>
    <w:p>
      <w:pPr>
        <w:pStyle w:val="6"/>
        <w:ind w:firstLine="480" w:firstLineChars="200"/>
      </w:pPr>
      <w:r>
        <w:rPr>
          <w:rFonts w:hint="eastAsia"/>
        </w:rPr>
        <w:t>4.2区间5-15分</w:t>
      </w:r>
    </w:p>
    <w:p>
      <w:pPr>
        <w:pStyle w:val="6"/>
        <w:ind w:firstLine="482" w:firstLineChars="200"/>
        <w:rPr>
          <w:b/>
          <w:bCs/>
        </w:rPr>
      </w:pPr>
      <w:r>
        <w:rPr>
          <w:rFonts w:hint="eastAsia"/>
          <w:b/>
          <w:bCs/>
        </w:rPr>
        <w:t>5.产品特性分</w:t>
      </w:r>
    </w:p>
    <w:p>
      <w:pPr>
        <w:pStyle w:val="6"/>
        <w:ind w:firstLine="480" w:firstLineChars="200"/>
      </w:pPr>
      <w:r>
        <w:rPr>
          <w:rFonts w:hint="eastAsia"/>
        </w:rPr>
        <w:t>5.1主要考察投标人产品的节能环保认证等情况</w:t>
      </w:r>
    </w:p>
    <w:p>
      <w:pPr>
        <w:pStyle w:val="6"/>
        <w:ind w:firstLine="480" w:firstLineChars="200"/>
      </w:pPr>
      <w:r>
        <w:rPr>
          <w:rFonts w:hint="eastAsia"/>
        </w:rPr>
        <w:t>5.2区间1-3分</w:t>
      </w:r>
    </w:p>
    <w:p>
      <w:pPr>
        <w:pStyle w:val="6"/>
        <w:ind w:firstLine="482" w:firstLineChars="200"/>
        <w:rPr>
          <w:b/>
          <w:bCs/>
        </w:rPr>
      </w:pPr>
      <w:r>
        <w:rPr>
          <w:rFonts w:hint="eastAsia"/>
          <w:b/>
          <w:bCs/>
        </w:rPr>
        <w:t>6.其他分值</w:t>
      </w:r>
    </w:p>
    <w:p>
      <w:pPr>
        <w:pStyle w:val="6"/>
        <w:ind w:firstLine="480" w:firstLineChars="200"/>
      </w:pPr>
      <w:r>
        <w:rPr>
          <w:rFonts w:hint="eastAsia"/>
        </w:rPr>
        <w:t>6.1包括演示、样品或招标人认为需要的其他评分项目</w:t>
      </w:r>
    </w:p>
    <w:p>
      <w:pPr>
        <w:pStyle w:val="6"/>
        <w:ind w:firstLine="480" w:firstLineChars="200"/>
      </w:pPr>
      <w:r>
        <w:rPr>
          <w:rFonts w:hint="eastAsia"/>
        </w:rPr>
        <w:t>6.2区间10-15分</w:t>
      </w:r>
    </w:p>
    <w:p>
      <w:pPr>
        <w:pStyle w:val="6"/>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金山简隶书">
    <w:altName w:val="宋体"/>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BA797F"/>
    <w:multiLevelType w:val="singleLevel"/>
    <w:tmpl w:val="9CBA797F"/>
    <w:lvl w:ilvl="0" w:tentative="0">
      <w:start w:val="12"/>
      <w:numFmt w:val="decimal"/>
      <w:lvlText w:val="%1."/>
      <w:lvlJc w:val="left"/>
      <w:pPr>
        <w:tabs>
          <w:tab w:val="left" w:pos="312"/>
        </w:tabs>
      </w:pPr>
    </w:lvl>
  </w:abstractNum>
  <w:abstractNum w:abstractNumId="1">
    <w:nsid w:val="350E8B6C"/>
    <w:multiLevelType w:val="singleLevel"/>
    <w:tmpl w:val="350E8B6C"/>
    <w:lvl w:ilvl="0" w:tentative="0">
      <w:start w:val="2"/>
      <w:numFmt w:val="chineseCounting"/>
      <w:suff w:val="nothing"/>
      <w:lvlText w:val="（%1）"/>
      <w:lvlJc w:val="left"/>
      <w:rPr>
        <w:rFonts w:hint="eastAsia"/>
      </w:rPr>
    </w:lvl>
  </w:abstractNum>
  <w:abstractNum w:abstractNumId="2">
    <w:nsid w:val="59C0F106"/>
    <w:multiLevelType w:val="singleLevel"/>
    <w:tmpl w:val="59C0F106"/>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132C85"/>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2306473"/>
    <w:rsid w:val="064A73D7"/>
    <w:rsid w:val="072036B4"/>
    <w:rsid w:val="07335773"/>
    <w:rsid w:val="0ABD286D"/>
    <w:rsid w:val="0B5B0591"/>
    <w:rsid w:val="0BC91684"/>
    <w:rsid w:val="0E567442"/>
    <w:rsid w:val="0E794762"/>
    <w:rsid w:val="10C97A40"/>
    <w:rsid w:val="10E85BA5"/>
    <w:rsid w:val="122B15C9"/>
    <w:rsid w:val="12A34C6E"/>
    <w:rsid w:val="139D651F"/>
    <w:rsid w:val="13BA7888"/>
    <w:rsid w:val="140316E8"/>
    <w:rsid w:val="17210985"/>
    <w:rsid w:val="17C876A2"/>
    <w:rsid w:val="18E26BB2"/>
    <w:rsid w:val="19466124"/>
    <w:rsid w:val="1A2D088A"/>
    <w:rsid w:val="1A5D5E77"/>
    <w:rsid w:val="1B0C539F"/>
    <w:rsid w:val="1BA95240"/>
    <w:rsid w:val="1DCC0AED"/>
    <w:rsid w:val="1F457775"/>
    <w:rsid w:val="1F534C87"/>
    <w:rsid w:val="21486EDD"/>
    <w:rsid w:val="2218153E"/>
    <w:rsid w:val="22BD2FB3"/>
    <w:rsid w:val="24635DDC"/>
    <w:rsid w:val="27566395"/>
    <w:rsid w:val="27F42210"/>
    <w:rsid w:val="282263C1"/>
    <w:rsid w:val="2A182F66"/>
    <w:rsid w:val="2A467D32"/>
    <w:rsid w:val="2C5524AE"/>
    <w:rsid w:val="2E075A2A"/>
    <w:rsid w:val="2E44559E"/>
    <w:rsid w:val="30ED3E75"/>
    <w:rsid w:val="3194337D"/>
    <w:rsid w:val="32222E32"/>
    <w:rsid w:val="342509B8"/>
    <w:rsid w:val="34DB599D"/>
    <w:rsid w:val="36F64519"/>
    <w:rsid w:val="3737378F"/>
    <w:rsid w:val="374A1A54"/>
    <w:rsid w:val="3806606D"/>
    <w:rsid w:val="380D00E1"/>
    <w:rsid w:val="394D7E2D"/>
    <w:rsid w:val="397701BE"/>
    <w:rsid w:val="3998667A"/>
    <w:rsid w:val="3A0D261A"/>
    <w:rsid w:val="3A5A5133"/>
    <w:rsid w:val="3BCB51D8"/>
    <w:rsid w:val="3BD441BE"/>
    <w:rsid w:val="3BFA2EDC"/>
    <w:rsid w:val="3CF9545E"/>
    <w:rsid w:val="3E661BC6"/>
    <w:rsid w:val="3E700C2E"/>
    <w:rsid w:val="3E8433D8"/>
    <w:rsid w:val="3F867182"/>
    <w:rsid w:val="41366ED0"/>
    <w:rsid w:val="4146095D"/>
    <w:rsid w:val="41C3062C"/>
    <w:rsid w:val="447F4114"/>
    <w:rsid w:val="44B81156"/>
    <w:rsid w:val="45BA7D92"/>
    <w:rsid w:val="488A6899"/>
    <w:rsid w:val="4A7D4C52"/>
    <w:rsid w:val="4DF63713"/>
    <w:rsid w:val="4DFF2762"/>
    <w:rsid w:val="4E1C29D4"/>
    <w:rsid w:val="4E5403C0"/>
    <w:rsid w:val="4F5368C9"/>
    <w:rsid w:val="4F867DEE"/>
    <w:rsid w:val="51870AAC"/>
    <w:rsid w:val="53BF62DB"/>
    <w:rsid w:val="54200270"/>
    <w:rsid w:val="5499550F"/>
    <w:rsid w:val="55D342C0"/>
    <w:rsid w:val="5801580F"/>
    <w:rsid w:val="58AB32D2"/>
    <w:rsid w:val="596D013A"/>
    <w:rsid w:val="5B6420CB"/>
    <w:rsid w:val="5B6428CC"/>
    <w:rsid w:val="5C58551F"/>
    <w:rsid w:val="5CD85CEA"/>
    <w:rsid w:val="5D46573D"/>
    <w:rsid w:val="5EDF3CD6"/>
    <w:rsid w:val="61C34344"/>
    <w:rsid w:val="63BA4802"/>
    <w:rsid w:val="6485390B"/>
    <w:rsid w:val="656E5DB3"/>
    <w:rsid w:val="65C62F49"/>
    <w:rsid w:val="6727446C"/>
    <w:rsid w:val="676A25AA"/>
    <w:rsid w:val="67DD7890"/>
    <w:rsid w:val="69D72179"/>
    <w:rsid w:val="6C6E4CAC"/>
    <w:rsid w:val="6D4177E3"/>
    <w:rsid w:val="6DD0797D"/>
    <w:rsid w:val="6E915CA1"/>
    <w:rsid w:val="6F771D08"/>
    <w:rsid w:val="6FBD3BBF"/>
    <w:rsid w:val="70C8281B"/>
    <w:rsid w:val="72133F6A"/>
    <w:rsid w:val="737C683E"/>
    <w:rsid w:val="74B5471E"/>
    <w:rsid w:val="7500157D"/>
    <w:rsid w:val="75C6187D"/>
    <w:rsid w:val="77073972"/>
    <w:rsid w:val="7AD922EE"/>
    <w:rsid w:val="7ADF2D1C"/>
    <w:rsid w:val="7C6D4186"/>
    <w:rsid w:val="7EE54599"/>
    <w:rsid w:val="7F2F1CB8"/>
    <w:rsid w:val="7F5A53F2"/>
    <w:rsid w:val="7F787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1"/>
    <w:unhideWhenUsed/>
    <w:qFormat/>
    <w:uiPriority w:val="0"/>
    <w:pPr>
      <w:spacing w:after="120"/>
    </w:pPr>
  </w:style>
  <w:style w:type="paragraph" w:styleId="4">
    <w:name w:val="annotation text"/>
    <w:basedOn w:val="1"/>
    <w:link w:val="16"/>
    <w:qFormat/>
    <w:uiPriority w:val="99"/>
    <w:pPr>
      <w:jc w:val="left"/>
    </w:pPr>
  </w:style>
  <w:style w:type="paragraph" w:styleId="5">
    <w:name w:val="Plain Text"/>
    <w:basedOn w:val="1"/>
    <w:next w:val="6"/>
    <w:link w:val="18"/>
    <w:qFormat/>
    <w:uiPriority w:val="99"/>
    <w:rPr>
      <w:rFonts w:ascii="宋体" w:hAnsi="Courier New"/>
    </w:rPr>
  </w:style>
  <w:style w:type="paragraph" w:customStyle="1" w:styleId="6">
    <w:name w:val="Default"/>
    <w:next w:val="7"/>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7">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styleId="8">
    <w:name w:val="footer"/>
    <w:basedOn w:val="1"/>
    <w:link w:val="22"/>
    <w:unhideWhenUsed/>
    <w:qFormat/>
    <w:uiPriority w:val="99"/>
    <w:pPr>
      <w:tabs>
        <w:tab w:val="center" w:pos="4153"/>
        <w:tab w:val="right" w:pos="8306"/>
      </w:tabs>
      <w:snapToGrid w:val="0"/>
      <w:jc w:val="left"/>
    </w:pPr>
    <w:rPr>
      <w:sz w:val="18"/>
      <w:szCs w:val="18"/>
    </w:rPr>
  </w:style>
  <w:style w:type="paragraph" w:styleId="9">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annotation subject"/>
    <w:basedOn w:val="4"/>
    <w:next w:val="4"/>
    <w:link w:val="17"/>
    <w:semiHidden/>
    <w:unhideWhenUsed/>
    <w:qFormat/>
    <w:uiPriority w:val="99"/>
    <w:rPr>
      <w:b/>
      <w:bCs/>
    </w:rPr>
  </w:style>
  <w:style w:type="table" w:styleId="12">
    <w:name w:val="Table Grid"/>
    <w:basedOn w:val="11"/>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semiHidden/>
    <w:qFormat/>
    <w:uiPriority w:val="99"/>
    <w:rPr>
      <w:sz w:val="21"/>
      <w:szCs w:val="21"/>
    </w:rPr>
  </w:style>
  <w:style w:type="character" w:customStyle="1" w:styleId="15">
    <w:name w:val="批注文字 字符"/>
    <w:basedOn w:val="13"/>
    <w:qFormat/>
    <w:uiPriority w:val="99"/>
    <w:rPr>
      <w:rFonts w:ascii="Times New Roman" w:hAnsi="Times New Roman" w:eastAsia="宋体" w:cs="Times New Roman"/>
      <w:szCs w:val="21"/>
    </w:rPr>
  </w:style>
  <w:style w:type="character" w:customStyle="1" w:styleId="16">
    <w:name w:val="批注文字 字符1"/>
    <w:link w:val="4"/>
    <w:semiHidden/>
    <w:qFormat/>
    <w:uiPriority w:val="99"/>
    <w:rPr>
      <w:rFonts w:ascii="Times New Roman" w:hAnsi="Times New Roman" w:eastAsia="宋体" w:cs="Times New Roman"/>
      <w:szCs w:val="21"/>
    </w:rPr>
  </w:style>
  <w:style w:type="character" w:customStyle="1" w:styleId="17">
    <w:name w:val="批注主题 字符"/>
    <w:basedOn w:val="16"/>
    <w:link w:val="10"/>
    <w:semiHidden/>
    <w:qFormat/>
    <w:uiPriority w:val="99"/>
    <w:rPr>
      <w:rFonts w:ascii="Times New Roman" w:hAnsi="Times New Roman" w:eastAsia="宋体" w:cs="Times New Roman"/>
      <w:b/>
      <w:bCs/>
      <w:szCs w:val="21"/>
    </w:rPr>
  </w:style>
  <w:style w:type="character" w:customStyle="1" w:styleId="18">
    <w:name w:val="纯文本 字符"/>
    <w:basedOn w:val="13"/>
    <w:link w:val="5"/>
    <w:qFormat/>
    <w:uiPriority w:val="99"/>
    <w:rPr>
      <w:rFonts w:ascii="宋体" w:hAnsi="Courier New" w:eastAsia="宋体" w:cs="Times New Roman"/>
      <w:szCs w:val="21"/>
    </w:rPr>
  </w:style>
  <w:style w:type="paragraph" w:customStyle="1" w:styleId="19">
    <w:name w:val="表格文字"/>
    <w:basedOn w:val="1"/>
    <w:qFormat/>
    <w:uiPriority w:val="0"/>
    <w:pPr>
      <w:spacing w:before="25" w:after="25"/>
      <w:jc w:val="left"/>
    </w:pPr>
    <w:rPr>
      <w:rFonts w:ascii="Calibri" w:hAnsi="Calibri"/>
      <w:bCs/>
      <w:spacing w:val="10"/>
      <w:kern w:val="0"/>
      <w:sz w:val="24"/>
      <w:szCs w:val="20"/>
    </w:rPr>
  </w:style>
  <w:style w:type="character" w:customStyle="1" w:styleId="20">
    <w:name w:val="fontstyle01"/>
    <w:qFormat/>
    <w:uiPriority w:val="0"/>
    <w:rPr>
      <w:rFonts w:hint="eastAsia" w:ascii="宋体" w:hAnsi="宋体" w:eastAsia="宋体"/>
      <w:color w:val="000000"/>
      <w:sz w:val="24"/>
      <w:szCs w:val="24"/>
    </w:rPr>
  </w:style>
  <w:style w:type="character" w:customStyle="1" w:styleId="21">
    <w:name w:val="页眉 字符"/>
    <w:basedOn w:val="13"/>
    <w:link w:val="9"/>
    <w:qFormat/>
    <w:uiPriority w:val="99"/>
    <w:rPr>
      <w:rFonts w:ascii="Times New Roman" w:hAnsi="Times New Roman" w:eastAsia="宋体" w:cs="Times New Roman"/>
      <w:sz w:val="18"/>
      <w:szCs w:val="18"/>
    </w:rPr>
  </w:style>
  <w:style w:type="character" w:customStyle="1" w:styleId="22">
    <w:name w:val="页脚 字符"/>
    <w:basedOn w:val="13"/>
    <w:link w:val="8"/>
    <w:qFormat/>
    <w:uiPriority w:val="99"/>
    <w:rPr>
      <w:rFonts w:ascii="Times New Roman" w:hAnsi="Times New Roman" w:eastAsia="宋体" w:cs="Times New Roman"/>
      <w:sz w:val="18"/>
      <w:szCs w:val="18"/>
    </w:rPr>
  </w:style>
  <w:style w:type="character" w:styleId="23">
    <w:name w:val="Placeholder Text"/>
    <w:basedOn w:val="13"/>
    <w:semiHidden/>
    <w:qFormat/>
    <w:uiPriority w:val="99"/>
    <w:rPr>
      <w:color w:val="808080"/>
    </w:rPr>
  </w:style>
  <w:style w:type="paragraph" w:customStyle="1" w:styleId="24">
    <w:name w:val="样式1"/>
    <w:basedOn w:val="1"/>
    <w:qFormat/>
    <w:uiPriority w:val="0"/>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
      <w:docPartPr>
        <w:name w:val="{390aa0fa-d6d9-4c36-956e-8e8d999897eb}"/>
        <w:style w:val=""/>
        <w:category>
          <w:name w:val="常规"/>
          <w:gallery w:val="placeholder"/>
        </w:category>
        <w:types>
          <w:type w:val="bbPlcHdr"/>
        </w:types>
        <w:behaviors>
          <w:behavior w:val="content"/>
        </w:behaviors>
        <w:description w:val=""/>
        <w:guid w:val="{390aa0fa-d6d9-4c36-956e-8e8d999897eb}"/>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2335</Words>
  <Characters>2546</Characters>
  <Lines>26</Lines>
  <Paragraphs>7</Paragraphs>
  <TotalTime>10</TotalTime>
  <ScaleCrop>false</ScaleCrop>
  <LinksUpToDate>false</LinksUpToDate>
  <CharactersWithSpaces>2581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Administrator</cp:lastModifiedBy>
  <cp:lastPrinted>2021-01-18T07:59:00Z</cp:lastPrinted>
  <dcterms:modified xsi:type="dcterms:W3CDTF">2022-11-11T09:31:12Z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34FD2CB971E942EEB1549ABC57D8E9E8</vt:lpwstr>
  </property>
</Properties>
</file>