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00" w:lineRule="exact"/>
        <w:rPr>
          <w:rFonts w:cs="宋体" w:asciiTheme="minorEastAsia" w:hAnsiTheme="minorEastAsia" w:eastAsiaTheme="minorEastAsia"/>
          <w:b/>
          <w:bCs/>
          <w:color w:val="333333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sz w:val="21"/>
          <w:szCs w:val="21"/>
        </w:rPr>
        <w:t>二、</w:t>
      </w:r>
      <w:bookmarkStart w:id="0" w:name="_GoBack"/>
      <w:r>
        <w:rPr>
          <w:rFonts w:hint="eastAsia" w:cs="宋体" w:asciiTheme="minorEastAsia" w:hAnsiTheme="minorEastAsia" w:eastAsiaTheme="minorEastAsia"/>
          <w:b/>
          <w:bCs/>
          <w:color w:val="333333"/>
          <w:sz w:val="21"/>
          <w:szCs w:val="21"/>
        </w:rPr>
        <w:t>主要技术指标</w:t>
      </w:r>
      <w:bookmarkEnd w:id="0"/>
      <w:r>
        <w:rPr>
          <w:rFonts w:hint="eastAsia" w:cs="宋体" w:asciiTheme="minorEastAsia" w:hAnsiTheme="minorEastAsia" w:eastAsiaTheme="minorEastAsia"/>
          <w:b/>
          <w:bCs/>
          <w:color w:val="333333"/>
          <w:sz w:val="21"/>
          <w:szCs w:val="21"/>
        </w:rPr>
        <w:t>：</w:t>
      </w:r>
    </w:p>
    <w:tbl>
      <w:tblPr>
        <w:tblStyle w:val="11"/>
        <w:tblW w:w="102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710"/>
        <w:gridCol w:w="991"/>
        <w:gridCol w:w="3544"/>
        <w:gridCol w:w="709"/>
        <w:gridCol w:w="70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设备材料名称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品牌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型号及规格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描述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1.UPS系统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数字化工频UPS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1)UPS容量为30kVA，采用工频在线UPS电源；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2)★UPS主机应采用在线双变换拓扑结构， 标配内置输入、旁路和输出隔离变压器；应采用大屏幕LCD显示设计，可实时显示UPS的工作参数，包括输入、输出电压、频率、负载功率（视在功率和有功功率）、电池电压、容量、温度等参数，各种运行状态，故障报警信息的定位及历史记录等，方便日常管理和维护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3)为避免误操作，UPS的开、关机采用双键组合的形式来实现开关机，同时可以通过面板设置手动旁路, 并通过后台设置UPS输出电压、输出频率；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竞标时提供产品操作说明；</w:t>
            </w:r>
          </w:p>
          <w:p>
            <w:pPr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4)UPS主机旁路独立电源供电，内部采用双DSP冗余备份设计，确保主控系统出现异常或故障时，旁路系统仍能正常输出，确保负载不间断供电；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竞标时提供证明资料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5)★ UPS主机应具备主路、旁路、输出、维修旁路开关，竞标时需提供说明书证明材料。</w:t>
            </w:r>
          </w:p>
          <w:p>
            <w:pP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6) UPS主机充电电流标配12A，最大可配置24A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7)UPS关机后，依旧能给电池充电，延长电池使用寿命。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8)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UPS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通过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CNAS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实验室测试，并取得认证证书。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9)因配电改造线路复杂，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UPS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生产厂家需具备电子与智能化工程专业承包二级资质证书。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10)UPS主机保修三年。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11)UPS主机应该获得节能、抗震等第三方权威机构出具有效期的认证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12)UPS主要指标要求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输入额定电压 380Vac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输入电压可变范围 ±25%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输入频率变化范围 40-70Hz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输出额定电压 220Vac（208/230/240可通过LCD面板设置）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输出电压稳压精度 ±1%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输出频率精度 市电模式：同步状态下跟踪旁路输入；电池模式：50Hz/60Hz±0.1%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输出功率因数 0.8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输出波形失真度 线性负载&lt;3%，非线性负载&lt;6%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输出电流峰值系数 3:1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切换时间 0ms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保护功能 输出短路保护，输出过载保护，过温度保护，电池低压保护，输出过欠压保护，风扇故障保护等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显    示 LCD显示屏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运行温度 0～40℃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防护等级 IP20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免维护铅酸蓄电池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1、蓄电池应采用的12V系列阀控式密封铅酸蓄电池,设计使用寿命7-10年；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蓄电池应通过抗震检测，其抗震等级应不低于8级，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并在投标文件中提供证明材料复印件并加盖投标人公章。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蓄电池正常使用时保持气密和液密状态，当内部气压超过预定值时，安全阀自动开启，释放气体，当内部气压降低后，安全阀自动闭合使其密封，防止外部空气进入电池内部。电池在使用寿命期间，正常使用情况下无需补加电解质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4、蓄电池应采用高功率涂膏式正极板设计，内阻低、输出电流大。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5、蓄电池应采用镶嵌式内螺纹铜芯端子，确保无金属铅或铅合金外露。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6、蓄电池需采用内化成生产工艺，减少对环境污染。为降低蓄电池内阻与提高一致性，蓄电池需采用穿壁焊接技术。并采用热封盖壳，增加密封强度。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7、蓄电池槽、盖应采用高强度ABS材料制造，并具有阻燃性，正常工作条件下不出现鼓胀或收缩变形。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8、蓄电池正负极性及端子有明显标志，便于连接。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9、蓄电池在25℃满容量状态下，静置28天后其蓄电池容量保存率应在97%以上。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10、蓄电池要便于存储，自放电率每月不大于3%。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11、蓄电池在大电流放电后，极柱不应熔断，其外观不出现异常。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12、蓄电池封置90天后，其荷电保持能力不低于90%。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13、蓄电池在-30℃和+65℃时封口剂应无裂纹及溢留。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14、 同组蓄电池充满电后静置3-6小时后，其开路电压压差不应超出100mV。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15、蓄电池密封反应效率不低于97%。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16、蓄电池在环境温度25±5℃的条件下，储存24h，通过安全阀向蓄电池充气在内外压差为50Kpa时并持续不少于5s时，能够不破裂、不开胶、压力释放后壳体无残余变形；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17、蓄电池充满电后，在25℃±5℃环境中，以（2.45V±0.1V）/单体的恒定电压（不限流）连续充电168h。每隔24h记录一次充电电流值和蓄电池端子温度值。 计算浮充电流在任一24h之内的增长率△I和充电结束时蓄电池温度t：△I不应大于50％，t不应大于60℃。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18、同组蓄电池在25℃环境中，每单只蓄电池以恒流I10作放电测试，其蓄电池组中的最大最小其容量差值应小于5%。 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19、蓄电池连接初电流为I10的电阻连续过放30d后，马上充电后容量应能保持在原容量的90%。                                                           </w:t>
            </w:r>
          </w:p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20、蓄电池保修三年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电池箱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16节12V/100AH电池箱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电池开关盒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两极串联；ABB-T5 4P（160A）空开,含汇流铜排；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电池连接电线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 w:line="400" w:lineRule="exact"/>
              <w:jc w:val="both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BVR25mm2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电池间连接线缆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2.配电柜系统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UPS市电输入电缆线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ZR-YJV16mm²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UPS与市电配电箱间连接线缆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UPS输出电缆线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BVR25mm2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UPS与配电箱间连接线缆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电源线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定制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BVR4mm2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配电箱与机柜间连接线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45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3.精密空调系统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221"/>
                <w:tab w:val="center" w:pos="731"/>
              </w:tabs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★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精密空调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1)上送风；总冷量≥12.5KW，显冷量≥11.3KW、风量≥2700m3/h（回风温度24℃，回风湿度50%）；室内机尺寸（宽*深*高）：≤600×550×1900mm；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2)输入电压允许波动范围：380V±15%； 频率：50HZ±2HZ；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3)适应环境：温度：室内0℃~+35℃；室外 -15℃~45℃（低温型-40℃~45℃）；湿度：20%~80%RH；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4)温度调节范围：+18℃~+45℃；温度调节精度：±1℃；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5)湿度调节范围：40% ~ 60%RH；湿度调节精度：±5 %RH；温、湿度波动超限应能发出报警信号；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6)机房专用空调应能应解决机房的高显热量负荷，24℃，45%RH工况下：显热比 ≥0.90；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7)机房专用空调应具有高效节能性，压缩机具有较高的能效比转子式：COP ≥ 3，涡旋式：COP ≥ 3.3；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8)机房专用空调系统应具有高可靠性，要求机组平均无故障时间MTBF≥10万小时；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9)机组的室内风机系统应能够方便的从机组正面取出进行现场维修,提高系统的可维护性。室内主风机应采用后倾离心式风机送风系统，保证在增大机外余压的情况下送风风量不减少；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10)机组加热性能：具备电子再热器；加热量≥6KW；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11)机组加湿性能：应采用高效电子加湿器，加湿量≥2.8kg/h，所选用加湿器需可以在场地进行清理，反复应用；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12)机组标配电子膨胀阀；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13)每台机组都应具有独立的控制系统、显示器、加热器、加湿器、独立的温湿度传感器。以保证每台机组的正常运行及高精度运行；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14)系统应具有三遥性能。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15)系统应具备通信接RS485接口，能介入动力环境监控系统中；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16)机房专用空调机组的风冷型室外机组应提供冷凝风扇变速控制器，能根据冷凝器管道内部压力变化自动调节冷凝风扇的运转速度；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17)室内空调机组要求100%全正面维护，需可以靠装、并装；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18)具有不小于4.3寸的真彩色全中文大触摸屏、多级密码权限、专家系统自检诊断功能；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具有强大的控制系统，可群控32套机组，轻松组网；</w:t>
            </w:r>
          </w:p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资质要求：本次投标设备制造商必须通过ISO9001质量体系认证；投标产品必须通过CCC认证，并提供证书原件复印件；设备制造商必须具备《中国节能产品认证证书》。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精密空调安装配件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含搬运、定制支架、连接、故障诊断、调试、氮气、冷媒、支架构件及制作、铜管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空调底座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定制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4.机柜系统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adjustRightInd/>
              <w:snapToGrid/>
              <w:spacing w:after="0" w:line="400" w:lineRule="exact"/>
              <w:outlineLvl w:val="0"/>
              <w:rPr>
                <w:rFonts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机柜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1）600*1200*2000mm机柜；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2）机柜静态承载能力≥1500kg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3）符合标准：IEC60297-2,GB/T3047.2-92,YDT2319-2011,兼容19"国际标准，ETSL标准。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4）机柜框架组焊，拼合组焊式框架结构。材质为优质冷轧钢板，厚度为2.0mm冷轧钢板，前后门板材料为≥1.2mm冷轧钢板, 侧板材料为≥1.2mm冷轧钢板。机柜U立柱≥4根，材质为2.0mm冷轧钢板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5）布线部件：采用上进上出的走线方式时，机柜顶部应设计2个长方形进/出线口，其边缘应作钝化处理，并装有毛刷，以免划伤线缆。进线孔位置应具有线缆固定装置和专用封闭装置，不允许漏风。机柜顶部须有专用走线桥架，强电与弱电隔离设计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6）机柜前后门开孔率≧70%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7）机柜静态承载≧1500KG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br w:type="textWrapping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12口PDU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常规，输入32A,输出12位10A万用插座,带总指示灯,2米线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outlineLvl w:val="1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每个机柜配1个</w:t>
            </w:r>
          </w:p>
        </w:tc>
      </w:tr>
    </w:tbl>
    <w:p>
      <w:pPr>
        <w:shd w:val="clear" w:color="auto" w:fill="FFFFFF"/>
        <w:adjustRightInd/>
        <w:snapToGrid/>
        <w:spacing w:after="0" w:line="360" w:lineRule="exact"/>
        <w:ind w:firstLine="555"/>
        <w:rPr>
          <w:rFonts w:hint="default" w:cs="宋体" w:asciiTheme="minorEastAsia" w:hAnsiTheme="minorEastAsia" w:eastAsiaTheme="minorEastAsia"/>
          <w:color w:val="333333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18" w:right="170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8403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8B8"/>
    <w:rsid w:val="00015AE9"/>
    <w:rsid w:val="00024C52"/>
    <w:rsid w:val="00044641"/>
    <w:rsid w:val="00050477"/>
    <w:rsid w:val="00050ECE"/>
    <w:rsid w:val="000535A3"/>
    <w:rsid w:val="000B7AEC"/>
    <w:rsid w:val="000D59CF"/>
    <w:rsid w:val="000F3512"/>
    <w:rsid w:val="000F6161"/>
    <w:rsid w:val="00107108"/>
    <w:rsid w:val="00107E6F"/>
    <w:rsid w:val="00152D90"/>
    <w:rsid w:val="00191AB9"/>
    <w:rsid w:val="001B4B67"/>
    <w:rsid w:val="001B4D0A"/>
    <w:rsid w:val="001B5B2E"/>
    <w:rsid w:val="00212CAD"/>
    <w:rsid w:val="0025269A"/>
    <w:rsid w:val="002565AC"/>
    <w:rsid w:val="00283182"/>
    <w:rsid w:val="002A22D3"/>
    <w:rsid w:val="002A602B"/>
    <w:rsid w:val="002A72CE"/>
    <w:rsid w:val="002B1953"/>
    <w:rsid w:val="002B61FA"/>
    <w:rsid w:val="002C117A"/>
    <w:rsid w:val="002F2364"/>
    <w:rsid w:val="00303E81"/>
    <w:rsid w:val="003100DF"/>
    <w:rsid w:val="00314B4C"/>
    <w:rsid w:val="00315DAB"/>
    <w:rsid w:val="00323B43"/>
    <w:rsid w:val="003353E3"/>
    <w:rsid w:val="00336EF1"/>
    <w:rsid w:val="00337067"/>
    <w:rsid w:val="00347775"/>
    <w:rsid w:val="00386E43"/>
    <w:rsid w:val="003960DE"/>
    <w:rsid w:val="003D37D8"/>
    <w:rsid w:val="003F4FCE"/>
    <w:rsid w:val="0040142C"/>
    <w:rsid w:val="00413DD0"/>
    <w:rsid w:val="00426133"/>
    <w:rsid w:val="004358AB"/>
    <w:rsid w:val="004374BA"/>
    <w:rsid w:val="0043775C"/>
    <w:rsid w:val="00444087"/>
    <w:rsid w:val="004B0943"/>
    <w:rsid w:val="004E3F64"/>
    <w:rsid w:val="004F4764"/>
    <w:rsid w:val="00504D37"/>
    <w:rsid w:val="005075C1"/>
    <w:rsid w:val="00556B68"/>
    <w:rsid w:val="005A4F41"/>
    <w:rsid w:val="005C4769"/>
    <w:rsid w:val="005C4B19"/>
    <w:rsid w:val="005E7940"/>
    <w:rsid w:val="006215C2"/>
    <w:rsid w:val="0062676C"/>
    <w:rsid w:val="00627249"/>
    <w:rsid w:val="0063172B"/>
    <w:rsid w:val="006334E3"/>
    <w:rsid w:val="00650384"/>
    <w:rsid w:val="0069455D"/>
    <w:rsid w:val="006B6127"/>
    <w:rsid w:val="006C278C"/>
    <w:rsid w:val="006D1482"/>
    <w:rsid w:val="00703614"/>
    <w:rsid w:val="00703C25"/>
    <w:rsid w:val="0074230D"/>
    <w:rsid w:val="00762362"/>
    <w:rsid w:val="00765242"/>
    <w:rsid w:val="00773079"/>
    <w:rsid w:val="00773C68"/>
    <w:rsid w:val="007778D1"/>
    <w:rsid w:val="007859CC"/>
    <w:rsid w:val="00786688"/>
    <w:rsid w:val="00790667"/>
    <w:rsid w:val="00797247"/>
    <w:rsid w:val="0080518F"/>
    <w:rsid w:val="00836421"/>
    <w:rsid w:val="00866575"/>
    <w:rsid w:val="00881DB1"/>
    <w:rsid w:val="008875AC"/>
    <w:rsid w:val="00892034"/>
    <w:rsid w:val="00895722"/>
    <w:rsid w:val="008B0B17"/>
    <w:rsid w:val="008B1B92"/>
    <w:rsid w:val="008B7726"/>
    <w:rsid w:val="009138C0"/>
    <w:rsid w:val="00950A30"/>
    <w:rsid w:val="0095611D"/>
    <w:rsid w:val="0097414B"/>
    <w:rsid w:val="00983D9A"/>
    <w:rsid w:val="009B4FA2"/>
    <w:rsid w:val="009D4CE2"/>
    <w:rsid w:val="009E3643"/>
    <w:rsid w:val="00A1325C"/>
    <w:rsid w:val="00A13B5A"/>
    <w:rsid w:val="00A30956"/>
    <w:rsid w:val="00A36C83"/>
    <w:rsid w:val="00A51103"/>
    <w:rsid w:val="00A565BD"/>
    <w:rsid w:val="00A64462"/>
    <w:rsid w:val="00AA2AE4"/>
    <w:rsid w:val="00AA4782"/>
    <w:rsid w:val="00AA592C"/>
    <w:rsid w:val="00AB046B"/>
    <w:rsid w:val="00AB138F"/>
    <w:rsid w:val="00AB479D"/>
    <w:rsid w:val="00AC0DA9"/>
    <w:rsid w:val="00AD41E5"/>
    <w:rsid w:val="00AE1D5A"/>
    <w:rsid w:val="00AF64DD"/>
    <w:rsid w:val="00B03D6F"/>
    <w:rsid w:val="00B1300C"/>
    <w:rsid w:val="00B14E4E"/>
    <w:rsid w:val="00B361AD"/>
    <w:rsid w:val="00B40D83"/>
    <w:rsid w:val="00B47B22"/>
    <w:rsid w:val="00B502D4"/>
    <w:rsid w:val="00B50F73"/>
    <w:rsid w:val="00B73D6E"/>
    <w:rsid w:val="00B8747E"/>
    <w:rsid w:val="00BA1DB7"/>
    <w:rsid w:val="00BA5593"/>
    <w:rsid w:val="00BA57C2"/>
    <w:rsid w:val="00BD200E"/>
    <w:rsid w:val="00BD4A9F"/>
    <w:rsid w:val="00BE6F0C"/>
    <w:rsid w:val="00BF1CCC"/>
    <w:rsid w:val="00BF48B5"/>
    <w:rsid w:val="00BF6161"/>
    <w:rsid w:val="00C0018C"/>
    <w:rsid w:val="00C01542"/>
    <w:rsid w:val="00C02F9E"/>
    <w:rsid w:val="00C167A7"/>
    <w:rsid w:val="00C20462"/>
    <w:rsid w:val="00C30343"/>
    <w:rsid w:val="00CA2501"/>
    <w:rsid w:val="00CB6C29"/>
    <w:rsid w:val="00CF3413"/>
    <w:rsid w:val="00D0289A"/>
    <w:rsid w:val="00D05084"/>
    <w:rsid w:val="00D13B3A"/>
    <w:rsid w:val="00D168A1"/>
    <w:rsid w:val="00D20C4B"/>
    <w:rsid w:val="00D31D50"/>
    <w:rsid w:val="00D341C1"/>
    <w:rsid w:val="00D436EA"/>
    <w:rsid w:val="00D9711D"/>
    <w:rsid w:val="00DA02D1"/>
    <w:rsid w:val="00DA2EB5"/>
    <w:rsid w:val="00DB1381"/>
    <w:rsid w:val="00DD3391"/>
    <w:rsid w:val="00DD5E8F"/>
    <w:rsid w:val="00E10599"/>
    <w:rsid w:val="00E12E1A"/>
    <w:rsid w:val="00E4037B"/>
    <w:rsid w:val="00E638D1"/>
    <w:rsid w:val="00E804FC"/>
    <w:rsid w:val="00EB5FF2"/>
    <w:rsid w:val="00F07BDF"/>
    <w:rsid w:val="00F07EDB"/>
    <w:rsid w:val="00F24DAC"/>
    <w:rsid w:val="00F270D6"/>
    <w:rsid w:val="00F511F1"/>
    <w:rsid w:val="00F6124A"/>
    <w:rsid w:val="00FC368E"/>
    <w:rsid w:val="00FC5E14"/>
    <w:rsid w:val="00FC649C"/>
    <w:rsid w:val="00FE7B4A"/>
    <w:rsid w:val="0FAD2DCA"/>
    <w:rsid w:val="626E68A6"/>
    <w:rsid w:val="739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9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9"/>
    <w:link w:val="7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6"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3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8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纯文本 Char"/>
    <w:basedOn w:val="9"/>
    <w:link w:val="4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1295</Words>
  <Characters>7384</Characters>
  <Lines>61</Lines>
  <Paragraphs>17</Paragraphs>
  <TotalTime>1</TotalTime>
  <ScaleCrop>false</ScaleCrop>
  <LinksUpToDate>false</LinksUpToDate>
  <CharactersWithSpaces>8662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飄零</cp:lastModifiedBy>
  <cp:lastPrinted>2019-03-25T01:54:00Z</cp:lastPrinted>
  <dcterms:modified xsi:type="dcterms:W3CDTF">2019-04-22T07:40:15Z</dcterms:modified>
  <cp:revision>1125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