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widowControl/>
        <w:shd w:val="clear" w:color="auto" w:fill="FFFFFF"/>
        <w:spacing w:line="400" w:lineRule="exact"/>
        <w:ind w:left="0" w:leftChars="0" w:firstLine="0" w:firstLineChars="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附件：</w:t>
      </w:r>
    </w:p>
    <w:p>
      <w:pPr>
        <w:numPr>
          <w:ilvl w:val="1"/>
          <w:numId w:val="3"/>
        </w:numPr>
        <w:spacing w:line="360" w:lineRule="auto"/>
        <w:jc w:val="center"/>
        <w:outlineLvl w:val="0"/>
        <w:rPr>
          <w:rFonts w:ascii="Times New Roman" w:hAnsi="Times New Roman" w:eastAsia="黑体" w:cs="Times New Roman"/>
          <w:color w:val="000000"/>
          <w:kern w:val="44"/>
          <w:sz w:val="30"/>
          <w:szCs w:val="20"/>
          <w:lang w:val="zh-CN"/>
        </w:rPr>
      </w:pPr>
      <w:bookmarkStart w:id="2" w:name="_GoBack"/>
      <w:bookmarkStart w:id="0" w:name="_Toc418947388"/>
      <w:r>
        <w:rPr>
          <w:rFonts w:ascii="Times New Roman" w:hAnsi="Times New Roman" w:eastAsia="黑体" w:cs="Times New Roman"/>
          <w:color w:val="000000"/>
          <w:kern w:val="44"/>
          <w:sz w:val="30"/>
          <w:szCs w:val="20"/>
          <w:lang w:val="zh-CN"/>
        </w:rPr>
        <w:t>项目技术</w:t>
      </w:r>
      <w:r>
        <w:rPr>
          <w:rFonts w:hint="eastAsia" w:ascii="Times New Roman" w:hAnsi="Times New Roman" w:eastAsia="黑体" w:cs="Times New Roman"/>
          <w:color w:val="000000"/>
          <w:kern w:val="44"/>
          <w:sz w:val="30"/>
          <w:szCs w:val="20"/>
          <w:lang w:val="zh-CN"/>
        </w:rPr>
        <w:t>参数</w:t>
      </w:r>
      <w:r>
        <w:rPr>
          <w:rFonts w:ascii="Times New Roman" w:hAnsi="Times New Roman" w:eastAsia="黑体" w:cs="Times New Roman"/>
          <w:color w:val="000000"/>
          <w:kern w:val="44"/>
          <w:sz w:val="30"/>
          <w:szCs w:val="20"/>
          <w:lang w:val="zh-CN"/>
        </w:rPr>
        <w:t>要求</w:t>
      </w:r>
      <w:bookmarkEnd w:id="2"/>
      <w:bookmarkEnd w:id="0"/>
    </w:p>
    <w:tbl>
      <w:tblPr>
        <w:tblStyle w:val="34"/>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设备名称</w:t>
            </w:r>
          </w:p>
        </w:tc>
        <w:tc>
          <w:tcPr>
            <w:tcW w:w="58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总体要求</w:t>
            </w:r>
          </w:p>
        </w:tc>
        <w:tc>
          <w:tcPr>
            <w:tcW w:w="58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项目整体信息化建设要求：</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质控管理</w:t>
            </w:r>
          </w:p>
          <w:p>
            <w:pPr>
              <w:rPr>
                <w:rFonts w:asciiTheme="minorEastAsia" w:hAnsiTheme="minorEastAsia" w:eastAsiaTheme="minorEastAsia"/>
                <w:szCs w:val="21"/>
              </w:rPr>
            </w:pPr>
            <w:r>
              <w:rPr>
                <w:rFonts w:hint="eastAsia" w:asciiTheme="minorEastAsia" w:hAnsiTheme="minorEastAsia" w:eastAsiaTheme="minorEastAsia"/>
                <w:szCs w:val="21"/>
              </w:rPr>
              <w:t>通过信息化手段提高效率、降低劳动强度，各种数据通过信息化平台快速准确地进行数学建模、分类筛选、辅助临床科研活动，信息化自动完成医护人员原来手工工作，更多强化医护人员的业务水平，提高服务质量，把更多地时间用于医疗创新和临床监护，给患者带来更多的优质服务。</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科室建设</w:t>
            </w:r>
          </w:p>
          <w:p>
            <w:pPr>
              <w:rPr>
                <w:rFonts w:asciiTheme="minorEastAsia" w:hAnsiTheme="minorEastAsia" w:eastAsiaTheme="minorEastAsia"/>
                <w:szCs w:val="21"/>
              </w:rPr>
            </w:pPr>
            <w:r>
              <w:rPr>
                <w:rFonts w:hint="eastAsia" w:asciiTheme="minorEastAsia" w:hAnsiTheme="minorEastAsia" w:eastAsiaTheme="minorEastAsia"/>
                <w:szCs w:val="21"/>
              </w:rPr>
              <w:t>通过信息化提高科室流程化管理水平、突出大数据挖掘优势，将极大地加强医护人员自身建设、提高业务水平，减少差错，由量变至质变，使科室由经验型管理快速迈进信息化科学管理行列，从而提高整个科室自动化管理水平，利用先进的科室建设方案和全面领先的产品，为院方树立一个临床科室的信息化标杆。</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医疗管理</w:t>
            </w:r>
          </w:p>
          <w:p>
            <w:pPr>
              <w:rPr>
                <w:rFonts w:asciiTheme="minorEastAsia" w:hAnsiTheme="minorEastAsia" w:eastAsiaTheme="minorEastAsia"/>
                <w:szCs w:val="21"/>
              </w:rPr>
            </w:pPr>
            <w:r>
              <w:rPr>
                <w:rFonts w:hint="eastAsia" w:asciiTheme="minorEastAsia" w:hAnsiTheme="minorEastAsia" w:eastAsiaTheme="minorEastAsia"/>
                <w:szCs w:val="21"/>
              </w:rPr>
              <w:t>透析中的每个重要环节都有我们医护人员的足迹，他们如履薄冰、兢兢业业地贡献着智慧和辛勤汗水，但对于患者来说工作效率仍然无法满足需求，软件流程化功能可以规范医疗行为和医疗进程，降低医疗风险，系统自动收集所有患者的数据信息，并展示区域时间段内的数据模拟分析图，辅助医护人员的医疗活动。</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库存管理</w:t>
            </w:r>
          </w:p>
          <w:p>
            <w:pPr>
              <w:rPr>
                <w:rFonts w:asciiTheme="minorEastAsia" w:hAnsiTheme="minorEastAsia" w:eastAsiaTheme="minorEastAsia"/>
                <w:szCs w:val="21"/>
              </w:rPr>
            </w:pPr>
            <w:r>
              <w:rPr>
                <w:rFonts w:hint="eastAsia" w:asciiTheme="minorEastAsia" w:hAnsiTheme="minorEastAsia" w:eastAsiaTheme="minorEastAsia"/>
                <w:szCs w:val="21"/>
              </w:rPr>
              <w:t>通过库存管理功能，快速、准确地备好下一班透析药品、耗材，杜绝差错，同时对特殊患者使用的耗材进行全程追溯管理，降低医疗风险，库存备货高效准确，有效降低成本。</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设备管理</w:t>
            </w:r>
          </w:p>
          <w:p>
            <w:pPr>
              <w:rPr>
                <w:rFonts w:asciiTheme="minorEastAsia" w:hAnsiTheme="minorEastAsia" w:eastAsiaTheme="minorEastAsia"/>
                <w:szCs w:val="21"/>
              </w:rPr>
            </w:pPr>
            <w:r>
              <w:rPr>
                <w:rFonts w:hint="eastAsia" w:asciiTheme="minorEastAsia" w:hAnsiTheme="minorEastAsia" w:eastAsiaTheme="minorEastAsia"/>
                <w:szCs w:val="21"/>
              </w:rPr>
              <w:t>通过设备管理功能，降低技师的工作成本和支出，提升工作效率，数据保存完整，自动完成相关数据上报功能。</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三甲评审</w:t>
            </w:r>
          </w:p>
          <w:p>
            <w:pPr>
              <w:rPr>
                <w:rFonts w:asciiTheme="minorEastAsia" w:hAnsiTheme="minorEastAsia" w:eastAsiaTheme="minorEastAsia"/>
                <w:szCs w:val="21"/>
              </w:rPr>
            </w:pPr>
            <w:r>
              <w:rPr>
                <w:rFonts w:hint="eastAsia" w:asciiTheme="minorEastAsia" w:hAnsiTheme="minorEastAsia" w:eastAsiaTheme="minorEastAsia"/>
                <w:szCs w:val="21"/>
              </w:rPr>
              <w:t>通过强大的信息化技术统计功能来支持医院完成肾科血透信息化三甲评审的要求。</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与医院HIS、LIS等信息系统对接</w:t>
            </w:r>
          </w:p>
          <w:p>
            <w:pPr>
              <w:rPr>
                <w:rFonts w:asciiTheme="minorEastAsia" w:hAnsiTheme="minorEastAsia" w:eastAsiaTheme="minorEastAsia"/>
                <w:szCs w:val="21"/>
              </w:rPr>
            </w:pPr>
            <w:r>
              <w:rPr>
                <w:rFonts w:hint="eastAsia" w:asciiTheme="minorEastAsia" w:hAnsiTheme="minorEastAsia" w:eastAsiaTheme="minorEastAsia"/>
                <w:szCs w:val="21"/>
              </w:rPr>
              <w:t>产品能够与医院的</w:t>
            </w:r>
            <w:r>
              <w:rPr>
                <w:rFonts w:asciiTheme="minorEastAsia" w:hAnsiTheme="minorEastAsia" w:eastAsiaTheme="minorEastAsia"/>
                <w:szCs w:val="21"/>
              </w:rPr>
              <w:t>HIS</w:t>
            </w:r>
            <w:r>
              <w:rPr>
                <w:rFonts w:hint="eastAsia" w:asciiTheme="minorEastAsia" w:hAnsiTheme="minorEastAsia" w:eastAsiaTheme="minorEastAsia"/>
                <w:szCs w:val="21"/>
              </w:rPr>
              <w:t>、</w:t>
            </w:r>
            <w:r>
              <w:rPr>
                <w:rFonts w:asciiTheme="minorEastAsia" w:hAnsiTheme="minorEastAsia" w:eastAsiaTheme="minorEastAsia"/>
                <w:szCs w:val="21"/>
              </w:rPr>
              <w:t>LIS</w:t>
            </w:r>
            <w:r>
              <w:rPr>
                <w:rFonts w:hint="eastAsia" w:asciiTheme="minorEastAsia" w:hAnsiTheme="minorEastAsia" w:eastAsiaTheme="minorEastAsia"/>
                <w:szCs w:val="21"/>
              </w:rPr>
              <w:t>接口对接，实现数据自动导入，减轻一线人员的劳动强度，真正体现了信息化优势，满足临床、医院的整体信息化建设需要。</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透析机、血压计、地秤等硬件联机</w:t>
            </w:r>
          </w:p>
          <w:p>
            <w:pPr>
              <w:rPr>
                <w:rFonts w:asciiTheme="minorEastAsia" w:hAnsiTheme="minorEastAsia" w:eastAsiaTheme="minorEastAsia"/>
                <w:szCs w:val="21"/>
              </w:rPr>
            </w:pPr>
            <w:r>
              <w:rPr>
                <w:rFonts w:hint="eastAsia" w:asciiTheme="minorEastAsia" w:hAnsiTheme="minorEastAsia" w:eastAsiaTheme="minorEastAsia"/>
                <w:szCs w:val="21"/>
              </w:rPr>
              <w:t>产品能够与医院透析机所有品牌全部机型实现无线连接，数据自动采集且工作性能稳定，数据采集精准，满足临床联机需求，能满足临床日后扩展的联机需求，院方不提供主流机型的接口协议。</w:t>
            </w:r>
          </w:p>
          <w:p>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质控上报</w:t>
            </w:r>
          </w:p>
          <w:p>
            <w:pPr>
              <w:rPr>
                <w:rFonts w:asciiTheme="minorEastAsia" w:hAnsiTheme="minorEastAsia" w:eastAsiaTheme="minorEastAsia"/>
                <w:szCs w:val="21"/>
              </w:rPr>
            </w:pPr>
            <w:r>
              <w:rPr>
                <w:rFonts w:hint="eastAsia" w:asciiTheme="minorEastAsia" w:hAnsiTheme="minorEastAsia" w:eastAsiaTheme="minorEastAsia"/>
                <w:szCs w:val="21"/>
              </w:rPr>
              <w:t>产品能够与全国质控上报中心系统进行对接，具有一键上报功能，无需院方提供上报接口协议。</w:t>
            </w:r>
          </w:p>
          <w:p>
            <w:pPr>
              <w:rPr>
                <w:rFonts w:asciiTheme="minorEastAsia" w:hAnsiTheme="minorEastAsia" w:eastAsiaTheme="minorEastAsia"/>
                <w:szCs w:val="21"/>
              </w:rPr>
            </w:pPr>
            <w:r>
              <w:rPr>
                <w:rFonts w:hint="eastAsia" w:asciiTheme="minorEastAsia" w:hAnsiTheme="minorEastAsia" w:eastAsiaTheme="minorEastAsia"/>
                <w:szCs w:val="21"/>
              </w:rPr>
              <w:t>10） 软件相关安全性</w:t>
            </w:r>
          </w:p>
          <w:p>
            <w:pPr>
              <w:ind w:firstLine="420"/>
              <w:rPr>
                <w:rFonts w:asciiTheme="minorEastAsia" w:hAnsiTheme="minorEastAsia" w:eastAsiaTheme="minorEastAsia"/>
                <w:szCs w:val="21"/>
              </w:rPr>
            </w:pPr>
            <w:r>
              <w:rPr>
                <w:rFonts w:asciiTheme="minorEastAsia" w:hAnsiTheme="minorEastAsia" w:eastAsiaTheme="minorEastAsia"/>
                <w:szCs w:val="21"/>
              </w:rPr>
              <w:t>可以</w:t>
            </w:r>
            <w:r>
              <w:rPr>
                <w:rFonts w:hint="eastAsia" w:asciiTheme="minorEastAsia" w:hAnsiTheme="minorEastAsia" w:eastAsiaTheme="minorEastAsia"/>
                <w:szCs w:val="21"/>
              </w:rPr>
              <w:t>提供7x</w:t>
            </w:r>
            <w:r>
              <w:rPr>
                <w:rFonts w:asciiTheme="minorEastAsia" w:hAnsiTheme="minorEastAsia" w:eastAsiaTheme="minorEastAsia"/>
                <w:szCs w:val="21"/>
              </w:rPr>
              <w:t>24小时</w:t>
            </w:r>
            <w:r>
              <w:rPr>
                <w:rFonts w:hint="eastAsia" w:asciiTheme="minorEastAsia" w:hAnsiTheme="minorEastAsia" w:eastAsiaTheme="minorEastAsia"/>
                <w:szCs w:val="21"/>
              </w:rPr>
              <w:t>服务热线，提供异常预警和应急预案。</w:t>
            </w:r>
          </w:p>
          <w:p>
            <w:pPr>
              <w:ind w:firstLine="206" w:firstLineChars="100"/>
              <w:rPr>
                <w:rFonts w:ascii="宋体" w:hAnsi="宋体" w:cs="Arial"/>
                <w:szCs w:val="21"/>
              </w:rPr>
            </w:pPr>
            <w:r>
              <w:rPr>
                <w:rFonts w:hint="eastAsia" w:ascii="宋体" w:hAnsi="宋体"/>
                <w:snapToGrid w:val="0"/>
                <w:spacing w:val="-2"/>
                <w:szCs w:val="21"/>
              </w:rPr>
              <w:t>▲</w:t>
            </w:r>
            <w:r>
              <w:rPr>
                <w:rFonts w:hint="eastAsia" w:ascii="宋体" w:hAnsi="宋体" w:cs="宋体"/>
                <w:kern w:val="0"/>
                <w:szCs w:val="21"/>
              </w:rPr>
              <w:t>11）</w:t>
            </w:r>
            <w:r>
              <w:rPr>
                <w:rFonts w:hint="eastAsia" w:ascii="宋体" w:hAnsi="宋体"/>
                <w:snapToGrid w:val="0"/>
                <w:spacing w:val="-2"/>
                <w:szCs w:val="21"/>
              </w:rPr>
              <w:t>B/S架构，</w:t>
            </w:r>
            <w:r>
              <w:rPr>
                <w:rFonts w:hint="eastAsia" w:ascii="宋体" w:hAnsi="宋体" w:cs="Arial"/>
                <w:szCs w:val="21"/>
              </w:rPr>
              <w:t>系统需同时支持</w:t>
            </w:r>
            <w:r>
              <w:rPr>
                <w:rFonts w:hint="eastAsia" w:ascii="宋体" w:hAnsi="宋体"/>
                <w:snapToGrid w:val="0"/>
                <w:spacing w:val="-2"/>
                <w:szCs w:val="21"/>
              </w:rPr>
              <w:t>Oracle与MySql数据库</w:t>
            </w:r>
            <w:r>
              <w:rPr>
                <w:rFonts w:hint="eastAsia" w:ascii="宋体" w:hAnsi="宋体" w:cs="Arial"/>
                <w:szCs w:val="21"/>
              </w:rPr>
              <w:t>。</w:t>
            </w:r>
          </w:p>
          <w:p>
            <w:pPr>
              <w:ind w:firstLine="206" w:firstLineChars="100"/>
              <w:rPr>
                <w:rFonts w:asciiTheme="minorEastAsia" w:hAnsiTheme="minorEastAsia" w:eastAsiaTheme="minorEastAsia"/>
                <w:szCs w:val="21"/>
              </w:rPr>
            </w:pPr>
            <w:r>
              <w:rPr>
                <w:rFonts w:hint="eastAsia" w:ascii="宋体" w:hAnsi="宋体"/>
                <w:snapToGrid w:val="0"/>
                <w:spacing w:val="-2"/>
                <w:szCs w:val="21"/>
              </w:rPr>
              <w:t>▲</w:t>
            </w:r>
            <w:r>
              <w:rPr>
                <w:rFonts w:hint="eastAsia" w:ascii="宋体" w:hAnsi="宋体" w:cs="宋体"/>
                <w:kern w:val="0"/>
                <w:szCs w:val="21"/>
              </w:rPr>
              <w:t>12）</w:t>
            </w:r>
            <w:r>
              <w:rPr>
                <w:rFonts w:hint="eastAsia" w:ascii="宋体" w:hAnsi="宋体" w:cs="Arial"/>
                <w:szCs w:val="21"/>
              </w:rPr>
              <w:t>为满足医院服务器低资源、高性能及稳定性要求，程序须同时支持在Windows及Linux操作系统上运行。</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透析流程管理</w:t>
            </w:r>
          </w:p>
        </w:tc>
        <w:tc>
          <w:tcPr>
            <w:tcW w:w="58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1.1流程概述</w:t>
            </w:r>
          </w:p>
          <w:p>
            <w:pPr>
              <w:rPr>
                <w:rFonts w:asciiTheme="minorEastAsia" w:hAnsiTheme="minorEastAsia" w:eastAsiaTheme="minorEastAsia"/>
                <w:bCs/>
                <w:szCs w:val="21"/>
              </w:rPr>
            </w:pPr>
            <w:r>
              <w:rPr>
                <w:rFonts w:hint="eastAsia" w:ascii="宋体" w:hAnsi="宋体"/>
                <w:snapToGrid w:val="0"/>
                <w:spacing w:val="-2"/>
                <w:szCs w:val="21"/>
              </w:rPr>
              <w:t>▲</w:t>
            </w:r>
            <w:r>
              <w:rPr>
                <w:rFonts w:hint="eastAsia" w:asciiTheme="minorEastAsia" w:hAnsiTheme="minorEastAsia" w:eastAsiaTheme="minorEastAsia"/>
                <w:b/>
                <w:bCs/>
                <w:szCs w:val="21"/>
              </w:rPr>
              <w:t>使用工作流的概念，把每个患者的常规透析治疗按照时间顺序分成以下7个流程：透前称量、制定处方、确认处方、透析上机、交叉核对、透中护理、透后护理。</w:t>
            </w:r>
          </w:p>
          <w:p>
            <w:pPr>
              <w:rPr>
                <w:rFonts w:asciiTheme="minorEastAsia" w:hAnsiTheme="minorEastAsia" w:eastAsiaTheme="minorEastAsia"/>
                <w:bCs/>
                <w:szCs w:val="21"/>
              </w:rPr>
            </w:pPr>
            <w:r>
              <w:rPr>
                <w:rFonts w:asciiTheme="minorEastAsia" w:hAnsiTheme="minorEastAsia" w:eastAsiaTheme="minorEastAsia"/>
                <w:bCs/>
                <w:szCs w:val="21"/>
              </w:rPr>
              <w:t>为降低医护人员的认知难度</w:t>
            </w:r>
            <w:r>
              <w:rPr>
                <w:rFonts w:hint="eastAsia" w:asciiTheme="minorEastAsia" w:hAnsiTheme="minorEastAsia" w:eastAsiaTheme="minorEastAsia"/>
                <w:bCs/>
                <w:szCs w:val="21"/>
              </w:rPr>
              <w:t>，</w:t>
            </w:r>
            <w:r>
              <w:rPr>
                <w:rFonts w:asciiTheme="minorEastAsia" w:hAnsiTheme="minorEastAsia" w:eastAsiaTheme="minorEastAsia"/>
                <w:bCs/>
                <w:szCs w:val="21"/>
              </w:rPr>
              <w:t>能够快速上手</w:t>
            </w:r>
            <w:r>
              <w:rPr>
                <w:rFonts w:hint="eastAsia" w:asciiTheme="minorEastAsia" w:hAnsiTheme="minorEastAsia" w:eastAsiaTheme="minorEastAsia"/>
                <w:bCs/>
                <w:szCs w:val="21"/>
              </w:rPr>
              <w:t>，</w:t>
            </w:r>
            <w:r>
              <w:rPr>
                <w:rFonts w:asciiTheme="minorEastAsia" w:hAnsiTheme="minorEastAsia" w:eastAsiaTheme="minorEastAsia"/>
                <w:bCs/>
                <w:szCs w:val="21"/>
              </w:rPr>
              <w:t>系统需把医院物理上的空间虚拟进入软件</w:t>
            </w:r>
            <w:r>
              <w:rPr>
                <w:rFonts w:hint="eastAsia" w:asciiTheme="minorEastAsia" w:hAnsiTheme="minorEastAsia" w:eastAsiaTheme="minorEastAsia"/>
                <w:bCs/>
                <w:szCs w:val="21"/>
              </w:rPr>
              <w:t>，</w:t>
            </w:r>
            <w:r>
              <w:rPr>
                <w:rFonts w:asciiTheme="minorEastAsia" w:hAnsiTheme="minorEastAsia" w:eastAsiaTheme="minorEastAsia"/>
                <w:bCs/>
                <w:szCs w:val="21"/>
              </w:rPr>
              <w:t>分为候诊室和透析区</w:t>
            </w:r>
            <w:r>
              <w:rPr>
                <w:rFonts w:hint="eastAsia" w:asciiTheme="minorEastAsia" w:hAnsiTheme="minorEastAsia" w:eastAsiaTheme="minorEastAsia"/>
                <w:bCs/>
                <w:szCs w:val="21"/>
              </w:rPr>
              <w:t>。</w:t>
            </w:r>
          </w:p>
          <w:p>
            <w:pPr>
              <w:rPr>
                <w:rFonts w:asciiTheme="minorEastAsia" w:hAnsiTheme="minorEastAsia" w:eastAsiaTheme="minorEastAsia"/>
                <w:bCs/>
                <w:szCs w:val="21"/>
              </w:rPr>
            </w:pPr>
            <w:r>
              <w:rPr>
                <w:rFonts w:asciiTheme="minorEastAsia" w:hAnsiTheme="minorEastAsia" w:eastAsiaTheme="minorEastAsia"/>
                <w:bCs/>
                <w:szCs w:val="21"/>
              </w:rPr>
              <w:t>在候诊室</w:t>
            </w:r>
            <w:r>
              <w:rPr>
                <w:rFonts w:hint="eastAsia" w:asciiTheme="minorEastAsia" w:hAnsiTheme="minorEastAsia" w:eastAsiaTheme="minorEastAsia"/>
                <w:bCs/>
                <w:szCs w:val="21"/>
              </w:rPr>
              <w:t>，</w:t>
            </w:r>
            <w:r>
              <w:rPr>
                <w:rFonts w:asciiTheme="minorEastAsia" w:hAnsiTheme="minorEastAsia" w:eastAsiaTheme="minorEastAsia"/>
                <w:bCs/>
                <w:szCs w:val="21"/>
              </w:rPr>
              <w:t>医生可完成患者治疗流程中的透前称量和制定处方</w:t>
            </w:r>
            <w:r>
              <w:rPr>
                <w:rFonts w:hint="eastAsia" w:asciiTheme="minorEastAsia" w:hAnsiTheme="minorEastAsia" w:eastAsiaTheme="minorEastAsia"/>
                <w:bCs/>
                <w:szCs w:val="21"/>
              </w:rPr>
              <w:t>。</w:t>
            </w:r>
            <w:r>
              <w:rPr>
                <w:rFonts w:asciiTheme="minorEastAsia" w:hAnsiTheme="minorEastAsia" w:eastAsiaTheme="minorEastAsia"/>
                <w:bCs/>
                <w:szCs w:val="21"/>
              </w:rPr>
              <w:t>护士会在透析区完成</w:t>
            </w:r>
            <w:r>
              <w:rPr>
                <w:rFonts w:hint="eastAsia" w:asciiTheme="minorEastAsia" w:hAnsiTheme="minorEastAsia" w:eastAsiaTheme="minorEastAsia"/>
                <w:bCs/>
                <w:szCs w:val="21"/>
              </w:rPr>
              <w:t>确认处方、透析</w:t>
            </w:r>
            <w:r>
              <w:rPr>
                <w:rFonts w:asciiTheme="minorEastAsia" w:hAnsiTheme="minorEastAsia" w:eastAsiaTheme="minorEastAsia"/>
                <w:bCs/>
                <w:szCs w:val="21"/>
              </w:rPr>
              <w:t>上机</w:t>
            </w:r>
            <w:r>
              <w:rPr>
                <w:rFonts w:hint="eastAsia" w:asciiTheme="minorEastAsia" w:hAnsiTheme="minorEastAsia" w:eastAsiaTheme="minorEastAsia"/>
                <w:bCs/>
                <w:szCs w:val="21"/>
              </w:rPr>
              <w:t>、交叉核对、透中护理和透后护理这些后续流程。</w:t>
            </w:r>
          </w:p>
          <w:p>
            <w:pPr>
              <w:rPr>
                <w:rFonts w:asciiTheme="minorEastAsia" w:hAnsiTheme="minorEastAsia" w:eastAsiaTheme="minorEastAsia"/>
                <w:bCs/>
                <w:szCs w:val="21"/>
              </w:rPr>
            </w:pPr>
            <w:r>
              <w:rPr>
                <w:rFonts w:asciiTheme="minorEastAsia" w:hAnsiTheme="minorEastAsia" w:eastAsiaTheme="minorEastAsia"/>
                <w:bCs/>
                <w:szCs w:val="21"/>
              </w:rPr>
              <w:t>透析区可以根据医院的要求分成不同的透析区</w:t>
            </w:r>
            <w:r>
              <w:rPr>
                <w:rFonts w:hint="eastAsia" w:asciiTheme="minorEastAsia" w:hAnsiTheme="minorEastAsia" w:eastAsiaTheme="minorEastAsia"/>
                <w:bCs/>
                <w:szCs w:val="21"/>
              </w:rPr>
              <w:t>（阴性区和阳性区），并</w:t>
            </w:r>
            <w:r>
              <w:rPr>
                <w:rFonts w:asciiTheme="minorEastAsia" w:hAnsiTheme="minorEastAsia" w:eastAsiaTheme="minorEastAsia"/>
                <w:bCs/>
                <w:szCs w:val="21"/>
              </w:rPr>
              <w:t>显示床位卡</w:t>
            </w:r>
            <w:r>
              <w:rPr>
                <w:rFonts w:hint="eastAsia" w:asciiTheme="minorEastAsia" w:hAnsiTheme="minorEastAsia" w:eastAsiaTheme="minorEastAsia"/>
                <w:bCs/>
                <w:szCs w:val="21"/>
              </w:rPr>
              <w:t>。床位卡上需显示患者的姓名、床号、本次治疗剩余的时间、当前所处透析流程，患者</w:t>
            </w:r>
            <w:r>
              <w:rPr>
                <w:rFonts w:asciiTheme="minorEastAsia" w:hAnsiTheme="minorEastAsia" w:eastAsiaTheme="minorEastAsia"/>
                <w:bCs/>
                <w:szCs w:val="21"/>
              </w:rPr>
              <w:t>头像支持</w:t>
            </w:r>
            <w:r>
              <w:rPr>
                <w:rFonts w:hint="eastAsia" w:asciiTheme="minorEastAsia" w:hAnsiTheme="minorEastAsia" w:eastAsiaTheme="minorEastAsia"/>
                <w:bCs/>
                <w:szCs w:val="21"/>
              </w:rPr>
              <w:t>拍照记录功能。同时，床位卡上需显示当前可执行操作，</w:t>
            </w:r>
            <w:r>
              <w:rPr>
                <w:rFonts w:asciiTheme="minorEastAsia" w:hAnsiTheme="minorEastAsia" w:eastAsiaTheme="minorEastAsia"/>
                <w:bCs/>
                <w:szCs w:val="21"/>
              </w:rPr>
              <w:t>这些操作会随着患者治疗流程的推进而进行变化</w:t>
            </w:r>
            <w:r>
              <w:rPr>
                <w:rFonts w:hint="eastAsia" w:asciiTheme="minorEastAsia" w:hAnsiTheme="minorEastAsia" w:eastAsiaTheme="minorEastAsia"/>
                <w:bCs/>
                <w:szCs w:val="21"/>
              </w:rPr>
              <w:t>。</w:t>
            </w:r>
          </w:p>
          <w:p>
            <w:pPr>
              <w:rPr>
                <w:rFonts w:asciiTheme="minorEastAsia" w:hAnsiTheme="minorEastAsia" w:eastAsiaTheme="minorEastAsia"/>
                <w:b/>
                <w:bCs/>
                <w:szCs w:val="21"/>
              </w:rPr>
            </w:pPr>
            <w:r>
              <w:rPr>
                <w:rFonts w:hint="eastAsia" w:asciiTheme="minorEastAsia" w:hAnsiTheme="minorEastAsia" w:eastAsiaTheme="minorEastAsia"/>
                <w:b/>
                <w:bCs/>
                <w:szCs w:val="21"/>
              </w:rPr>
              <w:t>1.2透前称量</w:t>
            </w:r>
          </w:p>
          <w:p>
            <w:pPr>
              <w:rPr>
                <w:rFonts w:asciiTheme="minorEastAsia" w:hAnsiTheme="minorEastAsia" w:eastAsiaTheme="minorEastAsia"/>
                <w:bCs/>
                <w:szCs w:val="21"/>
              </w:rPr>
            </w:pPr>
            <w:r>
              <w:rPr>
                <w:rFonts w:asciiTheme="minorEastAsia" w:hAnsiTheme="minorEastAsia" w:eastAsiaTheme="minorEastAsia"/>
                <w:bCs/>
                <w:szCs w:val="21"/>
              </w:rPr>
              <w:t>系统连接体重秤</w:t>
            </w:r>
            <w:r>
              <w:rPr>
                <w:rFonts w:hint="eastAsia" w:asciiTheme="minorEastAsia" w:hAnsiTheme="minorEastAsia" w:eastAsiaTheme="minorEastAsia"/>
                <w:bCs/>
                <w:szCs w:val="21"/>
              </w:rPr>
              <w:t>、</w:t>
            </w:r>
            <w:r>
              <w:rPr>
                <w:rFonts w:asciiTheme="minorEastAsia" w:hAnsiTheme="minorEastAsia" w:eastAsiaTheme="minorEastAsia"/>
                <w:bCs/>
                <w:szCs w:val="21"/>
              </w:rPr>
              <w:t>血压计</w:t>
            </w:r>
            <w:r>
              <w:rPr>
                <w:rFonts w:hint="eastAsia" w:asciiTheme="minorEastAsia" w:hAnsiTheme="minorEastAsia" w:eastAsiaTheme="minorEastAsia"/>
                <w:bCs/>
                <w:szCs w:val="21"/>
              </w:rPr>
              <w:t>，</w:t>
            </w:r>
            <w:r>
              <w:rPr>
                <w:rFonts w:asciiTheme="minorEastAsia" w:hAnsiTheme="minorEastAsia" w:eastAsiaTheme="minorEastAsia"/>
                <w:bCs/>
                <w:szCs w:val="21"/>
              </w:rPr>
              <w:t>患者自助完成体重</w:t>
            </w:r>
            <w:r>
              <w:rPr>
                <w:rFonts w:hint="eastAsia" w:asciiTheme="minorEastAsia" w:hAnsiTheme="minorEastAsia" w:eastAsiaTheme="minorEastAsia"/>
                <w:bCs/>
                <w:szCs w:val="21"/>
              </w:rPr>
              <w:t>、</w:t>
            </w:r>
            <w:r>
              <w:rPr>
                <w:rFonts w:asciiTheme="minorEastAsia" w:hAnsiTheme="minorEastAsia" w:eastAsiaTheme="minorEastAsia"/>
                <w:bCs/>
                <w:szCs w:val="21"/>
              </w:rPr>
              <w:t>血压称量</w:t>
            </w:r>
            <w:r>
              <w:rPr>
                <w:rFonts w:hint="eastAsia" w:asciiTheme="minorEastAsia" w:hAnsiTheme="minorEastAsia" w:eastAsiaTheme="minorEastAsia"/>
                <w:bCs/>
                <w:szCs w:val="21"/>
              </w:rPr>
              <w:t>，</w:t>
            </w:r>
            <w:r>
              <w:rPr>
                <w:rFonts w:asciiTheme="minorEastAsia" w:hAnsiTheme="minorEastAsia" w:eastAsiaTheme="minorEastAsia"/>
                <w:bCs/>
                <w:szCs w:val="21"/>
              </w:rPr>
              <w:t>数据自动录入系统</w:t>
            </w:r>
            <w:r>
              <w:rPr>
                <w:rFonts w:hint="eastAsia" w:asciiTheme="minorEastAsia" w:hAnsiTheme="minorEastAsia" w:eastAsiaTheme="minorEastAsia"/>
                <w:bCs/>
                <w:szCs w:val="21"/>
              </w:rPr>
              <w:t>。</w:t>
            </w:r>
            <w:r>
              <w:rPr>
                <w:rFonts w:asciiTheme="minorEastAsia" w:hAnsiTheme="minorEastAsia" w:eastAsiaTheme="minorEastAsia"/>
                <w:bCs/>
                <w:szCs w:val="21"/>
              </w:rPr>
              <w:t>同时</w:t>
            </w:r>
            <w:r>
              <w:rPr>
                <w:rFonts w:hint="eastAsia" w:asciiTheme="minorEastAsia" w:hAnsiTheme="minorEastAsia" w:eastAsiaTheme="minorEastAsia"/>
                <w:bCs/>
                <w:szCs w:val="21"/>
              </w:rPr>
              <w:t>，</w:t>
            </w:r>
            <w:r>
              <w:rPr>
                <w:rFonts w:asciiTheme="minorEastAsia" w:hAnsiTheme="minorEastAsia" w:eastAsiaTheme="minorEastAsia"/>
                <w:bCs/>
                <w:szCs w:val="21"/>
              </w:rPr>
              <w:t>也可支持手工输入</w:t>
            </w:r>
            <w:r>
              <w:rPr>
                <w:rFonts w:hint="eastAsia" w:asciiTheme="minorEastAsia" w:hAnsiTheme="minorEastAsia" w:eastAsiaTheme="minorEastAsia"/>
                <w:bCs/>
                <w:szCs w:val="21"/>
              </w:rPr>
              <w:t>。</w:t>
            </w:r>
          </w:p>
          <w:p>
            <w:pPr>
              <w:rPr>
                <w:rFonts w:asciiTheme="minorEastAsia" w:hAnsiTheme="minorEastAsia" w:eastAsiaTheme="minorEastAsia"/>
                <w:b/>
                <w:bCs/>
                <w:szCs w:val="21"/>
              </w:rPr>
            </w:pPr>
            <w:r>
              <w:rPr>
                <w:rFonts w:hint="eastAsia" w:asciiTheme="minorEastAsia" w:hAnsiTheme="minorEastAsia" w:eastAsiaTheme="minorEastAsia"/>
                <w:b/>
                <w:bCs/>
                <w:szCs w:val="21"/>
              </w:rPr>
              <w:t>1.3制定处方</w:t>
            </w:r>
          </w:p>
          <w:p>
            <w:pPr>
              <w:rPr>
                <w:rFonts w:asciiTheme="minorEastAsia" w:hAnsiTheme="minorEastAsia" w:eastAsiaTheme="minorEastAsia"/>
                <w:bCs/>
                <w:szCs w:val="21"/>
              </w:rPr>
            </w:pPr>
            <w:r>
              <w:rPr>
                <w:rFonts w:asciiTheme="minorEastAsia" w:hAnsiTheme="minorEastAsia" w:eastAsiaTheme="minorEastAsia"/>
                <w:bCs/>
                <w:szCs w:val="21"/>
              </w:rPr>
              <w:t>透析开始之前</w:t>
            </w:r>
            <w:r>
              <w:rPr>
                <w:rFonts w:hint="eastAsia" w:asciiTheme="minorEastAsia" w:hAnsiTheme="minorEastAsia" w:eastAsiaTheme="minorEastAsia"/>
                <w:bCs/>
                <w:szCs w:val="21"/>
              </w:rPr>
              <w:t>，</w:t>
            </w:r>
            <w:r>
              <w:rPr>
                <w:rFonts w:asciiTheme="minorEastAsia" w:hAnsiTheme="minorEastAsia" w:eastAsiaTheme="minorEastAsia"/>
                <w:bCs/>
                <w:szCs w:val="21"/>
              </w:rPr>
              <w:t>医生为每个患者制定个性化的透析处方</w:t>
            </w:r>
            <w:r>
              <w:rPr>
                <w:rFonts w:hint="eastAsia" w:asciiTheme="minorEastAsia" w:hAnsiTheme="minorEastAsia" w:eastAsiaTheme="minorEastAsia"/>
                <w:bCs/>
                <w:szCs w:val="21"/>
              </w:rPr>
              <w:t>。</w:t>
            </w:r>
            <w:r>
              <w:rPr>
                <w:rFonts w:asciiTheme="minorEastAsia" w:hAnsiTheme="minorEastAsia" w:eastAsiaTheme="minorEastAsia"/>
                <w:bCs/>
                <w:szCs w:val="21"/>
              </w:rPr>
              <w:t>系统为医生自动调出上一次使用同种透析模式时的透析处方</w:t>
            </w:r>
            <w:r>
              <w:rPr>
                <w:rFonts w:hint="eastAsia" w:asciiTheme="minorEastAsia" w:hAnsiTheme="minorEastAsia" w:eastAsiaTheme="minorEastAsia"/>
                <w:bCs/>
                <w:szCs w:val="21"/>
              </w:rPr>
              <w:t>（包括使用的抗凝方式，所选透析液的温度、流量、浓度以及所选透析器等），</w:t>
            </w:r>
            <w:r>
              <w:rPr>
                <w:rFonts w:asciiTheme="minorEastAsia" w:hAnsiTheme="minorEastAsia" w:eastAsiaTheme="minorEastAsia"/>
                <w:bCs/>
                <w:szCs w:val="21"/>
              </w:rPr>
              <w:t>并可根据患者透前体重和干体重</w:t>
            </w:r>
            <w:r>
              <w:rPr>
                <w:rFonts w:hint="eastAsia" w:asciiTheme="minorEastAsia" w:hAnsiTheme="minorEastAsia" w:eastAsiaTheme="minorEastAsia"/>
                <w:bCs/>
                <w:szCs w:val="21"/>
              </w:rPr>
              <w:t>，</w:t>
            </w:r>
            <w:r>
              <w:rPr>
                <w:rFonts w:asciiTheme="minorEastAsia" w:hAnsiTheme="minorEastAsia" w:eastAsiaTheme="minorEastAsia"/>
                <w:bCs/>
                <w:szCs w:val="21"/>
              </w:rPr>
              <w:t>自动计算出本次透析预设的超滤量</w:t>
            </w:r>
            <w:r>
              <w:rPr>
                <w:rFonts w:hint="eastAsia" w:asciiTheme="minorEastAsia" w:hAnsiTheme="minorEastAsia" w:eastAsiaTheme="minorEastAsia"/>
                <w:bCs/>
                <w:szCs w:val="21"/>
              </w:rPr>
              <w:t>。</w:t>
            </w:r>
          </w:p>
          <w:p>
            <w:pPr>
              <w:rPr>
                <w:rFonts w:asciiTheme="minorEastAsia" w:hAnsiTheme="minorEastAsia" w:eastAsiaTheme="minorEastAsia"/>
                <w:b/>
                <w:bCs/>
                <w:szCs w:val="21"/>
              </w:rPr>
            </w:pPr>
            <w:r>
              <w:rPr>
                <w:rFonts w:hint="eastAsia" w:ascii="宋体" w:hAnsi="宋体"/>
                <w:snapToGrid w:val="0"/>
                <w:spacing w:val="-2"/>
                <w:szCs w:val="21"/>
              </w:rPr>
              <w:t>▲</w:t>
            </w:r>
            <w:r>
              <w:rPr>
                <w:rFonts w:hint="eastAsia" w:asciiTheme="minorEastAsia" w:hAnsiTheme="minorEastAsia" w:eastAsiaTheme="minorEastAsia"/>
                <w:b/>
                <w:bCs/>
                <w:szCs w:val="21"/>
              </w:rPr>
              <w:t>1.4确认处方</w:t>
            </w:r>
          </w:p>
          <w:p>
            <w:pPr>
              <w:rPr>
                <w:rFonts w:asciiTheme="minorEastAsia" w:hAnsiTheme="minorEastAsia" w:eastAsiaTheme="minorEastAsia"/>
                <w:bCs/>
                <w:szCs w:val="21"/>
              </w:rPr>
            </w:pPr>
            <w:r>
              <w:rPr>
                <w:rFonts w:hint="eastAsia" w:asciiTheme="minorEastAsia" w:hAnsiTheme="minorEastAsia" w:eastAsiaTheme="minorEastAsia"/>
                <w:bCs/>
                <w:szCs w:val="21"/>
              </w:rPr>
              <w:t>护士根据患者实际情况判断医生制定的处方是否准确，若发现异常，可操作退回该条处方，并写明理由，该处方会返回至医生处,医生需重新制定处方。（有声音提示</w:t>
            </w:r>
            <w:r>
              <w:rPr>
                <w:rFonts w:asciiTheme="minorEastAsia" w:hAnsiTheme="minorEastAsia" w:eastAsiaTheme="minorEastAsia"/>
                <w:bCs/>
                <w:szCs w:val="21"/>
              </w:rPr>
              <w:t>）</w:t>
            </w:r>
          </w:p>
          <w:p>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系统需提供扫码身份核对功能</w:t>
            </w:r>
            <w:r>
              <w:rPr>
                <w:rFonts w:hint="eastAsia" w:asciiTheme="minorEastAsia" w:hAnsiTheme="minorEastAsia" w:eastAsiaTheme="minorEastAsia"/>
                <w:bCs/>
                <w:szCs w:val="21"/>
              </w:rPr>
              <w:t>，</w:t>
            </w:r>
            <w:r>
              <w:rPr>
                <w:rFonts w:asciiTheme="minorEastAsia" w:hAnsiTheme="minorEastAsia" w:eastAsiaTheme="minorEastAsia"/>
                <w:bCs/>
                <w:szCs w:val="21"/>
              </w:rPr>
              <w:t>扫描患者二维码识别患者身份信息</w:t>
            </w:r>
            <w:r>
              <w:rPr>
                <w:rFonts w:hint="eastAsia" w:asciiTheme="minorEastAsia" w:hAnsiTheme="minorEastAsia" w:eastAsiaTheme="minorEastAsia"/>
                <w:bCs/>
                <w:szCs w:val="21"/>
              </w:rPr>
              <w:t>，</w:t>
            </w:r>
            <w:r>
              <w:rPr>
                <w:rFonts w:asciiTheme="minorEastAsia" w:hAnsiTheme="minorEastAsia" w:eastAsiaTheme="minorEastAsia"/>
                <w:bCs/>
                <w:szCs w:val="21"/>
              </w:rPr>
              <w:t>包含但不限于以下信息</w:t>
            </w:r>
            <w:r>
              <w:rPr>
                <w:rFonts w:hint="eastAsia" w:asciiTheme="minorEastAsia" w:hAnsiTheme="minorEastAsia" w:eastAsiaTheme="minorEastAsia"/>
                <w:bCs/>
                <w:szCs w:val="21"/>
              </w:rPr>
              <w:t>：</w:t>
            </w:r>
            <w:r>
              <w:rPr>
                <w:rFonts w:asciiTheme="minorEastAsia" w:hAnsiTheme="minorEastAsia" w:eastAsiaTheme="minorEastAsia"/>
                <w:bCs/>
                <w:szCs w:val="21"/>
              </w:rPr>
              <w:t>床位</w:t>
            </w:r>
            <w:r>
              <w:rPr>
                <w:rFonts w:hint="eastAsia" w:asciiTheme="minorEastAsia" w:hAnsiTheme="minorEastAsia" w:eastAsiaTheme="minorEastAsia"/>
                <w:bCs/>
                <w:szCs w:val="21"/>
              </w:rPr>
              <w:t>、班次、</w:t>
            </w:r>
            <w:r>
              <w:rPr>
                <w:rFonts w:asciiTheme="minorEastAsia" w:hAnsiTheme="minorEastAsia" w:eastAsiaTheme="minorEastAsia"/>
                <w:bCs/>
                <w:szCs w:val="21"/>
              </w:rPr>
              <w:t>病区</w:t>
            </w:r>
            <w:r>
              <w:rPr>
                <w:rFonts w:hint="eastAsia" w:asciiTheme="minorEastAsia" w:hAnsiTheme="minorEastAsia" w:eastAsiaTheme="minorEastAsia"/>
                <w:bCs/>
                <w:szCs w:val="21"/>
              </w:rPr>
              <w:t>、</w:t>
            </w:r>
            <w:r>
              <w:rPr>
                <w:rFonts w:asciiTheme="minorEastAsia" w:hAnsiTheme="minorEastAsia" w:eastAsiaTheme="minorEastAsia"/>
                <w:bCs/>
                <w:szCs w:val="21"/>
              </w:rPr>
              <w:t>透析模式</w:t>
            </w:r>
            <w:r>
              <w:rPr>
                <w:rFonts w:hint="eastAsia" w:asciiTheme="minorEastAsia" w:hAnsiTheme="minorEastAsia" w:eastAsiaTheme="minorEastAsia"/>
                <w:szCs w:val="21"/>
              </w:rPr>
              <w:t>、姓名、性别、出生年月等基本信息及患者本周的排床信息。</w:t>
            </w:r>
          </w:p>
          <w:p>
            <w:pPr>
              <w:rPr>
                <w:rFonts w:asciiTheme="minorEastAsia" w:hAnsiTheme="minorEastAsia" w:eastAsiaTheme="minorEastAsia"/>
                <w:b/>
                <w:bCs/>
                <w:szCs w:val="21"/>
              </w:rPr>
            </w:pPr>
            <w:r>
              <w:rPr>
                <w:rFonts w:hint="eastAsia" w:ascii="宋体" w:hAnsi="宋体"/>
                <w:snapToGrid w:val="0"/>
                <w:spacing w:val="-2"/>
                <w:szCs w:val="21"/>
              </w:rPr>
              <w:t>▲</w:t>
            </w:r>
            <w:r>
              <w:rPr>
                <w:rFonts w:hint="eastAsia" w:asciiTheme="minorEastAsia" w:hAnsiTheme="minorEastAsia" w:eastAsiaTheme="minorEastAsia"/>
                <w:b/>
                <w:bCs/>
                <w:szCs w:val="21"/>
              </w:rPr>
              <w:t>1.5透析</w:t>
            </w:r>
            <w:r>
              <w:rPr>
                <w:rFonts w:asciiTheme="minorEastAsia" w:hAnsiTheme="minorEastAsia" w:eastAsiaTheme="minorEastAsia"/>
                <w:b/>
                <w:bCs/>
                <w:szCs w:val="21"/>
              </w:rPr>
              <w:t>上机</w:t>
            </w:r>
          </w:p>
          <w:p>
            <w:pPr>
              <w:rPr>
                <w:rFonts w:asciiTheme="minorEastAsia" w:hAnsiTheme="minorEastAsia" w:eastAsiaTheme="minorEastAsia"/>
                <w:bCs/>
                <w:szCs w:val="21"/>
              </w:rPr>
            </w:pPr>
            <w:r>
              <w:rPr>
                <w:rFonts w:hint="eastAsia" w:asciiTheme="minorEastAsia" w:hAnsiTheme="minorEastAsia" w:eastAsiaTheme="minorEastAsia"/>
                <w:bCs/>
                <w:szCs w:val="21"/>
              </w:rPr>
              <w:t>确认患者状态，记录生命体征，</w:t>
            </w:r>
            <w:r>
              <w:rPr>
                <w:rFonts w:asciiTheme="minorEastAsia" w:hAnsiTheme="minorEastAsia" w:eastAsiaTheme="minorEastAsia"/>
                <w:bCs/>
                <w:szCs w:val="21"/>
              </w:rPr>
              <w:t>评估患者通路</w:t>
            </w:r>
            <w:r>
              <w:rPr>
                <w:rFonts w:hint="eastAsia" w:asciiTheme="minorEastAsia" w:hAnsiTheme="minorEastAsia" w:eastAsiaTheme="minorEastAsia"/>
                <w:bCs/>
                <w:szCs w:val="21"/>
              </w:rPr>
              <w:t>情况。</w:t>
            </w:r>
          </w:p>
          <w:p>
            <w:pPr>
              <w:rPr>
                <w:rFonts w:asciiTheme="minorEastAsia" w:hAnsiTheme="minorEastAsia" w:eastAsiaTheme="minorEastAsia"/>
                <w:szCs w:val="21"/>
              </w:rPr>
            </w:pPr>
            <w:r>
              <w:rPr>
                <w:rFonts w:hint="eastAsia" w:asciiTheme="minorEastAsia" w:hAnsiTheme="minorEastAsia" w:eastAsiaTheme="minorEastAsia"/>
                <w:bCs/>
                <w:szCs w:val="21"/>
              </w:rPr>
              <w:t>通路评估能够记录、显示患者穿刺点图片信息，及穿刺历史。</w:t>
            </w:r>
          </w:p>
          <w:p>
            <w:pPr>
              <w:rPr>
                <w:rFonts w:asciiTheme="minorEastAsia" w:hAnsiTheme="minorEastAsia" w:eastAsiaTheme="minorEastAsia"/>
                <w:b/>
                <w:bCs/>
                <w:szCs w:val="21"/>
              </w:rPr>
            </w:pPr>
            <w:r>
              <w:rPr>
                <w:rFonts w:asciiTheme="minorEastAsia" w:hAnsiTheme="minorEastAsia" w:eastAsiaTheme="minorEastAsia"/>
                <w:b/>
                <w:bCs/>
                <w:szCs w:val="21"/>
              </w:rPr>
              <w:t>1.6</w:t>
            </w:r>
            <w:r>
              <w:rPr>
                <w:rFonts w:hint="eastAsia" w:asciiTheme="minorEastAsia" w:hAnsiTheme="minorEastAsia" w:eastAsiaTheme="minorEastAsia"/>
                <w:b/>
                <w:bCs/>
                <w:szCs w:val="21"/>
              </w:rPr>
              <w:t>交叉核对</w:t>
            </w:r>
          </w:p>
          <w:p>
            <w:pPr>
              <w:rPr>
                <w:rFonts w:asciiTheme="minorEastAsia" w:hAnsiTheme="minorEastAsia" w:eastAsiaTheme="minorEastAsia"/>
                <w:bCs/>
                <w:szCs w:val="21"/>
              </w:rPr>
            </w:pPr>
            <w:r>
              <w:rPr>
                <w:rFonts w:asciiTheme="minorEastAsia" w:hAnsiTheme="minorEastAsia" w:eastAsiaTheme="minorEastAsia"/>
                <w:bCs/>
                <w:szCs w:val="21"/>
                <w:shd w:val="clear" w:color="auto" w:fill="FFFFFF" w:themeFill="background1"/>
              </w:rPr>
              <w:t>由核对护士再次核对处方</w:t>
            </w:r>
            <w:r>
              <w:rPr>
                <w:rFonts w:hint="eastAsia" w:asciiTheme="minorEastAsia" w:hAnsiTheme="minorEastAsia" w:eastAsiaTheme="minorEastAsia"/>
                <w:bCs/>
                <w:szCs w:val="21"/>
                <w:shd w:val="clear" w:color="auto" w:fill="FFFFFF" w:themeFill="background1"/>
              </w:rPr>
              <w:t>并</w:t>
            </w:r>
            <w:r>
              <w:rPr>
                <w:rFonts w:asciiTheme="minorEastAsia" w:hAnsiTheme="minorEastAsia" w:eastAsiaTheme="minorEastAsia"/>
                <w:bCs/>
                <w:szCs w:val="21"/>
                <w:shd w:val="clear" w:color="auto" w:fill="FFFFFF" w:themeFill="background1"/>
              </w:rPr>
              <w:t>检查机器</w:t>
            </w:r>
            <w:r>
              <w:rPr>
                <w:rFonts w:hint="eastAsia" w:asciiTheme="minorEastAsia" w:hAnsiTheme="minorEastAsia" w:eastAsiaTheme="minorEastAsia"/>
                <w:bCs/>
                <w:szCs w:val="21"/>
                <w:shd w:val="clear" w:color="auto" w:fill="FFFFFF" w:themeFill="background1"/>
              </w:rPr>
              <w:t>参数</w:t>
            </w:r>
            <w:r>
              <w:rPr>
                <w:rFonts w:asciiTheme="minorEastAsia" w:hAnsiTheme="minorEastAsia" w:eastAsiaTheme="minorEastAsia"/>
                <w:bCs/>
                <w:szCs w:val="21"/>
                <w:shd w:val="clear" w:color="auto" w:fill="FFFFFF" w:themeFill="background1"/>
              </w:rPr>
              <w:t>设定、连接</w:t>
            </w:r>
            <w:r>
              <w:rPr>
                <w:rFonts w:hint="eastAsia" w:asciiTheme="minorEastAsia" w:hAnsiTheme="minorEastAsia" w:eastAsiaTheme="minorEastAsia"/>
                <w:bCs/>
                <w:szCs w:val="21"/>
                <w:shd w:val="clear" w:color="auto" w:fill="FFFFFF" w:themeFill="background1"/>
              </w:rPr>
              <w:t>情况及管路情况</w:t>
            </w:r>
            <w:r>
              <w:rPr>
                <w:rFonts w:hint="eastAsia" w:asciiTheme="minorEastAsia" w:hAnsiTheme="minorEastAsia" w:eastAsiaTheme="minorEastAsia"/>
                <w:bCs/>
                <w:szCs w:val="21"/>
              </w:rPr>
              <w:t>，核对护士与责任护士不可以是同一个人</w:t>
            </w:r>
            <w:r>
              <w:rPr>
                <w:rFonts w:asciiTheme="minorEastAsia" w:hAnsiTheme="minorEastAsia" w:eastAsiaTheme="minorEastAsia"/>
                <w:bCs/>
                <w:szCs w:val="21"/>
              </w:rPr>
              <w:t>。</w:t>
            </w:r>
          </w:p>
          <w:p>
            <w:pPr>
              <w:rPr>
                <w:rFonts w:asciiTheme="minorEastAsia" w:hAnsiTheme="minorEastAsia" w:eastAsiaTheme="minorEastAsia"/>
                <w:b/>
                <w:bCs/>
                <w:szCs w:val="21"/>
              </w:rPr>
            </w:pPr>
            <w:r>
              <w:rPr>
                <w:rFonts w:asciiTheme="minorEastAsia" w:hAnsiTheme="minorEastAsia" w:eastAsiaTheme="minorEastAsia"/>
                <w:b/>
                <w:bCs/>
                <w:szCs w:val="21"/>
              </w:rPr>
              <w:t>1.7</w:t>
            </w:r>
            <w:r>
              <w:rPr>
                <w:rFonts w:hint="eastAsia" w:asciiTheme="minorEastAsia" w:hAnsiTheme="minorEastAsia" w:eastAsiaTheme="minorEastAsia"/>
                <w:b/>
                <w:bCs/>
                <w:szCs w:val="21"/>
              </w:rPr>
              <w:t>透中护理</w:t>
            </w:r>
          </w:p>
          <w:p>
            <w:pPr>
              <w:rPr>
                <w:rFonts w:asciiTheme="minorEastAsia" w:hAnsiTheme="minorEastAsia" w:eastAsiaTheme="minorEastAsia"/>
                <w:bCs/>
                <w:szCs w:val="21"/>
              </w:rPr>
            </w:pPr>
            <w:r>
              <w:rPr>
                <w:rFonts w:asciiTheme="minorEastAsia" w:hAnsiTheme="minorEastAsia" w:eastAsiaTheme="minorEastAsia"/>
                <w:bCs/>
                <w:szCs w:val="21"/>
              </w:rPr>
              <w:t>护士每隔一段固定时间</w:t>
            </w:r>
            <w:r>
              <w:rPr>
                <w:rFonts w:hint="eastAsia" w:asciiTheme="minorEastAsia" w:hAnsiTheme="minorEastAsia" w:eastAsiaTheme="minorEastAsia"/>
                <w:bCs/>
                <w:szCs w:val="21"/>
              </w:rPr>
              <w:t>，</w:t>
            </w:r>
            <w:r>
              <w:rPr>
                <w:rFonts w:asciiTheme="minorEastAsia" w:hAnsiTheme="minorEastAsia" w:eastAsiaTheme="minorEastAsia"/>
                <w:bCs/>
                <w:szCs w:val="21"/>
              </w:rPr>
              <w:t>对患者的生命体征</w:t>
            </w:r>
            <w:r>
              <w:rPr>
                <w:rFonts w:hint="eastAsia" w:asciiTheme="minorEastAsia" w:hAnsiTheme="minorEastAsia" w:eastAsiaTheme="minorEastAsia"/>
                <w:bCs/>
                <w:szCs w:val="21"/>
              </w:rPr>
              <w:t>、</w:t>
            </w:r>
            <w:r>
              <w:rPr>
                <w:rFonts w:asciiTheme="minorEastAsia" w:hAnsiTheme="minorEastAsia" w:eastAsiaTheme="minorEastAsia"/>
                <w:bCs/>
                <w:szCs w:val="21"/>
              </w:rPr>
              <w:t>透析机的机器数据和患者的通路情况进行记录和巡视</w:t>
            </w:r>
            <w:r>
              <w:rPr>
                <w:rFonts w:hint="eastAsia" w:asciiTheme="minorEastAsia" w:hAnsiTheme="minorEastAsia" w:eastAsiaTheme="minorEastAsia"/>
                <w:bCs/>
                <w:szCs w:val="21"/>
              </w:rPr>
              <w:t>。系统需实现与透析机联机，</w:t>
            </w:r>
            <w:r>
              <w:rPr>
                <w:rFonts w:asciiTheme="minorEastAsia" w:hAnsiTheme="minorEastAsia" w:eastAsiaTheme="minorEastAsia"/>
                <w:bCs/>
                <w:szCs w:val="21"/>
              </w:rPr>
              <w:t>自动采集患者的生命体征和透析机的机器数据</w:t>
            </w:r>
            <w:r>
              <w:rPr>
                <w:rFonts w:hint="eastAsia" w:asciiTheme="minorEastAsia" w:hAnsiTheme="minorEastAsia" w:eastAsiaTheme="minorEastAsia"/>
                <w:bCs/>
                <w:szCs w:val="21"/>
              </w:rPr>
              <w:t>。</w:t>
            </w:r>
          </w:p>
          <w:p>
            <w:pPr>
              <w:rPr>
                <w:rFonts w:asciiTheme="minorEastAsia" w:hAnsiTheme="minorEastAsia" w:eastAsiaTheme="minorEastAsia"/>
                <w:bCs/>
                <w:szCs w:val="21"/>
              </w:rPr>
            </w:pPr>
            <w:r>
              <w:rPr>
                <w:rFonts w:asciiTheme="minorEastAsia" w:hAnsiTheme="minorEastAsia" w:eastAsiaTheme="minorEastAsia"/>
                <w:bCs/>
                <w:szCs w:val="21"/>
              </w:rPr>
              <w:t>治疗过程中</w:t>
            </w:r>
            <w:r>
              <w:rPr>
                <w:rFonts w:hint="eastAsia" w:asciiTheme="minorEastAsia" w:hAnsiTheme="minorEastAsia" w:eastAsiaTheme="minorEastAsia"/>
                <w:bCs/>
                <w:szCs w:val="21"/>
              </w:rPr>
              <w:t>，医生可开医嘱，</w:t>
            </w:r>
            <w:r>
              <w:rPr>
                <w:rFonts w:asciiTheme="minorEastAsia" w:hAnsiTheme="minorEastAsia" w:eastAsiaTheme="minorEastAsia"/>
                <w:bCs/>
                <w:szCs w:val="21"/>
              </w:rPr>
              <w:t>护士执行医嘱</w:t>
            </w:r>
            <w:r>
              <w:rPr>
                <w:rFonts w:hint="eastAsia" w:asciiTheme="minorEastAsia" w:hAnsiTheme="minorEastAsia" w:eastAsiaTheme="minorEastAsia"/>
                <w:bCs/>
                <w:szCs w:val="21"/>
              </w:rPr>
              <w:t>。未</w:t>
            </w:r>
            <w:r>
              <w:rPr>
                <w:rFonts w:asciiTheme="minorEastAsia" w:hAnsiTheme="minorEastAsia" w:eastAsiaTheme="minorEastAsia"/>
                <w:bCs/>
                <w:szCs w:val="21"/>
              </w:rPr>
              <w:t>执行的医嘱需在</w:t>
            </w:r>
            <w:r>
              <w:rPr>
                <w:rFonts w:hint="eastAsia" w:asciiTheme="minorEastAsia" w:hAnsiTheme="minorEastAsia" w:eastAsiaTheme="minorEastAsia"/>
                <w:bCs/>
                <w:szCs w:val="21"/>
              </w:rPr>
              <w:t>系统中</w:t>
            </w:r>
            <w:r>
              <w:rPr>
                <w:rFonts w:asciiTheme="minorEastAsia" w:hAnsiTheme="minorEastAsia" w:eastAsiaTheme="minorEastAsia"/>
                <w:bCs/>
                <w:szCs w:val="21"/>
              </w:rPr>
              <w:t>床位卡上进行提示</w:t>
            </w:r>
            <w:r>
              <w:rPr>
                <w:rFonts w:hint="eastAsia" w:asciiTheme="minorEastAsia" w:hAnsiTheme="minorEastAsia" w:eastAsiaTheme="minorEastAsia"/>
                <w:bCs/>
                <w:szCs w:val="21"/>
              </w:rPr>
              <w:t>。</w:t>
            </w:r>
          </w:p>
          <w:p>
            <w:pPr>
              <w:rPr>
                <w:rFonts w:asciiTheme="minorEastAsia" w:hAnsiTheme="minorEastAsia" w:eastAsiaTheme="minorEastAsia"/>
                <w:bCs/>
                <w:szCs w:val="21"/>
              </w:rPr>
            </w:pPr>
            <w:r>
              <w:rPr>
                <w:rFonts w:hint="eastAsia" w:asciiTheme="minorEastAsia" w:hAnsiTheme="minorEastAsia" w:eastAsiaTheme="minorEastAsia"/>
                <w:bCs/>
                <w:szCs w:val="21"/>
              </w:rPr>
              <w:t>护士可勾选记录并发症的描述、原因和处理措施</w:t>
            </w:r>
            <w:r>
              <w:rPr>
                <w:rFonts w:asciiTheme="minorEastAsia" w:hAnsiTheme="minorEastAsia" w:eastAsiaTheme="minorEastAsia"/>
                <w:bCs/>
                <w:szCs w:val="21"/>
              </w:rPr>
              <w:t>,并可</w:t>
            </w:r>
            <w:r>
              <w:rPr>
                <w:rFonts w:hint="eastAsia" w:asciiTheme="minorEastAsia" w:hAnsiTheme="minorEastAsia" w:eastAsiaTheme="minorEastAsia"/>
                <w:bCs/>
                <w:szCs w:val="21"/>
              </w:rPr>
              <w:t>拍照记录。</w:t>
            </w:r>
          </w:p>
          <w:p>
            <w:pPr>
              <w:rPr>
                <w:rFonts w:asciiTheme="minorEastAsia" w:hAnsiTheme="minorEastAsia" w:eastAsiaTheme="minorEastAsia"/>
                <w:b/>
                <w:bCs/>
                <w:szCs w:val="21"/>
              </w:rPr>
            </w:pPr>
            <w:r>
              <w:rPr>
                <w:rFonts w:asciiTheme="minorEastAsia" w:hAnsiTheme="minorEastAsia" w:eastAsiaTheme="minorEastAsia"/>
                <w:b/>
                <w:bCs/>
                <w:szCs w:val="21"/>
              </w:rPr>
              <w:t>1.8</w:t>
            </w:r>
            <w:r>
              <w:rPr>
                <w:rFonts w:hint="eastAsia" w:asciiTheme="minorEastAsia" w:hAnsiTheme="minorEastAsia" w:eastAsiaTheme="minorEastAsia"/>
                <w:b/>
                <w:bCs/>
                <w:szCs w:val="21"/>
              </w:rPr>
              <w:t>透后护理</w:t>
            </w:r>
          </w:p>
          <w:p>
            <w:pPr>
              <w:rPr>
                <w:rFonts w:asciiTheme="minorEastAsia" w:hAnsiTheme="minorEastAsia" w:eastAsiaTheme="minorEastAsia"/>
                <w:bCs/>
                <w:szCs w:val="21"/>
              </w:rPr>
            </w:pPr>
            <w:r>
              <w:rPr>
                <w:rFonts w:asciiTheme="minorEastAsia" w:hAnsiTheme="minorEastAsia" w:eastAsiaTheme="minorEastAsia"/>
                <w:bCs/>
                <w:szCs w:val="21"/>
              </w:rPr>
              <w:t>患者完成透析</w:t>
            </w:r>
            <w:r>
              <w:rPr>
                <w:rFonts w:hint="eastAsia" w:asciiTheme="minorEastAsia" w:hAnsiTheme="minorEastAsia" w:eastAsiaTheme="minorEastAsia"/>
                <w:bCs/>
                <w:szCs w:val="21"/>
              </w:rPr>
              <w:t>后</w:t>
            </w:r>
            <w:r>
              <w:rPr>
                <w:rFonts w:asciiTheme="minorEastAsia" w:hAnsiTheme="minorEastAsia" w:eastAsiaTheme="minorEastAsia"/>
                <w:bCs/>
                <w:szCs w:val="21"/>
              </w:rPr>
              <w:t>，</w:t>
            </w:r>
            <w:r>
              <w:rPr>
                <w:rFonts w:hint="eastAsia" w:asciiTheme="minorEastAsia" w:hAnsiTheme="minorEastAsia" w:eastAsiaTheme="minorEastAsia"/>
                <w:bCs/>
                <w:szCs w:val="21"/>
              </w:rPr>
              <w:t>系统</w:t>
            </w:r>
            <w:r>
              <w:rPr>
                <w:rFonts w:asciiTheme="minorEastAsia" w:hAnsiTheme="minorEastAsia" w:eastAsiaTheme="minorEastAsia"/>
                <w:bCs/>
                <w:szCs w:val="21"/>
              </w:rPr>
              <w:t xml:space="preserve">自动生成治疗时间，护士填写实际超滤量 </w:t>
            </w:r>
            <w:r>
              <w:rPr>
                <w:rFonts w:hint="eastAsia" w:asciiTheme="minorEastAsia" w:hAnsiTheme="minorEastAsia" w:eastAsiaTheme="minorEastAsia"/>
                <w:bCs/>
                <w:szCs w:val="21"/>
              </w:rPr>
              <w:t>（</w:t>
            </w:r>
            <w:r>
              <w:rPr>
                <w:rFonts w:asciiTheme="minorEastAsia" w:hAnsiTheme="minorEastAsia" w:eastAsiaTheme="minorEastAsia"/>
                <w:bCs/>
                <w:szCs w:val="21"/>
              </w:rPr>
              <w:t>HDF/HP模式需填写置换液</w:t>
            </w:r>
            <w:r>
              <w:rPr>
                <w:rFonts w:hint="eastAsia" w:asciiTheme="minorEastAsia" w:hAnsiTheme="minorEastAsia" w:eastAsiaTheme="minorEastAsia"/>
                <w:bCs/>
                <w:szCs w:val="21"/>
              </w:rPr>
              <w:t>总量），</w:t>
            </w:r>
            <w:r>
              <w:rPr>
                <w:rFonts w:asciiTheme="minorEastAsia" w:hAnsiTheme="minorEastAsia" w:eastAsiaTheme="minorEastAsia"/>
                <w:bCs/>
                <w:szCs w:val="21"/>
              </w:rPr>
              <w:t>生命体征从联机透析机</w:t>
            </w:r>
            <w:r>
              <w:rPr>
                <w:rFonts w:hint="eastAsia" w:asciiTheme="minorEastAsia" w:hAnsiTheme="minorEastAsia" w:eastAsiaTheme="minorEastAsia"/>
                <w:bCs/>
                <w:szCs w:val="21"/>
              </w:rPr>
              <w:t>自动</w:t>
            </w:r>
            <w:r>
              <w:rPr>
                <w:rFonts w:asciiTheme="minorEastAsia" w:hAnsiTheme="minorEastAsia" w:eastAsiaTheme="minorEastAsia"/>
                <w:bCs/>
                <w:szCs w:val="21"/>
              </w:rPr>
              <w:t>获取</w:t>
            </w:r>
            <w:r>
              <w:rPr>
                <w:rFonts w:hint="eastAsia" w:asciiTheme="minorEastAsia" w:hAnsiTheme="minorEastAsia" w:eastAsiaTheme="minorEastAsia"/>
                <w:bCs/>
                <w:szCs w:val="21"/>
              </w:rPr>
              <w:t>。</w:t>
            </w:r>
          </w:p>
          <w:p>
            <w:pPr>
              <w:rPr>
                <w:rFonts w:asciiTheme="minorEastAsia" w:hAnsiTheme="minorEastAsia" w:eastAsiaTheme="minorEastAsia"/>
                <w:bCs/>
                <w:szCs w:val="21"/>
              </w:rPr>
            </w:pPr>
            <w:r>
              <w:rPr>
                <w:rFonts w:hint="eastAsia" w:asciiTheme="minorEastAsia" w:hAnsiTheme="minorEastAsia" w:eastAsiaTheme="minorEastAsia"/>
                <w:bCs/>
                <w:szCs w:val="21"/>
              </w:rPr>
              <w:t>下机后，患者自助称量透后体重，系统自动记录。</w:t>
            </w:r>
          </w:p>
          <w:p>
            <w:pPr>
              <w:rPr>
                <w:rFonts w:asciiTheme="minorEastAsia" w:hAnsiTheme="minorEastAsia" w:eastAsiaTheme="minorEastAsia"/>
                <w:b/>
                <w:bCs/>
                <w:szCs w:val="21"/>
              </w:rPr>
            </w:pPr>
            <w:r>
              <w:rPr>
                <w:rFonts w:asciiTheme="minorEastAsia" w:hAnsiTheme="minorEastAsia" w:eastAsiaTheme="minorEastAsia"/>
                <w:b/>
                <w:bCs/>
                <w:szCs w:val="21"/>
              </w:rPr>
              <w:t>1.9</w:t>
            </w:r>
            <w:r>
              <w:rPr>
                <w:rFonts w:hint="eastAsia" w:asciiTheme="minorEastAsia" w:hAnsiTheme="minorEastAsia" w:eastAsiaTheme="minorEastAsia"/>
                <w:b/>
                <w:bCs/>
                <w:szCs w:val="21"/>
              </w:rPr>
              <w:t>消毒</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bCs/>
                <w:szCs w:val="21"/>
              </w:rPr>
              <w:t>患者下机后</w:t>
            </w:r>
            <w:r>
              <w:rPr>
                <w:rFonts w:hint="eastAsia" w:asciiTheme="minorEastAsia" w:hAnsiTheme="minorEastAsia" w:eastAsiaTheme="minorEastAsia"/>
                <w:bCs/>
                <w:szCs w:val="21"/>
              </w:rPr>
              <w:t>，</w:t>
            </w:r>
            <w:r>
              <w:rPr>
                <w:rFonts w:asciiTheme="minorEastAsia" w:hAnsiTheme="minorEastAsia" w:eastAsiaTheme="minorEastAsia"/>
                <w:bCs/>
                <w:szCs w:val="21"/>
              </w:rPr>
              <w:t>护士根据实际消毒情况点击消毒</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1303" w:type="dxa"/>
            <w:tcBorders>
              <w:top w:val="single" w:color="auto" w:sz="4" w:space="0"/>
              <w:left w:val="single" w:color="auto" w:sz="4" w:space="0"/>
              <w:bottom w:val="single" w:color="auto" w:sz="4" w:space="0"/>
              <w:right w:val="single" w:color="auto" w:sz="4" w:space="0"/>
            </w:tcBorders>
            <w:vAlign w:val="center"/>
          </w:tcPr>
          <w:p>
            <w:pPr>
              <w:pStyle w:val="84"/>
              <w:autoSpaceDE w:val="0"/>
              <w:autoSpaceDN w:val="0"/>
              <w:adjustRightInd w:val="0"/>
              <w:spacing w:line="360" w:lineRule="auto"/>
              <w:ind w:firstLine="0" w:firstLineChars="0"/>
              <w:rPr>
                <w:rFonts w:asciiTheme="minorEastAsia" w:hAnsiTheme="minorEastAsia" w:eastAsiaTheme="minorEastAsia"/>
              </w:rPr>
            </w:pPr>
            <w:r>
              <w:rPr>
                <w:rFonts w:hint="eastAsia" w:ascii="宋体" w:hAnsi="宋体" w:cs="宋体"/>
                <w:kern w:val="0"/>
                <w:szCs w:val="21"/>
              </w:rPr>
              <w:t>▲</w:t>
            </w:r>
            <w:r>
              <w:rPr>
                <w:rFonts w:hint="eastAsia" w:asciiTheme="minorEastAsia" w:hAnsiTheme="minorEastAsia" w:eastAsiaTheme="minorEastAsia"/>
                <w:szCs w:val="21"/>
              </w:rPr>
              <w:t>电子病历</w:t>
            </w:r>
          </w:p>
        </w:tc>
        <w:tc>
          <w:tcPr>
            <w:tcW w:w="5897"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电子病历需要能够支持强大的搜索功能，按照医护人员设置的复合搜索条件找到相关的患者，比如说能够找到整个透析中心内性别为男性，年龄区间在40-45，原发病为Ig</w:t>
            </w:r>
            <w:r>
              <w:rPr>
                <w:rFonts w:asciiTheme="minorEastAsia" w:hAnsiTheme="minorEastAsia" w:eastAsiaTheme="minorEastAsia"/>
                <w:szCs w:val="21"/>
              </w:rPr>
              <w:t>A</w:t>
            </w:r>
            <w:r>
              <w:rPr>
                <w:rFonts w:hint="eastAsia" w:asciiTheme="minorEastAsia" w:hAnsiTheme="minorEastAsia" w:eastAsiaTheme="minorEastAsia"/>
                <w:szCs w:val="21"/>
              </w:rPr>
              <w:t>肾病，并且合并了肾性骨病的患者。</w:t>
            </w:r>
          </w:p>
          <w:p>
            <w:pPr>
              <w:topLinePunct/>
              <w:adjustRightInd w:val="0"/>
              <w:snapToGrid w:val="0"/>
              <w:spacing w:line="360" w:lineRule="auto"/>
              <w:ind w:firstLine="420" w:firstLineChars="200"/>
              <w:rPr>
                <w:rFonts w:asciiTheme="minorEastAsia" w:hAnsiTheme="minorEastAsia" w:eastAsiaTheme="minorEastAsia"/>
                <w:color w:val="FF0000"/>
              </w:rPr>
            </w:pPr>
            <w:r>
              <w:rPr>
                <w:rFonts w:hint="eastAsia" w:cs="Arial" w:asciiTheme="minorEastAsia" w:hAnsiTheme="minorEastAsia" w:eastAsiaTheme="minorEastAsia"/>
                <w:szCs w:val="21"/>
              </w:rPr>
              <w:t>需包含以下几个部分：病历首页、基本信息、诊断信息、血透通路、血透信息、化验信息、病程记录、影像信息、透析医嘱、转归、治疗分析等。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费用管理</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ind w:firstLine="420" w:firstLineChars="200"/>
              <w:jc w:val="left"/>
              <w:rPr>
                <w:rFonts w:asciiTheme="minorEastAsia" w:hAnsiTheme="minorEastAsia" w:eastAsiaTheme="minorEastAsia"/>
                <w:bCs/>
                <w:szCs w:val="21"/>
              </w:rPr>
            </w:pPr>
            <w:r>
              <w:rPr>
                <w:rFonts w:asciiTheme="minorEastAsia" w:hAnsiTheme="minorEastAsia" w:eastAsiaTheme="minorEastAsia"/>
                <w:bCs/>
                <w:szCs w:val="21"/>
              </w:rPr>
              <w:t>患者透析结束后</w:t>
            </w:r>
            <w:r>
              <w:rPr>
                <w:rFonts w:hint="eastAsia" w:asciiTheme="minorEastAsia" w:hAnsiTheme="minorEastAsia" w:eastAsiaTheme="minorEastAsia"/>
                <w:bCs/>
                <w:szCs w:val="21"/>
              </w:rPr>
              <w:t>，系统</w:t>
            </w:r>
            <w:r>
              <w:rPr>
                <w:rFonts w:asciiTheme="minorEastAsia" w:hAnsiTheme="minorEastAsia" w:eastAsiaTheme="minorEastAsia"/>
                <w:bCs/>
                <w:szCs w:val="21"/>
              </w:rPr>
              <w:t>根据</w:t>
            </w:r>
            <w:r>
              <w:rPr>
                <w:rFonts w:hint="eastAsia" w:asciiTheme="minorEastAsia" w:hAnsiTheme="minorEastAsia" w:eastAsiaTheme="minorEastAsia"/>
                <w:bCs/>
                <w:szCs w:val="21"/>
              </w:rPr>
              <w:t>患者透析</w:t>
            </w:r>
            <w:r>
              <w:rPr>
                <w:rFonts w:asciiTheme="minorEastAsia" w:hAnsiTheme="minorEastAsia" w:eastAsiaTheme="minorEastAsia"/>
                <w:bCs/>
                <w:szCs w:val="21"/>
              </w:rPr>
              <w:t>过程中使用的耗材及</w:t>
            </w:r>
            <w:r>
              <w:rPr>
                <w:rFonts w:hint="eastAsia" w:asciiTheme="minorEastAsia" w:hAnsiTheme="minorEastAsia" w:eastAsiaTheme="minorEastAsia"/>
                <w:bCs/>
                <w:szCs w:val="21"/>
              </w:rPr>
              <w:t>护士护理所</w:t>
            </w:r>
            <w:r>
              <w:rPr>
                <w:rFonts w:asciiTheme="minorEastAsia" w:hAnsiTheme="minorEastAsia" w:eastAsiaTheme="minorEastAsia"/>
                <w:bCs/>
                <w:szCs w:val="21"/>
              </w:rPr>
              <w:t>产生的费用，</w:t>
            </w:r>
            <w:r>
              <w:rPr>
                <w:rFonts w:hint="eastAsia" w:asciiTheme="minorEastAsia" w:hAnsiTheme="minorEastAsia" w:eastAsiaTheme="minorEastAsia"/>
                <w:bCs/>
                <w:szCs w:val="21"/>
              </w:rPr>
              <w:t>自动</w:t>
            </w:r>
            <w:r>
              <w:rPr>
                <w:rFonts w:asciiTheme="minorEastAsia" w:hAnsiTheme="minorEastAsia" w:eastAsiaTheme="minorEastAsia"/>
                <w:bCs/>
                <w:szCs w:val="21"/>
              </w:rPr>
              <w:t>进行计费汇总</w:t>
            </w:r>
            <w:r>
              <w:rPr>
                <w:rFonts w:hint="eastAsia" w:asciiTheme="minorEastAsia" w:hAnsiTheme="minorEastAsia" w:eastAsiaTheme="minorEastAsia"/>
                <w:bCs/>
                <w:szCs w:val="21"/>
              </w:rPr>
              <w:t>。可</w:t>
            </w:r>
            <w:r>
              <w:rPr>
                <w:rFonts w:asciiTheme="minorEastAsia" w:hAnsiTheme="minorEastAsia" w:eastAsiaTheme="minorEastAsia"/>
                <w:bCs/>
                <w:szCs w:val="21"/>
              </w:rPr>
              <w:t>通过</w:t>
            </w:r>
            <w:r>
              <w:rPr>
                <w:rFonts w:hint="eastAsia" w:asciiTheme="minorEastAsia" w:hAnsiTheme="minorEastAsia" w:eastAsiaTheme="minorEastAsia"/>
                <w:bCs/>
                <w:szCs w:val="21"/>
              </w:rPr>
              <w:t>查询</w:t>
            </w:r>
            <w:r>
              <w:rPr>
                <w:rFonts w:asciiTheme="minorEastAsia" w:hAnsiTheme="minorEastAsia" w:eastAsiaTheme="minorEastAsia"/>
                <w:bCs/>
                <w:szCs w:val="21"/>
              </w:rPr>
              <w:t>患者</w:t>
            </w:r>
            <w:r>
              <w:rPr>
                <w:rFonts w:hint="eastAsia" w:asciiTheme="minorEastAsia" w:hAnsiTheme="minorEastAsia" w:eastAsiaTheme="minorEastAsia"/>
                <w:bCs/>
                <w:szCs w:val="21"/>
              </w:rPr>
              <w:t>在某一段</w:t>
            </w:r>
            <w:r>
              <w:rPr>
                <w:rFonts w:asciiTheme="minorEastAsia" w:hAnsiTheme="minorEastAsia" w:eastAsiaTheme="minorEastAsia"/>
                <w:bCs/>
                <w:szCs w:val="21"/>
              </w:rPr>
              <w:t>时间内透析</w:t>
            </w:r>
            <w:r>
              <w:rPr>
                <w:rFonts w:hint="eastAsia" w:asciiTheme="minorEastAsia" w:hAnsiTheme="minorEastAsia" w:eastAsiaTheme="minorEastAsia"/>
                <w:bCs/>
                <w:szCs w:val="21"/>
              </w:rPr>
              <w:t>所产生的费用</w:t>
            </w:r>
            <w:r>
              <w:rPr>
                <w:rFonts w:asciiTheme="minorEastAsia" w:hAnsiTheme="minorEastAsia" w:eastAsiaTheme="minorEastAsia"/>
                <w:bCs/>
                <w:szCs w:val="21"/>
              </w:rPr>
              <w:t>明细</w:t>
            </w:r>
            <w:r>
              <w:rPr>
                <w:rFonts w:hint="eastAsia" w:asciiTheme="minorEastAsia" w:hAnsiTheme="minorEastAsia" w:eastAsiaTheme="minorEastAsia"/>
                <w:bCs/>
                <w:szCs w:val="21"/>
              </w:rPr>
              <w:t>，下月初预收取标准透析费和上月辅助治疗生成的收费。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1303" w:type="dxa"/>
            <w:tcBorders>
              <w:top w:val="single" w:color="auto" w:sz="4" w:space="0"/>
              <w:left w:val="single" w:color="auto" w:sz="4" w:space="0"/>
              <w:bottom w:val="single" w:color="auto" w:sz="4" w:space="0"/>
              <w:right w:val="single" w:color="auto" w:sz="4" w:space="0"/>
            </w:tcBorders>
            <w:vAlign w:val="center"/>
          </w:tcPr>
          <w:p>
            <w:pPr>
              <w:pStyle w:val="84"/>
              <w:autoSpaceDE w:val="0"/>
              <w:autoSpaceDN w:val="0"/>
              <w:adjustRightInd w:val="0"/>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Cs w:val="21"/>
              </w:rPr>
              <w:t>药品及耗材管理</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科室内部的耗材、药品使用管理，包括出库、入库等数据的记录和后期统计功能。</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eastAsia" w:asciiTheme="minorEastAsia" w:hAnsiTheme="minorEastAsia" w:eastAsiaTheme="minorEastAsia"/>
                <w:szCs w:val="21"/>
              </w:rPr>
              <w:t>可查看当日各班次的所有</w:t>
            </w:r>
            <w:r>
              <w:rPr>
                <w:rFonts w:asciiTheme="minorEastAsia" w:hAnsiTheme="minorEastAsia" w:eastAsiaTheme="minorEastAsia"/>
                <w:szCs w:val="21"/>
              </w:rPr>
              <w:t>患者透析所用</w:t>
            </w:r>
            <w:r>
              <w:rPr>
                <w:rFonts w:hint="eastAsia" w:asciiTheme="minorEastAsia" w:hAnsiTheme="minorEastAsia" w:eastAsiaTheme="minorEastAsia"/>
                <w:szCs w:val="21"/>
              </w:rPr>
              <w:t>耗材汇总情况，也</w:t>
            </w:r>
            <w:r>
              <w:rPr>
                <w:rFonts w:asciiTheme="minorEastAsia" w:hAnsiTheme="minorEastAsia" w:eastAsiaTheme="minorEastAsia"/>
                <w:szCs w:val="21"/>
              </w:rPr>
              <w:t>可</w:t>
            </w:r>
            <w:r>
              <w:rPr>
                <w:rFonts w:hint="eastAsia" w:asciiTheme="minorEastAsia" w:hAnsiTheme="minorEastAsia" w:eastAsiaTheme="minorEastAsia"/>
                <w:szCs w:val="21"/>
              </w:rPr>
              <w:t>查看具体</w:t>
            </w:r>
            <w:r>
              <w:rPr>
                <w:rFonts w:asciiTheme="minorEastAsia" w:hAnsiTheme="minorEastAsia" w:eastAsiaTheme="minorEastAsia"/>
                <w:szCs w:val="21"/>
              </w:rPr>
              <w:t>患者的使用耗材。</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耗材统计：</w:t>
            </w:r>
          </w:p>
          <w:p>
            <w:pPr>
              <w:tabs>
                <w:tab w:val="left" w:pos="900"/>
                <w:tab w:val="left" w:pos="3813"/>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可以生成透析中心耗材使用明细统计表，表中内容会包括耗材的品名（透析器、灌流器等）、规格型号、数量、耗材生产厂商名称、使用这些耗材的患者姓名、使用该耗材的日期。</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出入库管理</w:t>
            </w:r>
          </w:p>
          <w:p>
            <w:pPr>
              <w:tabs>
                <w:tab w:val="left" w:pos="900"/>
                <w:tab w:val="left" w:pos="3813"/>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可以生成透析中心各种耗材的每日出入库明细，内容包括耗材的品名（透析器、美敷等）、规格型号、计量单位（个、支等）、单价、出入库的数量、当前结存。</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药品统计</w:t>
            </w:r>
            <w:r>
              <w:rPr>
                <w:rFonts w:asciiTheme="minorEastAsia" w:hAnsiTheme="minorEastAsia" w:eastAsiaTheme="minorEastAsia"/>
                <w:szCs w:val="21"/>
              </w:rPr>
              <w:t>：</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asciiTheme="minorEastAsia" w:hAnsiTheme="minorEastAsia" w:eastAsiaTheme="minorEastAsia"/>
                <w:szCs w:val="21"/>
              </w:rPr>
              <w:t>可以按班次生成临时医嘱的汇总信息</w:t>
            </w:r>
            <w:r>
              <w:rPr>
                <w:rFonts w:hint="eastAsia" w:asciiTheme="minorEastAsia" w:hAnsiTheme="minorEastAsia" w:eastAsiaTheme="minorEastAsia"/>
                <w:szCs w:val="21"/>
              </w:rPr>
              <w:t>，</w:t>
            </w:r>
            <w:r>
              <w:rPr>
                <w:rFonts w:asciiTheme="minorEastAsia" w:hAnsiTheme="minorEastAsia" w:eastAsiaTheme="minorEastAsia"/>
                <w:szCs w:val="21"/>
              </w:rPr>
              <w:t>可以快速查询</w:t>
            </w:r>
            <w:r>
              <w:rPr>
                <w:rFonts w:hint="eastAsia" w:asciiTheme="minorEastAsia" w:hAnsiTheme="minorEastAsia" w:eastAsiaTheme="minorEastAsia"/>
                <w:szCs w:val="21"/>
              </w:rPr>
              <w:t>及</w:t>
            </w:r>
            <w:r>
              <w:rPr>
                <w:rFonts w:asciiTheme="minorEastAsia" w:hAnsiTheme="minorEastAsia" w:eastAsiaTheme="minorEastAsia"/>
                <w:szCs w:val="21"/>
              </w:rPr>
              <w:t>汇总药品数量和患者用药信息</w:t>
            </w:r>
            <w:r>
              <w:rPr>
                <w:rFonts w:hint="eastAsia" w:asciiTheme="minorEastAsia" w:hAnsiTheme="minorEastAsia" w:eastAsiaTheme="minorEastAsia"/>
                <w:szCs w:val="21"/>
              </w:rPr>
              <w:t>，</w:t>
            </w:r>
            <w:r>
              <w:rPr>
                <w:rFonts w:asciiTheme="minorEastAsia" w:hAnsiTheme="minorEastAsia" w:eastAsiaTheme="minorEastAsia"/>
                <w:szCs w:val="21"/>
              </w:rPr>
              <w:t>降低透析用药的准备与核对时间</w:t>
            </w:r>
            <w:r>
              <w:rPr>
                <w:rFonts w:hint="eastAsia" w:asciiTheme="minorEastAsia" w:hAnsiTheme="minorEastAsia" w:eastAsiaTheme="minorEastAsia"/>
                <w:szCs w:val="21"/>
              </w:rPr>
              <w:t>。</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asciiTheme="minorEastAsia" w:hAnsiTheme="minorEastAsia" w:eastAsiaTheme="minorEastAsia"/>
                <w:szCs w:val="21"/>
              </w:rPr>
              <w:t>可以实现借药管理功能</w:t>
            </w:r>
            <w:r>
              <w:rPr>
                <w:rFonts w:hint="eastAsia" w:asciiTheme="minorEastAsia" w:hAnsiTheme="minorEastAsia" w:eastAsiaTheme="minorEastAsia"/>
                <w:szCs w:val="21"/>
              </w:rPr>
              <w:t>，</w:t>
            </w:r>
            <w:r>
              <w:rPr>
                <w:rFonts w:asciiTheme="minorEastAsia" w:hAnsiTheme="minorEastAsia" w:eastAsiaTheme="minorEastAsia"/>
                <w:szCs w:val="21"/>
              </w:rPr>
              <w:t>记录患者借药详细信息</w:t>
            </w:r>
            <w:r>
              <w:rPr>
                <w:rFonts w:hint="eastAsia" w:asciiTheme="minorEastAsia" w:hAnsiTheme="minorEastAsia" w:eastAsiaTheme="minorEastAsia"/>
                <w:szCs w:val="21"/>
              </w:rPr>
              <w:t>，</w:t>
            </w:r>
            <w:r>
              <w:rPr>
                <w:rFonts w:asciiTheme="minorEastAsia" w:hAnsiTheme="minorEastAsia" w:eastAsiaTheme="minorEastAsia"/>
                <w:szCs w:val="21"/>
              </w:rPr>
              <w:t>并可以统计所有患者当前的借药数量及是否欠药等信息</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1303" w:type="dxa"/>
            <w:tcBorders>
              <w:top w:val="single" w:color="auto" w:sz="4" w:space="0"/>
              <w:left w:val="single" w:color="auto" w:sz="4" w:space="0"/>
              <w:bottom w:val="single" w:color="auto" w:sz="4" w:space="0"/>
              <w:right w:val="single" w:color="auto" w:sz="4" w:space="0"/>
            </w:tcBorders>
            <w:vAlign w:val="center"/>
          </w:tcPr>
          <w:p>
            <w:pPr>
              <w:pStyle w:val="84"/>
              <w:autoSpaceDE w:val="0"/>
              <w:autoSpaceDN w:val="0"/>
              <w:adjustRightInd w:val="0"/>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Cs w:val="21"/>
              </w:rPr>
              <w:t>排床管理</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b/>
                <w:szCs w:val="21"/>
              </w:rPr>
            </w:pPr>
            <w:r>
              <w:rPr>
                <w:rFonts w:hint="eastAsia" w:asciiTheme="minorEastAsia" w:hAnsiTheme="minorEastAsia" w:eastAsiaTheme="minorEastAsia"/>
                <w:b/>
                <w:szCs w:val="21"/>
              </w:rPr>
              <w:t>6.1智能排床</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系统根据患者透析周期和科室透析班次，实现系统智能排床，提供排床增删改查功能。常规透析排床可根据单双周自动生成。</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b/>
                <w:szCs w:val="21"/>
              </w:rPr>
              <w:t>6.2感染控制</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阳性</w:t>
            </w:r>
            <w:r>
              <w:rPr>
                <w:rFonts w:hint="eastAsia" w:asciiTheme="minorEastAsia" w:hAnsiTheme="minorEastAsia" w:eastAsiaTheme="minorEastAsia"/>
                <w:szCs w:val="21"/>
              </w:rPr>
              <w:t>患者不能</w:t>
            </w:r>
            <w:r>
              <w:rPr>
                <w:rFonts w:asciiTheme="minorEastAsia" w:hAnsiTheme="minorEastAsia" w:eastAsiaTheme="minorEastAsia"/>
                <w:szCs w:val="21"/>
              </w:rPr>
              <w:t>排在阴性</w:t>
            </w:r>
            <w:r>
              <w:rPr>
                <w:rFonts w:hint="eastAsia" w:asciiTheme="minorEastAsia" w:hAnsiTheme="minorEastAsia" w:eastAsiaTheme="minorEastAsia"/>
                <w:szCs w:val="21"/>
              </w:rPr>
              <w:t>透析</w:t>
            </w:r>
            <w:r>
              <w:rPr>
                <w:rFonts w:asciiTheme="minorEastAsia" w:hAnsiTheme="minorEastAsia" w:eastAsiaTheme="minorEastAsia"/>
                <w:szCs w:val="21"/>
              </w:rPr>
              <w:t>区，</w:t>
            </w:r>
            <w:r>
              <w:rPr>
                <w:rFonts w:hint="eastAsia" w:asciiTheme="minorEastAsia" w:hAnsiTheme="minorEastAsia" w:eastAsiaTheme="minorEastAsia"/>
                <w:szCs w:val="21"/>
              </w:rPr>
              <w:t>阴性患者不能</w:t>
            </w:r>
            <w:r>
              <w:rPr>
                <w:rFonts w:asciiTheme="minorEastAsia" w:hAnsiTheme="minorEastAsia" w:eastAsiaTheme="minorEastAsia"/>
                <w:szCs w:val="21"/>
              </w:rPr>
              <w:t>排在</w:t>
            </w:r>
            <w:r>
              <w:rPr>
                <w:rFonts w:hint="eastAsia" w:asciiTheme="minorEastAsia" w:hAnsiTheme="minorEastAsia" w:eastAsiaTheme="minorEastAsia"/>
                <w:szCs w:val="21"/>
              </w:rPr>
              <w:t>阳</w:t>
            </w:r>
            <w:r>
              <w:rPr>
                <w:rFonts w:asciiTheme="minorEastAsia" w:hAnsiTheme="minorEastAsia" w:eastAsiaTheme="minorEastAsia"/>
                <w:szCs w:val="21"/>
              </w:rPr>
              <w:t>性</w:t>
            </w:r>
            <w:r>
              <w:rPr>
                <w:rFonts w:hint="eastAsia" w:asciiTheme="minorEastAsia" w:hAnsiTheme="minorEastAsia" w:eastAsiaTheme="minorEastAsia"/>
                <w:szCs w:val="21"/>
              </w:rPr>
              <w:t>透析</w:t>
            </w:r>
            <w:r>
              <w:rPr>
                <w:rFonts w:asciiTheme="minorEastAsia" w:hAnsiTheme="minorEastAsia" w:eastAsiaTheme="minorEastAsia"/>
                <w:szCs w:val="21"/>
              </w:rPr>
              <w:t>区</w:t>
            </w:r>
            <w:r>
              <w:rPr>
                <w:rFonts w:hint="eastAsia" w:asciiTheme="minorEastAsia" w:hAnsiTheme="minorEastAsia" w:eastAsiaTheme="minorEastAsia"/>
                <w:szCs w:val="21"/>
              </w:rPr>
              <w:t>，通过患者标识来区分出阳性患者。</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b/>
                <w:szCs w:val="21"/>
              </w:rPr>
              <w:t>6.3排床显示</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排床信息实时显示在血透室大屏上，根据JCI要求，需要加星号保护患者隐私。</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cs" w:asciiTheme="minorEastAsia" w:hAnsiTheme="minorEastAsia" w:eastAsiaTheme="minorEastAsia"/>
                <w:b/>
                <w:szCs w:val="21"/>
              </w:rPr>
              <w:t xml:space="preserve">6.4 </w:t>
            </w:r>
            <w:r>
              <w:rPr>
                <w:rFonts w:hint="eastAsia" w:asciiTheme="minorEastAsia" w:hAnsiTheme="minorEastAsia" w:eastAsiaTheme="minorEastAsia"/>
                <w:b/>
                <w:szCs w:val="21"/>
              </w:rPr>
              <w:t>排床个性化</w:t>
            </w:r>
            <w:r>
              <w:rPr>
                <w:rFonts w:hint="cs" w:asciiTheme="minorEastAsia" w:hAnsiTheme="minorEastAsia" w:eastAsiaTheme="minorEastAsia"/>
                <w:b/>
                <w:szCs w:val="21"/>
              </w:rPr>
              <w:t>设置</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排床</w:t>
            </w:r>
            <w:r>
              <w:rPr>
                <w:rFonts w:hint="eastAsia" w:asciiTheme="minorEastAsia" w:hAnsiTheme="minorEastAsia" w:eastAsiaTheme="minorEastAsia"/>
                <w:szCs w:val="21"/>
              </w:rPr>
              <w:t>护士</w:t>
            </w:r>
            <w:r>
              <w:rPr>
                <w:rFonts w:asciiTheme="minorEastAsia" w:hAnsiTheme="minorEastAsia" w:eastAsiaTheme="minorEastAsia"/>
                <w:szCs w:val="21"/>
              </w:rPr>
              <w:t>可以根</w:t>
            </w:r>
            <w:r>
              <w:rPr>
                <w:rFonts w:hint="eastAsia" w:asciiTheme="minorEastAsia" w:hAnsiTheme="minorEastAsia" w:eastAsiaTheme="minorEastAsia"/>
                <w:szCs w:val="21"/>
              </w:rPr>
              <w:t>根据实际需要</w:t>
            </w:r>
            <w:r>
              <w:rPr>
                <w:rFonts w:asciiTheme="minorEastAsia" w:hAnsiTheme="minorEastAsia" w:eastAsiaTheme="minorEastAsia"/>
                <w:szCs w:val="21"/>
              </w:rPr>
              <w:t>对患者</w:t>
            </w:r>
            <w:r>
              <w:rPr>
                <w:rFonts w:hint="eastAsia" w:asciiTheme="minorEastAsia" w:hAnsiTheme="minorEastAsia" w:eastAsiaTheme="minorEastAsia"/>
                <w:szCs w:val="21"/>
              </w:rPr>
              <w:t>进行特殊符号或者颜色标识，同时排床模块可以指定患者的透析耗材。</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cs" w:asciiTheme="minorEastAsia" w:hAnsiTheme="minorEastAsia" w:eastAsiaTheme="minorEastAsia"/>
                <w:b/>
                <w:szCs w:val="21"/>
              </w:rPr>
              <w:t>6.</w:t>
            </w:r>
            <w:r>
              <w:rPr>
                <w:rFonts w:asciiTheme="minorEastAsia" w:hAnsiTheme="minorEastAsia" w:eastAsiaTheme="minorEastAsia"/>
                <w:b/>
                <w:szCs w:val="21"/>
              </w:rPr>
              <w:t>5</w:t>
            </w:r>
            <w:r>
              <w:rPr>
                <w:rFonts w:hint="eastAsia" w:asciiTheme="minorEastAsia" w:hAnsiTheme="minorEastAsia" w:eastAsiaTheme="minorEastAsia"/>
                <w:b/>
                <w:szCs w:val="21"/>
              </w:rPr>
              <w:t>床位使用率</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系统自动统计</w:t>
            </w:r>
            <w:r>
              <w:rPr>
                <w:rFonts w:asciiTheme="minorEastAsia" w:hAnsiTheme="minorEastAsia" w:eastAsiaTheme="minorEastAsia"/>
                <w:szCs w:val="21"/>
              </w:rPr>
              <w:t>每个班次</w:t>
            </w:r>
            <w:r>
              <w:rPr>
                <w:rFonts w:hint="eastAsia" w:asciiTheme="minorEastAsia" w:hAnsiTheme="minorEastAsia" w:eastAsiaTheme="minorEastAsia"/>
                <w:szCs w:val="21"/>
              </w:rPr>
              <w:t>、</w:t>
            </w:r>
            <w:r>
              <w:rPr>
                <w:rFonts w:asciiTheme="minorEastAsia" w:hAnsiTheme="minorEastAsia" w:eastAsiaTheme="minorEastAsia"/>
                <w:szCs w:val="21"/>
              </w:rPr>
              <w:t>分区</w:t>
            </w:r>
            <w:r>
              <w:rPr>
                <w:rFonts w:hint="eastAsia" w:asciiTheme="minorEastAsia" w:hAnsiTheme="minorEastAsia" w:eastAsiaTheme="minorEastAsia"/>
                <w:szCs w:val="21"/>
              </w:rPr>
              <w:t>各种</w:t>
            </w:r>
            <w:r>
              <w:rPr>
                <w:rFonts w:asciiTheme="minorEastAsia" w:hAnsiTheme="minorEastAsia" w:eastAsiaTheme="minorEastAsia"/>
                <w:szCs w:val="21"/>
              </w:rPr>
              <w:t>透析模式排床数</w:t>
            </w:r>
            <w:r>
              <w:rPr>
                <w:rFonts w:hint="eastAsia" w:asciiTheme="minorEastAsia" w:hAnsiTheme="minorEastAsia" w:eastAsiaTheme="minorEastAsia"/>
                <w:szCs w:val="21"/>
              </w:rPr>
              <w:t>、</w:t>
            </w:r>
            <w:r>
              <w:rPr>
                <w:rFonts w:asciiTheme="minorEastAsia" w:hAnsiTheme="minorEastAsia" w:eastAsiaTheme="minorEastAsia"/>
                <w:szCs w:val="21"/>
              </w:rPr>
              <w:t>空床数等信息</w:t>
            </w:r>
            <w:r>
              <w:rPr>
                <w:rFonts w:hint="eastAsia" w:asciiTheme="minorEastAsia" w:hAnsiTheme="minorEastAsia" w:eastAsiaTheme="minorEastAsia"/>
                <w:szCs w:val="21"/>
              </w:rPr>
              <w:t>，</w:t>
            </w:r>
            <w:r>
              <w:rPr>
                <w:rFonts w:asciiTheme="minorEastAsia" w:hAnsiTheme="minorEastAsia" w:eastAsiaTheme="minorEastAsia"/>
                <w:szCs w:val="21"/>
              </w:rPr>
              <w:t>让排床护士快速知晓当前床位使用率及空床</w:t>
            </w:r>
            <w:r>
              <w:rPr>
                <w:rFonts w:hint="eastAsia" w:asciiTheme="minorEastAsia" w:hAnsiTheme="minorEastAsia" w:eastAsiaTheme="minorEastAsia"/>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设备管理</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对科室透析设备有总体统计数据及分类详细信息，包括名称、品牌、型号、序列号、购买日期、使用日期、金额等。</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工程师能够快捷的记录透析机和水处理设备的维修、保养、报废、细菌、内毒素培养和化学污染物等信息。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报表统计</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提供三甲医院评审标准所要求的各种报表和数据的统计分析。包含以下报表：</w:t>
            </w:r>
          </w:p>
          <w:p>
            <w:pPr>
              <w:tabs>
                <w:tab w:val="left" w:pos="900"/>
                <w:tab w:val="left" w:pos="3813"/>
              </w:tabs>
              <w:ind w:firstLine="210" w:firstLineChars="100"/>
              <w:rPr>
                <w:rFonts w:asciiTheme="minorEastAsia" w:hAnsiTheme="minorEastAsia" w:eastAsiaTheme="minorEastAsia"/>
                <w:szCs w:val="21"/>
              </w:rPr>
            </w:pPr>
            <w:r>
              <w:rPr>
                <w:rFonts w:asciiTheme="minorEastAsia" w:hAnsiTheme="minorEastAsia" w:eastAsiaTheme="minorEastAsia"/>
                <w:szCs w:val="21"/>
              </w:rPr>
              <w:t>1.并发症信息统计</w:t>
            </w:r>
          </w:p>
          <w:p>
            <w:pPr>
              <w:tabs>
                <w:tab w:val="left" w:pos="900"/>
                <w:tab w:val="left" w:pos="3813"/>
              </w:tabs>
              <w:ind w:firstLine="210" w:firstLineChars="100"/>
              <w:rPr>
                <w:rFonts w:asciiTheme="minorEastAsia" w:hAnsiTheme="minorEastAsia" w:eastAsiaTheme="minorEastAsia"/>
                <w:szCs w:val="21"/>
              </w:rPr>
            </w:pPr>
            <w:r>
              <w:rPr>
                <w:rFonts w:asciiTheme="minorEastAsia" w:hAnsiTheme="minorEastAsia" w:eastAsiaTheme="minorEastAsia"/>
                <w:szCs w:val="21"/>
              </w:rPr>
              <w:t>2.耗材用量信息统计</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asciiTheme="minorEastAsia" w:hAnsiTheme="minorEastAsia" w:eastAsiaTheme="minorEastAsia"/>
                <w:szCs w:val="21"/>
              </w:rPr>
              <w:t>3.药品用量信息统计</w:t>
            </w:r>
          </w:p>
          <w:p>
            <w:pPr>
              <w:tabs>
                <w:tab w:val="left" w:pos="900"/>
                <w:tab w:val="left" w:pos="3813"/>
              </w:tabs>
              <w:ind w:firstLine="210" w:firstLineChars="100"/>
              <w:rPr>
                <w:rFonts w:asciiTheme="minorEastAsia" w:hAnsiTheme="minorEastAsia" w:eastAsiaTheme="minorEastAsia"/>
                <w:szCs w:val="21"/>
              </w:rPr>
            </w:pPr>
            <w:r>
              <w:rPr>
                <w:rFonts w:asciiTheme="minorEastAsia" w:hAnsiTheme="minorEastAsia" w:eastAsiaTheme="minorEastAsia"/>
                <w:szCs w:val="21"/>
              </w:rPr>
              <w:t>4.透析例次统计</w:t>
            </w:r>
          </w:p>
          <w:p>
            <w:pPr>
              <w:tabs>
                <w:tab w:val="left" w:pos="900"/>
                <w:tab w:val="left" w:pos="3813"/>
              </w:tabs>
              <w:ind w:left="420" w:hanging="420" w:hangingChars="200"/>
              <w:rPr>
                <w:rFonts w:asciiTheme="minorEastAsia" w:hAnsiTheme="minorEastAsia" w:eastAsiaTheme="minorEastAsia"/>
                <w:szCs w:val="21"/>
              </w:rPr>
            </w:pPr>
            <w:r>
              <w:rPr>
                <w:rFonts w:hint="eastAsia" w:ascii="宋体" w:hAnsi="宋体" w:cs="宋体"/>
                <w:kern w:val="0"/>
                <w:szCs w:val="21"/>
              </w:rPr>
              <w:t>▲</w:t>
            </w:r>
            <w:r>
              <w:rPr>
                <w:rFonts w:hint="eastAsia" w:asciiTheme="minorEastAsia" w:hAnsiTheme="minorEastAsia" w:eastAsiaTheme="minorEastAsia"/>
                <w:szCs w:val="21"/>
              </w:rPr>
              <w:t>5.血透室所有患者数值型化验项统计（包括均值、自定义区间、各区间段具体人名）</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6.患者</w:t>
            </w:r>
            <w:r>
              <w:rPr>
                <w:rFonts w:asciiTheme="minorEastAsia" w:hAnsiTheme="minorEastAsia" w:eastAsiaTheme="minorEastAsia"/>
                <w:szCs w:val="21"/>
              </w:rPr>
              <w:t>信息统计</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7.通路类型统计</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eastAsia" w:asciiTheme="minorEastAsia" w:hAnsiTheme="minorEastAsia" w:eastAsiaTheme="minorEastAsia"/>
                <w:szCs w:val="21"/>
              </w:rPr>
              <w:t>8.血透质量监测</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9.患者转归统计</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10.传染病阴转阳统计</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11.消毒统计</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cs" w:asciiTheme="minorEastAsia" w:hAnsiTheme="minorEastAsia" w:eastAsiaTheme="minorEastAsia"/>
                <w:szCs w:val="21"/>
              </w:rPr>
              <w:t>12.血流量统计</w:t>
            </w:r>
          </w:p>
          <w:p>
            <w:pPr>
              <w:tabs>
                <w:tab w:val="left" w:pos="900"/>
                <w:tab w:val="left" w:pos="3813"/>
              </w:tabs>
              <w:ind w:firstLine="210" w:firstLineChars="100"/>
              <w:rPr>
                <w:rFonts w:asciiTheme="minorEastAsia" w:hAnsiTheme="minorEastAsia" w:eastAsiaTheme="minorEastAsia"/>
                <w:szCs w:val="21"/>
              </w:rPr>
            </w:pPr>
            <w:r>
              <w:rPr>
                <w:rFonts w:hint="cs" w:asciiTheme="minorEastAsia" w:hAnsiTheme="minorEastAsia" w:eastAsiaTheme="minorEastAsia"/>
                <w:szCs w:val="21"/>
              </w:rPr>
              <w:t>13.抗凝剂用量统计</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cs" w:asciiTheme="minorEastAsia" w:hAnsiTheme="minorEastAsia" w:eastAsiaTheme="minorEastAsia"/>
                <w:szCs w:val="21"/>
              </w:rPr>
              <w:t>14.周促红素用量统计</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hint="cs" w:asciiTheme="minorEastAsia" w:hAnsiTheme="minorEastAsia" w:eastAsiaTheme="minorEastAsia"/>
                <w:szCs w:val="21"/>
              </w:rPr>
              <w:t>15.患者异常下机统计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3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szCs w:val="21"/>
              </w:rPr>
            </w:pPr>
            <w:r>
              <w:rPr>
                <w:rFonts w:hint="eastAsia" w:asciiTheme="minorEastAsia" w:hAnsiTheme="minorEastAsia" w:eastAsiaTheme="minorEastAsia"/>
                <w:szCs w:val="21"/>
              </w:rPr>
              <w:t>检验提醒</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对于定期透析患者需要有各种检验信息查询和逾期提醒功能。</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透析患者常规检测：血常规、肾常规、血电解质（包括血钾、血钙、血磷、HCO3或CO2CP等）。建议每月检查1次。血糖和血脂等代谢指标，建议每1-3月检测一次。肝功能、铁指标 建议每3个月检测一次。iPTH检测 建议血iPTH水平每3个月检测一次。整体营养评估及炎症状态评估 建议每3个月评估一次，包括血清营养指标、血hsCRP指标、nPCR及营养相关的体格检查指标等。</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Kt/V和URR评估 建议每3个月评估一次，要求 spKt/V至少1.2，目标1.4，URR至少65%，目标70%。</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传染病学指标必须检查。包括肝炎（乙肝、丙肝）病毒标记、HIV和梅毒血清学指标，要求每6个月检测一次。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接口设计</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完成HIS、LIS或者集成平台系统的对接工作，实现：</w:t>
            </w:r>
          </w:p>
          <w:p>
            <w:pPr>
              <w:tabs>
                <w:tab w:val="left" w:pos="900"/>
                <w:tab w:val="left" w:pos="3813"/>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 采集患者的基本信息、检查化验信息；</w:t>
            </w:r>
          </w:p>
          <w:p>
            <w:pPr>
              <w:tabs>
                <w:tab w:val="left" w:pos="900"/>
                <w:tab w:val="left" w:pos="3813"/>
              </w:tabs>
              <w:rPr>
                <w:rFonts w:asciiTheme="minorEastAsia" w:hAnsiTheme="minorEastAsia" w:eastAsiaTheme="minorEastAsia"/>
                <w:szCs w:val="21"/>
              </w:rPr>
            </w:pPr>
            <w:r>
              <w:rPr>
                <w:rFonts w:hint="eastAsia" w:ascii="宋体" w:hAnsi="宋体" w:cs="宋体"/>
                <w:kern w:val="0"/>
                <w:szCs w:val="21"/>
              </w:rPr>
              <w:t>▲</w:t>
            </w:r>
            <w:r>
              <w:rPr>
                <w:rFonts w:asciiTheme="minorEastAsia" w:hAnsiTheme="minorEastAsia" w:eastAsiaTheme="minorEastAsia"/>
                <w:szCs w:val="21"/>
              </w:rPr>
              <w:t xml:space="preserve">2. </w:t>
            </w:r>
            <w:r>
              <w:rPr>
                <w:rFonts w:hint="eastAsia" w:asciiTheme="minorEastAsia" w:hAnsiTheme="minorEastAsia" w:eastAsiaTheme="minorEastAsia"/>
                <w:szCs w:val="21"/>
              </w:rPr>
              <w:t>与主流数据库Oracle、MySql实现无缝对接。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透析机联机</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医院血透室现有以下血透机</w:t>
            </w:r>
            <w:r>
              <w:rPr>
                <w:rFonts w:hint="eastAsia" w:asciiTheme="minorEastAsia" w:hAnsiTheme="minorEastAsia" w:eastAsiaTheme="minorEastAsia"/>
                <w:szCs w:val="21"/>
              </w:rPr>
              <w:t>：</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系统需实现科室所有透析机</w:t>
            </w:r>
            <w:r>
              <w:rPr>
                <w:rFonts w:hint="eastAsia" w:asciiTheme="minorEastAsia" w:hAnsiTheme="minorEastAsia" w:eastAsiaTheme="minorEastAsia"/>
                <w:szCs w:val="21"/>
              </w:rPr>
              <w:t>（费森</w:t>
            </w:r>
            <w:r>
              <w:rPr>
                <w:rFonts w:asciiTheme="minorEastAsia" w:hAnsiTheme="minorEastAsia" w:eastAsiaTheme="minorEastAsia"/>
                <w:szCs w:val="21"/>
              </w:rPr>
              <w:t>、贝朗、金宝、日机装、东丽</w:t>
            </w:r>
            <w:r>
              <w:rPr>
                <w:rFonts w:hint="eastAsia" w:asciiTheme="minorEastAsia" w:hAnsiTheme="minorEastAsia" w:eastAsiaTheme="minorEastAsia"/>
                <w:szCs w:val="21"/>
              </w:rPr>
              <w:t>）</w:t>
            </w:r>
            <w:r>
              <w:rPr>
                <w:rFonts w:asciiTheme="minorEastAsia" w:hAnsiTheme="minorEastAsia" w:eastAsiaTheme="minorEastAsia"/>
                <w:szCs w:val="21"/>
              </w:rPr>
              <w:t>的联机</w:t>
            </w:r>
            <w:r>
              <w:rPr>
                <w:rFonts w:hint="eastAsia" w:asciiTheme="minorEastAsia" w:hAnsiTheme="minorEastAsia" w:eastAsiaTheme="minorEastAsia"/>
                <w:szCs w:val="21"/>
              </w:rPr>
              <w:t>，采集的参数包括：血流量、静脉压、跨膜压、超滤量、超滤率、电导度、透析液流量、舒张压、收缩压、心率。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2</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质控上报</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系统能够与</w:t>
            </w:r>
            <w:r>
              <w:rPr>
                <w:rFonts w:hint="eastAsia" w:asciiTheme="minorEastAsia" w:hAnsiTheme="minorEastAsia" w:eastAsiaTheme="minorEastAsia"/>
                <w:szCs w:val="21"/>
              </w:rPr>
              <w:t>全国质控上报中心</w:t>
            </w:r>
            <w:r>
              <w:rPr>
                <w:rFonts w:asciiTheme="minorEastAsia" w:hAnsiTheme="minorEastAsia" w:eastAsiaTheme="minorEastAsia"/>
                <w:szCs w:val="21"/>
              </w:rPr>
              <w:t>系统进行对接</w:t>
            </w:r>
            <w:r>
              <w:rPr>
                <w:rFonts w:hint="eastAsia" w:asciiTheme="minorEastAsia" w:hAnsiTheme="minorEastAsia" w:eastAsiaTheme="minorEastAsia"/>
                <w:szCs w:val="21"/>
              </w:rPr>
              <w:t>，</w:t>
            </w:r>
            <w:r>
              <w:rPr>
                <w:rFonts w:asciiTheme="minorEastAsia" w:hAnsiTheme="minorEastAsia" w:eastAsiaTheme="minorEastAsia"/>
                <w:szCs w:val="21"/>
              </w:rPr>
              <w:t>提供一键上报功能</w:t>
            </w:r>
            <w:r>
              <w:rPr>
                <w:rFonts w:hint="eastAsia" w:asciiTheme="minorEastAsia" w:hAnsiTheme="minorEastAsia" w:eastAsiaTheme="minorEastAsia"/>
                <w:szCs w:val="21"/>
              </w:rPr>
              <w:t>。接口由中标方自行提供。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移动医疗</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系统既能在个人电脑</w:t>
            </w:r>
            <w:r>
              <w:rPr>
                <w:rFonts w:hint="eastAsia" w:asciiTheme="minorEastAsia" w:hAnsiTheme="minorEastAsia" w:eastAsiaTheme="minorEastAsia"/>
                <w:szCs w:val="21"/>
              </w:rPr>
              <w:t>（PC）</w:t>
            </w:r>
            <w:r>
              <w:rPr>
                <w:rFonts w:asciiTheme="minorEastAsia" w:hAnsiTheme="minorEastAsia" w:eastAsiaTheme="minorEastAsia"/>
                <w:szCs w:val="21"/>
              </w:rPr>
              <w:t>上使用</w:t>
            </w:r>
            <w:r>
              <w:rPr>
                <w:rFonts w:hint="eastAsia" w:asciiTheme="minorEastAsia" w:hAnsiTheme="minorEastAsia" w:eastAsiaTheme="minorEastAsia"/>
                <w:szCs w:val="21"/>
              </w:rPr>
              <w:t>，</w:t>
            </w:r>
            <w:r>
              <w:rPr>
                <w:rFonts w:asciiTheme="minorEastAsia" w:hAnsiTheme="minorEastAsia" w:eastAsiaTheme="minorEastAsia"/>
                <w:szCs w:val="21"/>
              </w:rPr>
              <w:t>也可以在平板电脑</w:t>
            </w:r>
            <w:r>
              <w:rPr>
                <w:rFonts w:hint="eastAsia" w:asciiTheme="minorEastAsia" w:hAnsiTheme="minorEastAsia" w:eastAsiaTheme="minorEastAsia"/>
                <w:szCs w:val="21"/>
              </w:rPr>
              <w:t>（Pad）上使用，支持Android系统或iOS系统。医护人员可以方便的手持平板在床边记录患者治疗信息、下达医嘱、执行医嘱等。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4</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血透APP</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首页工具：</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1、透析查询，患者可查询院内治疗信息详情、预排床信息；</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2、检验查询，患者可查看院内检验数据详情，出现异常项会有相应提醒；</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3、院外量测，患者可记录院外体重、血压、心率、血糖等数据记录，同步至院内电子病历，APP也可统计患者院外最近数据的变化；</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4、营养饮食，患者可查看院内营养评估及饮食推荐内容，可记录院外患者每日饮食详情，可查询食物营养成分；</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5、健康宣教，患者可查看院内历史上已经宣教过的材料和患者自己的个性化宣教计划；</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常见问题：患者可查询患者饮食类、运动类、化验类、用药类、症状类等常见肾病相关问题及解答；</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个人中心：</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1、二维码就诊、肾病常用计算器工具等；</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2、多账户：以患者管理、患者家属相结合，主账号可设定多个子账号，子账号辅助主账号进行健康管理，解决血透患者老龄化与血透管理需要长期监控和管理之间的矛盾。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5</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智能提醒</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color w:val="FF0000"/>
                <w:szCs w:val="21"/>
              </w:rPr>
            </w:pPr>
            <w:r>
              <w:rPr>
                <w:rFonts w:hint="eastAsia" w:ascii="宋体" w:hAnsi="宋体" w:cs="宋体"/>
                <w:color w:val="000000"/>
                <w:kern w:val="0"/>
                <w:szCs w:val="21"/>
              </w:rPr>
              <w:t>▲</w:t>
            </w:r>
            <w:r>
              <w:rPr>
                <w:rFonts w:hint="eastAsia" w:asciiTheme="minorEastAsia" w:hAnsiTheme="minorEastAsia" w:eastAsiaTheme="minorEastAsia"/>
                <w:szCs w:val="21"/>
              </w:rPr>
              <w:t>系统能够对血透患者的透析中平均动脉压升高或下降幅度、收缩压下降幅度、收缩压值、处方被拒绝、处方被修改、护士记录患者并发症、医生下达临时医嘱等情况进行提醒，并能够灵活的设置不同提醒对象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健康宣教</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一、宣教库：</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1、系统支持新增宣教材料，新增宣教材料的形式包含：文字、图片、视频三种类别，可编辑、删除；</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2、可以对宣教材料进行分类，并支持按宣教材料名搜索；</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二、患者宣教计划：</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1、系统可快速搜索患者，查看该患者宣教计划详情；</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2、根据宣教计划，支持智能分类（全部患者、责任医护的患者、今日宣教的患者、无计划的患者等）筛选排序；</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3、系统可提示患者最近宣教日期，如患者吴计划，可快速为该患者添加设置宣教计划模板、起效时间、责任医护；</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4、患者透析当日如果宣教日期到了，则透析区卡片便签会提醒医护需要为该患者宣教。</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5、医护人员在宣教结束之后，可以进行宣教评价；</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三、宣教计划模板：</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1、系统支持宣教计划模板（可新增、修改、删除、使用），模板可直接使用至患者（支持批量使用至全部患者、长期患者、临时患者）；</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2、智能推送宣教计划，在新增或编辑模板中，开始智能推动功能，选择异常关联化验之后，系统会自动抓取患者异常项与该计划模板智能关联，最后会把该宣教计划自动添加至这些患者计划中；</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3、系统可根据患者情况个体化定制宣教计划，并且对当前需要做的宣教计划进行提醒；</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四、宣教统计：</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1、医护工作量统计，医护宣教总数量，可详情查看具体什么时间宣教了哪些患者、宣教内容、宣教对象、宣教情况等；</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2、患者宣教统计，患者宣教总次数，可详情查看具体什么时间宣教、宣教内容、宣教对象、宣教情况等；</w:t>
            </w:r>
          </w:p>
          <w:p>
            <w:pPr>
              <w:tabs>
                <w:tab w:val="left" w:pos="900"/>
                <w:tab w:val="left" w:pos="3813"/>
              </w:tabs>
              <w:rPr>
                <w:rFonts w:asciiTheme="minorEastAsia" w:hAnsiTheme="minorEastAsia" w:eastAsiaTheme="minorEastAsia"/>
                <w:b/>
                <w:szCs w:val="21"/>
              </w:rPr>
            </w:pPr>
            <w:r>
              <w:rPr>
                <w:rFonts w:hint="eastAsia" w:asciiTheme="minorEastAsia" w:hAnsiTheme="minorEastAsia" w:eastAsiaTheme="minorEastAsia"/>
                <w:szCs w:val="21"/>
              </w:rPr>
              <w:t>3、宣教类别统计，根据宣教库自定义分类，可查询类别被宣教总次数，详情可查询具体的宣教内容被宣教了多少次，都是哪些患者被宣教了详情信息；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小工具</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一、大屏通知</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1、支持通知播放、讲课提醒、欢迎等功能，可设置在固定时间段内自动开启与关闭，可以指定设备播放，编辑内容大小显示等，历史记录编辑、删除、预览；</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二、排床显示</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1、可根据不同床位数量规模选择显示样式，姓名隐私保护、分区、空床显示、选择设备播放、皮肤风格等选项自定义；</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2、透析进度监控显示，可根据床位规模选择排床显示样式、患者隐私保护、阴阳患者区分、选择设备播放等功能；</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三、打印功能</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1、透析记录单、患者就诊二维码等打印统一归纳集中；</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四、大屏宣教</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1、关联健康宣教库内容，可在大屏TV上选择播放，选择时间范围，制定哪台设备播放，自动开启与关闭；</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2、也可以至宣教资料详情设计大屏播放，和设置对应信息；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cs" w:asciiTheme="minorEastAsia" w:hAnsiTheme="minorEastAsia" w:eastAsiaTheme="minorEastAsia"/>
                <w:szCs w:val="21"/>
              </w:rPr>
              <w:t>18</w:t>
            </w: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科室管理</w:t>
            </w:r>
          </w:p>
        </w:tc>
        <w:tc>
          <w:tcPr>
            <w:tcW w:w="5897" w:type="dxa"/>
            <w:tcBorders>
              <w:top w:val="single" w:color="auto" w:sz="4" w:space="0"/>
              <w:left w:val="single" w:color="auto" w:sz="4" w:space="0"/>
              <w:bottom w:val="single" w:color="auto" w:sz="4" w:space="0"/>
              <w:right w:val="single" w:color="auto" w:sz="4" w:space="0"/>
            </w:tcBorders>
          </w:tcPr>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一</w:t>
            </w:r>
            <w:r>
              <w:rPr>
                <w:rFonts w:hint="eastAsia" w:asciiTheme="minorEastAsia" w:hAnsiTheme="minorEastAsia" w:eastAsiaTheme="minorEastAsia"/>
                <w:szCs w:val="21"/>
              </w:rPr>
              <w:t>、</w:t>
            </w:r>
            <w:r>
              <w:rPr>
                <w:rFonts w:asciiTheme="minorEastAsia" w:hAnsiTheme="minorEastAsia" w:eastAsiaTheme="minorEastAsia"/>
                <w:szCs w:val="21"/>
              </w:rPr>
              <w:t>加班管理</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支持加班管理功能，记录护士加班信息，并且自动统计和汇总医护个人及全科室总体加班情况。</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二</w:t>
            </w:r>
            <w:r>
              <w:rPr>
                <w:rFonts w:hint="eastAsia" w:asciiTheme="minorEastAsia" w:hAnsiTheme="minorEastAsia" w:eastAsiaTheme="minorEastAsia"/>
                <w:szCs w:val="21"/>
              </w:rPr>
              <w:t>、</w:t>
            </w:r>
            <w:r>
              <w:rPr>
                <w:rFonts w:asciiTheme="minorEastAsia" w:hAnsiTheme="minorEastAsia" w:eastAsiaTheme="minorEastAsia"/>
                <w:szCs w:val="21"/>
              </w:rPr>
              <w:t>工作量统计</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hint="eastAsia" w:asciiTheme="minorEastAsia" w:hAnsiTheme="minorEastAsia" w:eastAsiaTheme="minorEastAsia"/>
                <w:szCs w:val="21"/>
              </w:rPr>
              <w:t>系统自动统计科室护士每天工作量，包括上机数量、交叉核对数量、执行医嘱数量、特殊护理数量、透中护理数量、危重病人处理数量、穿刺数量等日常工作量的统计。</w:t>
            </w:r>
          </w:p>
          <w:p>
            <w:pPr>
              <w:tabs>
                <w:tab w:val="left" w:pos="900"/>
                <w:tab w:val="left" w:pos="3813"/>
              </w:tabs>
              <w:rPr>
                <w:rFonts w:asciiTheme="minorEastAsia" w:hAnsiTheme="minorEastAsia" w:eastAsiaTheme="minorEastAsia"/>
                <w:szCs w:val="21"/>
              </w:rPr>
            </w:pPr>
            <w:r>
              <w:rPr>
                <w:rFonts w:asciiTheme="minorEastAsia" w:hAnsiTheme="minorEastAsia" w:eastAsiaTheme="minorEastAsia"/>
                <w:szCs w:val="21"/>
              </w:rPr>
              <w:t>三</w:t>
            </w:r>
            <w:r>
              <w:rPr>
                <w:rFonts w:hint="eastAsia" w:asciiTheme="minorEastAsia" w:hAnsiTheme="minorEastAsia" w:eastAsiaTheme="minorEastAsia"/>
                <w:szCs w:val="21"/>
              </w:rPr>
              <w:t>、</w:t>
            </w:r>
            <w:r>
              <w:rPr>
                <w:rFonts w:asciiTheme="minorEastAsia" w:hAnsiTheme="minorEastAsia" w:eastAsiaTheme="minorEastAsia"/>
                <w:szCs w:val="21"/>
              </w:rPr>
              <w:t>交班看板</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asciiTheme="minorEastAsia" w:hAnsiTheme="minorEastAsia" w:eastAsiaTheme="minorEastAsia"/>
                <w:szCs w:val="21"/>
              </w:rPr>
              <w:t>系统自动生成医护交班信息</w:t>
            </w:r>
            <w:r>
              <w:rPr>
                <w:rFonts w:hint="eastAsia" w:asciiTheme="minorEastAsia" w:hAnsiTheme="minorEastAsia" w:eastAsiaTheme="minorEastAsia"/>
                <w:szCs w:val="21"/>
              </w:rPr>
              <w:t>，</w:t>
            </w:r>
            <w:r>
              <w:rPr>
                <w:rFonts w:asciiTheme="minorEastAsia" w:hAnsiTheme="minorEastAsia" w:eastAsiaTheme="minorEastAsia"/>
                <w:szCs w:val="21"/>
              </w:rPr>
              <w:t>包括透析</w:t>
            </w:r>
            <w:r>
              <w:rPr>
                <w:rFonts w:hint="eastAsia" w:asciiTheme="minorEastAsia" w:hAnsiTheme="minorEastAsia" w:eastAsiaTheme="minorEastAsia"/>
                <w:szCs w:val="21"/>
              </w:rPr>
              <w:t>例</w:t>
            </w:r>
            <w:r>
              <w:rPr>
                <w:rFonts w:asciiTheme="minorEastAsia" w:hAnsiTheme="minorEastAsia" w:eastAsiaTheme="minorEastAsia"/>
                <w:szCs w:val="21"/>
              </w:rPr>
              <w:t>次汇总</w:t>
            </w:r>
            <w:r>
              <w:rPr>
                <w:rFonts w:hint="eastAsia" w:asciiTheme="minorEastAsia" w:hAnsiTheme="minorEastAsia" w:eastAsiaTheme="minorEastAsia"/>
                <w:szCs w:val="21"/>
              </w:rPr>
              <w:t>、</w:t>
            </w:r>
            <w:r>
              <w:rPr>
                <w:rFonts w:asciiTheme="minorEastAsia" w:hAnsiTheme="minorEastAsia" w:eastAsiaTheme="minorEastAsia"/>
                <w:szCs w:val="21"/>
              </w:rPr>
              <w:t>并发症交班</w:t>
            </w:r>
            <w:r>
              <w:rPr>
                <w:rFonts w:hint="eastAsia" w:asciiTheme="minorEastAsia" w:hAnsiTheme="minorEastAsia" w:eastAsiaTheme="minorEastAsia"/>
                <w:szCs w:val="21"/>
              </w:rPr>
              <w:t>、</w:t>
            </w:r>
            <w:r>
              <w:rPr>
                <w:rFonts w:asciiTheme="minorEastAsia" w:hAnsiTheme="minorEastAsia" w:eastAsiaTheme="minorEastAsia"/>
                <w:szCs w:val="21"/>
              </w:rPr>
              <w:t>导管病人交班</w:t>
            </w:r>
            <w:r>
              <w:rPr>
                <w:rFonts w:hint="eastAsia" w:asciiTheme="minorEastAsia" w:hAnsiTheme="minorEastAsia" w:eastAsiaTheme="minorEastAsia"/>
                <w:szCs w:val="21"/>
              </w:rPr>
              <w:t>、</w:t>
            </w:r>
            <w:r>
              <w:rPr>
                <w:rFonts w:asciiTheme="minorEastAsia" w:hAnsiTheme="minorEastAsia" w:eastAsiaTheme="minorEastAsia"/>
                <w:szCs w:val="21"/>
              </w:rPr>
              <w:t>无肝素病人交班</w:t>
            </w:r>
            <w:r>
              <w:rPr>
                <w:rFonts w:hint="eastAsia" w:asciiTheme="minorEastAsia" w:hAnsiTheme="minorEastAsia" w:eastAsiaTheme="minorEastAsia"/>
                <w:szCs w:val="21"/>
              </w:rPr>
              <w:t>、</w:t>
            </w:r>
            <w:r>
              <w:rPr>
                <w:rFonts w:asciiTheme="minorEastAsia" w:hAnsiTheme="minorEastAsia" w:eastAsiaTheme="minorEastAsia"/>
                <w:szCs w:val="21"/>
              </w:rPr>
              <w:t>新病人交班</w:t>
            </w:r>
            <w:r>
              <w:rPr>
                <w:rFonts w:hint="eastAsia" w:asciiTheme="minorEastAsia" w:hAnsiTheme="minorEastAsia" w:eastAsiaTheme="minorEastAsia"/>
                <w:szCs w:val="21"/>
              </w:rPr>
              <w:t>、</w:t>
            </w:r>
            <w:r>
              <w:rPr>
                <w:rFonts w:asciiTheme="minorEastAsia" w:hAnsiTheme="minorEastAsia" w:eastAsiaTheme="minorEastAsia"/>
                <w:szCs w:val="21"/>
              </w:rPr>
              <w:t>危重病人交班</w:t>
            </w:r>
            <w:r>
              <w:rPr>
                <w:rFonts w:hint="eastAsia" w:asciiTheme="minorEastAsia" w:hAnsiTheme="minorEastAsia" w:eastAsiaTheme="minorEastAsia"/>
                <w:szCs w:val="21"/>
              </w:rPr>
              <w:t>、</w:t>
            </w:r>
            <w:r>
              <w:rPr>
                <w:rFonts w:asciiTheme="minorEastAsia" w:hAnsiTheme="minorEastAsia" w:eastAsiaTheme="minorEastAsia"/>
                <w:szCs w:val="21"/>
              </w:rPr>
              <w:t>患者转归交班</w:t>
            </w:r>
            <w:r>
              <w:rPr>
                <w:rFonts w:hint="eastAsia" w:asciiTheme="minorEastAsia" w:hAnsiTheme="minorEastAsia" w:eastAsiaTheme="minorEastAsia"/>
                <w:szCs w:val="21"/>
              </w:rPr>
              <w:t>、</w:t>
            </w:r>
            <w:r>
              <w:rPr>
                <w:rFonts w:asciiTheme="minorEastAsia" w:hAnsiTheme="minorEastAsia" w:eastAsiaTheme="minorEastAsia"/>
                <w:szCs w:val="21"/>
              </w:rPr>
              <w:t>枸橼酸抗凝交班等交班信息</w:t>
            </w:r>
            <w:r>
              <w:rPr>
                <w:rFonts w:hint="eastAsia" w:asciiTheme="minorEastAsia" w:hAnsiTheme="minorEastAsia" w:eastAsiaTheme="minorEastAsia"/>
                <w:szCs w:val="21"/>
              </w:rPr>
              <w:t>。</w:t>
            </w:r>
          </w:p>
          <w:p>
            <w:pPr>
              <w:tabs>
                <w:tab w:val="left" w:pos="900"/>
                <w:tab w:val="left" w:pos="3813"/>
              </w:tabs>
              <w:rPr>
                <w:rFonts w:asciiTheme="minorEastAsia" w:hAnsiTheme="minorEastAsia" w:eastAsiaTheme="minorEastAsia"/>
                <w:szCs w:val="21"/>
              </w:rPr>
            </w:pPr>
            <w:r>
              <w:rPr>
                <w:rFonts w:hint="eastAsia" w:asciiTheme="minorEastAsia" w:hAnsiTheme="minorEastAsia" w:eastAsiaTheme="minorEastAsia"/>
                <w:szCs w:val="21"/>
              </w:rPr>
              <w:t>四</w:t>
            </w:r>
            <w:r>
              <w:rPr>
                <w:rFonts w:asciiTheme="minorEastAsia" w:hAnsiTheme="minorEastAsia" w:eastAsiaTheme="minorEastAsia"/>
                <w:szCs w:val="21"/>
              </w:rPr>
              <w:t>、</w:t>
            </w:r>
            <w:r>
              <w:rPr>
                <w:rFonts w:hint="eastAsia" w:asciiTheme="minorEastAsia" w:hAnsiTheme="minorEastAsia" w:eastAsiaTheme="minorEastAsia"/>
                <w:szCs w:val="21"/>
              </w:rPr>
              <w:t>语音叫号</w:t>
            </w:r>
          </w:p>
          <w:p>
            <w:pPr>
              <w:tabs>
                <w:tab w:val="left" w:pos="900"/>
                <w:tab w:val="left" w:pos="3813"/>
              </w:tabs>
              <w:rPr>
                <w:rFonts w:asciiTheme="minorEastAsia" w:hAnsiTheme="minorEastAsia" w:eastAsiaTheme="minorEastAsia"/>
                <w:szCs w:val="21"/>
              </w:rPr>
            </w:pPr>
            <w:r>
              <w:rPr>
                <w:rFonts w:hint="eastAsia" w:ascii="宋体" w:hAnsi="宋体" w:cs="宋体"/>
                <w:color w:val="000000"/>
                <w:kern w:val="0"/>
                <w:szCs w:val="21"/>
              </w:rPr>
              <w:t>▲</w:t>
            </w:r>
            <w:r>
              <w:rPr>
                <w:rFonts w:asciiTheme="minorEastAsia" w:hAnsiTheme="minorEastAsia" w:eastAsiaTheme="minorEastAsia"/>
                <w:szCs w:val="21"/>
              </w:rPr>
              <w:t>系统自动根据患者就诊顺序</w:t>
            </w:r>
            <w:r>
              <w:rPr>
                <w:rFonts w:hint="eastAsia" w:asciiTheme="minorEastAsia" w:hAnsiTheme="minorEastAsia" w:eastAsiaTheme="minorEastAsia"/>
                <w:szCs w:val="21"/>
              </w:rPr>
              <w:t>，</w:t>
            </w:r>
            <w:r>
              <w:rPr>
                <w:rFonts w:asciiTheme="minorEastAsia" w:hAnsiTheme="minorEastAsia" w:eastAsiaTheme="minorEastAsia"/>
                <w:szCs w:val="21"/>
              </w:rPr>
              <w:t>进行语音叫号</w:t>
            </w:r>
            <w:r>
              <w:rPr>
                <w:rFonts w:hint="eastAsia" w:asciiTheme="minorEastAsia" w:hAnsiTheme="minorEastAsia" w:eastAsiaTheme="minorEastAsia"/>
                <w:szCs w:val="21"/>
              </w:rPr>
              <w:t>，</w:t>
            </w:r>
            <w:r>
              <w:rPr>
                <w:rFonts w:asciiTheme="minorEastAsia" w:hAnsiTheme="minorEastAsia" w:eastAsiaTheme="minorEastAsia"/>
                <w:szCs w:val="21"/>
              </w:rPr>
              <w:t>叫号模板和内容可以根据</w:t>
            </w:r>
            <w:r>
              <w:rPr>
                <w:rFonts w:hint="eastAsia" w:asciiTheme="minorEastAsia" w:hAnsiTheme="minorEastAsia" w:eastAsiaTheme="minorEastAsia"/>
                <w:szCs w:val="21"/>
              </w:rPr>
              <w:t>实际需要自行配置。</w:t>
            </w:r>
          </w:p>
        </w:tc>
      </w:tr>
    </w:tbl>
    <w:p>
      <w:pPr>
        <w:spacing w:line="360" w:lineRule="auto"/>
        <w:outlineLvl w:val="0"/>
        <w:rPr>
          <w:rFonts w:ascii="Times New Roman" w:hAnsi="Times New Roman" w:eastAsia="黑体" w:cs="Times New Roman"/>
          <w:color w:val="000000"/>
          <w:kern w:val="44"/>
          <w:sz w:val="30"/>
          <w:szCs w:val="20"/>
          <w:lang w:val="zh-CN"/>
        </w:rPr>
      </w:pPr>
      <w:r>
        <w:rPr>
          <w:rFonts w:hint="eastAsia" w:ascii="宋体" w:hAnsi="宋体" w:cs="宋体"/>
          <w:b/>
          <w:color w:val="000000"/>
          <w:kern w:val="0"/>
          <w:szCs w:val="21"/>
        </w:rPr>
        <w:t>注：“▲”号为重要技术条款，需评标现场提供现场演示，（投标人自行搭建演示环境，满足演示需求）。</w:t>
      </w: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spacing w:after="468"/>
        <w:ind w:firstLine="480"/>
      </w:pPr>
    </w:p>
    <w:p>
      <w:pPr>
        <w:pStyle w:val="83"/>
        <w:spacing w:beforeLines="50" w:beforeAutospacing="0" w:afterLines="50"/>
        <w:ind w:left="851"/>
        <w:rPr>
          <w:sz w:val="30"/>
          <w:szCs w:val="30"/>
        </w:rPr>
      </w:pPr>
      <w:r>
        <w:rPr>
          <w:rFonts w:hint="eastAsia"/>
          <w:sz w:val="30"/>
          <w:szCs w:val="30"/>
        </w:rPr>
        <w:t>1.2硬件部分技术要求及清单</w:t>
      </w:r>
    </w:p>
    <w:tbl>
      <w:tblPr>
        <w:tblStyle w:val="34"/>
        <w:tblpPr w:leftFromText="180" w:rightFromText="180" w:vertAnchor="text" w:horzAnchor="page" w:tblpX="1537" w:tblpY="344"/>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00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类型</w:t>
            </w:r>
          </w:p>
        </w:tc>
        <w:tc>
          <w:tcPr>
            <w:tcW w:w="6002"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技术参数</w:t>
            </w:r>
          </w:p>
        </w:tc>
        <w:tc>
          <w:tcPr>
            <w:tcW w:w="1462"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数量（</w:t>
            </w:r>
            <w:r>
              <w:rPr>
                <w:rFonts w:hint="eastAsia" w:ascii="宋体" w:hAnsi="宋体" w:eastAsia="宋体" w:cs="宋体"/>
                <w:color w:val="000000" w:themeColor="text1"/>
                <w:szCs w:val="21"/>
                <w14:textFill>
                  <w14:solidFill>
                    <w14:schemeClr w14:val="tx1"/>
                  </w14:solidFill>
                </w14:textFill>
              </w:rPr>
              <w:t>套</w:t>
            </w:r>
            <w:r>
              <w:rPr>
                <w:rFonts w:hint="eastAsia" w:ascii="宋体" w:hAnsi="宋体" w:eastAsia="宋体" w:cs="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体重秤</w:t>
            </w:r>
          </w:p>
        </w:tc>
        <w:tc>
          <w:tcPr>
            <w:tcW w:w="6002" w:type="dxa"/>
            <w:noWrap/>
            <w:vAlign w:val="center"/>
          </w:tcPr>
          <w:p>
            <w:pP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1.含有联机接口RS-232，25mm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2.高清晰LCD显示屏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3.量程：200kg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4.精度：0.05kg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5.台面尺寸：800*800mm </w:t>
            </w: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w:t>
            </w:r>
            <w:r>
              <w:rPr>
                <w:rFonts w:hint="eastAsia" w:ascii="宋体" w:hAnsi="宋体" w:eastAsia="宋体" w:cs="宋体"/>
                <w:color w:val="000000" w:themeColor="text1"/>
                <w:szCs w:val="21"/>
                <w:lang w:val="zh-CN"/>
                <w14:textFill>
                  <w14:solidFill>
                    <w14:schemeClr w14:val="tx1"/>
                  </w14:solidFill>
                </w14:textFill>
              </w:rPr>
              <w:t>血压计</w:t>
            </w:r>
          </w:p>
        </w:tc>
        <w:tc>
          <w:tcPr>
            <w:tcW w:w="6002" w:type="dxa"/>
            <w:noWrap/>
            <w:vAlign w:val="center"/>
          </w:tcPr>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显示方式：LED显示，测量方法：示波法，测量范围：压力：0～299mmHg（0 ～39.9kPa），脉搏数：40次/分 ～ 180次/分测量精确：压力：± 3mmHg（±0.4kPa）以内，脉搏数：±2%以内，有</w:t>
            </w:r>
            <w:r>
              <w:rPr>
                <w:rFonts w:cs="宋体"/>
                <w:color w:val="000000" w:themeColor="text1"/>
                <w:kern w:val="0"/>
                <w:sz w:val="21"/>
                <w:szCs w:val="21"/>
                <w14:textFill>
                  <w14:solidFill>
                    <w14:schemeClr w14:val="tx1"/>
                  </w14:solidFill>
                </w14:textFill>
              </w:rPr>
              <w:t>输出接口RS-232</w:t>
            </w:r>
          </w:p>
          <w:p>
            <w:pPr>
              <w:pStyle w:val="26"/>
              <w:rPr>
                <w:rFonts w:hint="default" w:cs="宋体"/>
                <w:color w:val="000000" w:themeColor="text1"/>
                <w:sz w:val="21"/>
                <w:szCs w:val="21"/>
                <w:shd w:val="clear" w:color="auto" w:fill="FFFFFF"/>
                <w14:textFill>
                  <w14:solidFill>
                    <w14:schemeClr w14:val="tx1"/>
                  </w14:solidFill>
                </w14:textFill>
              </w:rPr>
            </w:pP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平板电脑</w:t>
            </w:r>
          </w:p>
        </w:tc>
        <w:tc>
          <w:tcPr>
            <w:tcW w:w="6002" w:type="dxa"/>
            <w:noWrap/>
            <w:vAlign w:val="center"/>
          </w:tcPr>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8.4寸</w:t>
            </w:r>
            <w:r>
              <w:rPr>
                <w:rFonts w:hint="eastAsia" w:ascii="宋体" w:hAnsi="宋体" w:eastAsia="宋体" w:cs="宋体"/>
                <w:color w:val="000000" w:themeColor="text1"/>
                <w:szCs w:val="21"/>
                <w:shd w:val="clear" w:color="auto" w:fill="FFFFFF"/>
                <w14:textFill>
                  <w14:solidFill>
                    <w14:schemeClr w14:val="tx1"/>
                  </w14:solidFill>
                </w14:textFill>
              </w:rPr>
              <w:t>（IOS 或 安卓）</w:t>
            </w:r>
            <w:r>
              <w:rPr>
                <w:rFonts w:hint="eastAsia" w:ascii="宋体" w:hAnsi="宋体" w:cs="宋体"/>
                <w:color w:val="000000" w:themeColor="text1"/>
                <w:szCs w:val="21"/>
                <w:shd w:val="clear" w:color="auto" w:fill="FFFFFF"/>
                <w14:textFill>
                  <w14:solidFill>
                    <w14:schemeClr w14:val="tx1"/>
                  </w14:solidFill>
                </w14:textFill>
              </w:rPr>
              <w:t>，内存4G/硬盘32G/WIFI</w:t>
            </w: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条码打印机</w:t>
            </w:r>
          </w:p>
        </w:tc>
        <w:tc>
          <w:tcPr>
            <w:tcW w:w="6002" w:type="dxa"/>
            <w:noWrap/>
            <w:vAlign w:val="center"/>
          </w:tcPr>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内存标配：8 MB SDRAM，打印方法： 热</w:t>
            </w:r>
          </w:p>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敏，繁体、简体中文字体集，EPL 和 ZPL</w:t>
            </w:r>
          </w:p>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编程语言标准，32 位 RISC 处理器</w:t>
            </w:r>
          </w:p>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扫描枪</w:t>
            </w:r>
          </w:p>
        </w:tc>
        <w:tc>
          <w:tcPr>
            <w:tcW w:w="6002" w:type="dxa"/>
            <w:noWrap/>
            <w:vAlign w:val="center"/>
          </w:tcPr>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图像扫描</w:t>
            </w:r>
          </w:p>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分辨率:</w:t>
            </w:r>
            <w:r>
              <w:rPr>
                <w:rFonts w:hint="eastAsia" w:ascii="宋体" w:hAnsi="宋体" w:eastAsia="宋体" w:cs="宋体"/>
                <w:color w:val="000000" w:themeColor="text1"/>
                <w:szCs w:val="21"/>
                <w:shd w:val="clear" w:color="auto" w:fill="FFFFFF"/>
                <w14:textFill>
                  <w14:solidFill>
                    <w14:schemeClr w14:val="tx1"/>
                  </w14:solidFill>
                </w14:textFill>
              </w:rPr>
              <w:tab/>
            </w:r>
            <w:r>
              <w:rPr>
                <w:rFonts w:hint="eastAsia" w:ascii="宋体" w:hAnsi="宋体" w:eastAsia="宋体" w:cs="宋体"/>
                <w:color w:val="000000" w:themeColor="text1"/>
                <w:szCs w:val="21"/>
                <w:shd w:val="clear" w:color="auto" w:fill="FFFFFF"/>
                <w14:textFill>
                  <w14:solidFill>
                    <w14:schemeClr w14:val="tx1"/>
                  </w14:solidFill>
                </w14:textFill>
              </w:rPr>
              <w:t>130万像素</w:t>
            </w:r>
          </w:p>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运动容差:能读取10cm外移动速度为200cm／秒的O.33mm(13mil)条码</w:t>
            </w:r>
          </w:p>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扫描角度:水平：46°  垂直：28°</w:t>
            </w:r>
          </w:p>
          <w:p>
            <w:pPr>
              <w:spacing w:line="400" w:lineRule="exact"/>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可识别的印刷对比度:最低20％的反射差</w:t>
            </w:r>
          </w:p>
          <w:p>
            <w:pPr>
              <w:spacing w:line="4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解码能力:自动识别所有标准一维条码以及GS1，PDF417，microPDF，MaxiCode，Data Matrix，QR Code，UCC，EAN Composites，Postals，Aztec</w:t>
            </w: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电视机</w:t>
            </w:r>
          </w:p>
        </w:tc>
        <w:tc>
          <w:tcPr>
            <w:tcW w:w="6002" w:type="dxa"/>
            <w:noWrap/>
            <w:vAlign w:val="center"/>
          </w:tcPr>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shd w:val="clear" w:color="auto" w:fill="FFFFFF"/>
                <w14:textFill>
                  <w14:solidFill>
                    <w14:schemeClr w14:val="tx1"/>
                  </w14:solidFill>
                </w14:textFill>
              </w:rPr>
              <w:t xml:space="preserve">屏幕尺寸: </w:t>
            </w:r>
            <w:r>
              <w:rPr>
                <w:rFonts w:cs="宋体"/>
                <w:color w:val="000000" w:themeColor="text1"/>
                <w:sz w:val="21"/>
                <w:szCs w:val="21"/>
                <w14:textFill>
                  <w14:solidFill>
                    <w14:schemeClr w14:val="tx1"/>
                  </w14:solidFill>
                </w14:textFill>
              </w:rPr>
              <w:t>60吋，人工智能语音版 CHiQ客户端 HDR 4K超高清，Android5.1操作系统，64位电视系统，双核Cortex-A73 64位SOC芯片Mali450 五核高性能4K图形处理器 HDMI接</w:t>
            </w:r>
          </w:p>
          <w:p>
            <w:pPr>
              <w:spacing w:line="400" w:lineRule="exact"/>
              <w:jc w:val="left"/>
              <w:rPr>
                <w:rFonts w:ascii="宋体" w:hAnsi="宋体" w:eastAsia="宋体" w:cs="宋体"/>
                <w:color w:val="000000" w:themeColor="text1"/>
                <w:szCs w:val="21"/>
                <w:lang w:val="zh-CN"/>
                <w14:textFill>
                  <w14:solidFill>
                    <w14:schemeClr w14:val="tx1"/>
                  </w14:solidFill>
                </w14:textFill>
              </w:rPr>
            </w:pP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PC一体机电脑</w:t>
            </w:r>
          </w:p>
        </w:tc>
        <w:tc>
          <w:tcPr>
            <w:tcW w:w="6002" w:type="dxa"/>
            <w:noWrap/>
            <w:vAlign w:val="center"/>
          </w:tcPr>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19.5吋，英特尔 奔腾双核G4400T(3.1</w:t>
            </w:r>
          </w:p>
          <w:p>
            <w:pPr>
              <w:pStyle w:val="26"/>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GHz) 4G 500G Wifi+BT 720P Win10 HB 64位中文版  H110 120W 集显  无光驱   6合1读卡器 非触屏</w:t>
            </w:r>
          </w:p>
          <w:p>
            <w:pPr>
              <w:spacing w:line="400" w:lineRule="exact"/>
              <w:jc w:val="left"/>
              <w:rPr>
                <w:rFonts w:ascii="宋体" w:hAnsi="宋体" w:eastAsia="宋体" w:cs="宋体"/>
                <w:color w:val="000000" w:themeColor="text1"/>
                <w:szCs w:val="21"/>
                <w14:textFill>
                  <w14:solidFill>
                    <w14:schemeClr w14:val="tx1"/>
                  </w14:solidFill>
                </w14:textFill>
              </w:rPr>
            </w:pP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辅材</w:t>
            </w:r>
          </w:p>
        </w:tc>
        <w:tc>
          <w:tcPr>
            <w:tcW w:w="6002" w:type="dxa"/>
            <w:noWrap/>
            <w:vAlign w:val="center"/>
          </w:tcPr>
          <w:p>
            <w:pPr>
              <w:spacing w:line="400" w:lineRule="exact"/>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串口线、转换线等</w:t>
            </w: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通讯板</w:t>
            </w:r>
          </w:p>
        </w:tc>
        <w:tc>
          <w:tcPr>
            <w:tcW w:w="6002" w:type="dxa"/>
            <w:noWrap/>
            <w:vAlign w:val="center"/>
          </w:tcPr>
          <w:p>
            <w:pPr>
              <w:spacing w:line="400" w:lineRule="exac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威高日机装DBB-27C数据采集板</w:t>
            </w:r>
          </w:p>
        </w:tc>
        <w:tc>
          <w:tcPr>
            <w:tcW w:w="1462"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p>
        </w:tc>
        <w:tc>
          <w:tcPr>
            <w:tcW w:w="6002" w:type="dxa"/>
            <w:noWrap/>
            <w:vAlign w:val="center"/>
          </w:tcPr>
          <w:p>
            <w:pPr>
              <w:spacing w:line="400" w:lineRule="exact"/>
              <w:jc w:val="center"/>
              <w:rPr>
                <w:rFonts w:ascii="宋体" w:hAnsi="宋体" w:cs="宋体"/>
                <w:color w:val="000000" w:themeColor="text1"/>
                <w:szCs w:val="21"/>
                <w:shd w:val="clear" w:color="auto" w:fill="FFFFFF"/>
                <w14:textFill>
                  <w14:solidFill>
                    <w14:schemeClr w14:val="tx1"/>
                  </w14:solidFill>
                </w14:textFill>
              </w:rPr>
            </w:pPr>
          </w:p>
        </w:tc>
        <w:tc>
          <w:tcPr>
            <w:tcW w:w="1462" w:type="dxa"/>
            <w:noWrap/>
            <w:vAlign w:val="center"/>
          </w:tcPr>
          <w:p>
            <w:pPr>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noWrap/>
            <w:vAlign w:val="center"/>
          </w:tcPr>
          <w:p>
            <w:pPr>
              <w:spacing w:line="400" w:lineRule="exact"/>
              <w:jc w:val="center"/>
              <w:rPr>
                <w:rFonts w:ascii="宋体" w:hAnsi="宋体" w:eastAsia="宋体" w:cs="宋体"/>
                <w:color w:val="000000" w:themeColor="text1"/>
                <w:szCs w:val="21"/>
                <w14:textFill>
                  <w14:solidFill>
                    <w14:schemeClr w14:val="tx1"/>
                  </w14:solidFill>
                </w14:textFill>
              </w:rPr>
            </w:pPr>
          </w:p>
        </w:tc>
        <w:tc>
          <w:tcPr>
            <w:tcW w:w="6002" w:type="dxa"/>
            <w:noWrap/>
            <w:vAlign w:val="center"/>
          </w:tcPr>
          <w:p>
            <w:pPr>
              <w:spacing w:line="400" w:lineRule="exact"/>
              <w:jc w:val="center"/>
              <w:rPr>
                <w:rFonts w:ascii="宋体" w:hAnsi="宋体" w:cs="宋体"/>
                <w:color w:val="000000" w:themeColor="text1"/>
                <w:szCs w:val="21"/>
                <w:shd w:val="clear" w:color="auto" w:fill="FFFFFF"/>
                <w14:textFill>
                  <w14:solidFill>
                    <w14:schemeClr w14:val="tx1"/>
                  </w14:solidFill>
                </w14:textFill>
              </w:rPr>
            </w:pPr>
          </w:p>
        </w:tc>
        <w:tc>
          <w:tcPr>
            <w:tcW w:w="1462" w:type="dxa"/>
            <w:noWrap/>
            <w:vAlign w:val="center"/>
          </w:tcPr>
          <w:p>
            <w:pPr>
              <w:spacing w:line="400" w:lineRule="exact"/>
              <w:jc w:val="center"/>
              <w:rPr>
                <w:rFonts w:ascii="宋体" w:hAnsi="宋体" w:cs="宋体"/>
                <w:color w:val="000000" w:themeColor="text1"/>
                <w:szCs w:val="21"/>
                <w14:textFill>
                  <w14:solidFill>
                    <w14:schemeClr w14:val="tx1"/>
                  </w14:solidFill>
                </w14:textFill>
              </w:rPr>
            </w:pPr>
          </w:p>
        </w:tc>
      </w:tr>
    </w:tbl>
    <w:p>
      <w:pPr>
        <w:spacing w:after="468"/>
        <w:jc w:val="left"/>
        <w:rPr>
          <w:rFonts w:ascii="仿宋_GB2312" w:hAnsi="宋体" w:eastAsia="仿宋_GB2312"/>
          <w:b/>
          <w:sz w:val="24"/>
          <w:szCs w:val="24"/>
        </w:rPr>
      </w:pPr>
      <w:r>
        <w:rPr>
          <w:rFonts w:ascii="仿宋_GB2312" w:hAnsi="宋体" w:eastAsia="仿宋_GB2312"/>
          <w:b/>
          <w:sz w:val="24"/>
          <w:szCs w:val="24"/>
        </w:rPr>
        <w:t>备注：负责培训医院不少于两名工作人员，能独立操作所有硬件设备、软件和其它相关设备，独立完成故障排除和维护。</w:t>
      </w:r>
    </w:p>
    <w:p>
      <w:pPr>
        <w:pStyle w:val="3"/>
        <w:rPr>
          <w:rFonts w:hint="eastAsia"/>
          <w:b/>
          <w:bCs/>
        </w:rPr>
      </w:pPr>
      <w:bookmarkStart w:id="1" w:name="_Toc523822392"/>
    </w:p>
    <w:p>
      <w:pPr>
        <w:rPr>
          <w:rFonts w:hint="eastAsia"/>
        </w:rPr>
      </w:pPr>
    </w:p>
    <w:p>
      <w:pPr>
        <w:rPr>
          <w:rFonts w:hint="eastAsia"/>
        </w:rPr>
      </w:pPr>
    </w:p>
    <w:p>
      <w:pPr>
        <w:pStyle w:val="3"/>
        <w:rPr>
          <w:rFonts w:hint="eastAsia"/>
          <w:b/>
          <w:bCs/>
        </w:rPr>
      </w:pPr>
    </w:p>
    <w:p>
      <w:pPr>
        <w:pStyle w:val="3"/>
        <w:rPr>
          <w:rFonts w:hint="eastAsia"/>
          <w:b/>
          <w:bCs/>
        </w:rPr>
      </w:pPr>
    </w:p>
    <w:p>
      <w:pPr>
        <w:pStyle w:val="3"/>
        <w:rPr>
          <w:rFonts w:hint="eastAsia"/>
          <w:b/>
          <w:bCs/>
        </w:rPr>
      </w:pPr>
    </w:p>
    <w:p>
      <w:pPr>
        <w:pStyle w:val="3"/>
        <w:rPr>
          <w:rFonts w:hint="eastAsia"/>
          <w:b/>
          <w:bCs/>
        </w:rPr>
      </w:pPr>
    </w:p>
    <w:p>
      <w:pPr>
        <w:pStyle w:val="3"/>
        <w:rPr>
          <w:b/>
          <w:bCs/>
        </w:rPr>
      </w:pPr>
      <w:r>
        <w:rPr>
          <w:rFonts w:hint="eastAsia"/>
          <w:b/>
          <w:bCs/>
        </w:rPr>
        <w:t xml:space="preserve"> 二、评标</w:t>
      </w:r>
      <w:bookmarkEnd w:id="1"/>
      <w:r>
        <w:rPr>
          <w:rFonts w:hint="eastAsia"/>
          <w:b/>
          <w:bCs/>
        </w:rPr>
        <w:t>标准</w:t>
      </w:r>
    </w:p>
    <w:p>
      <w:pPr>
        <w:spacing w:line="360" w:lineRule="auto"/>
        <w:rPr>
          <w:rFonts w:hAnsi="宋体"/>
          <w:b/>
          <w:color w:val="000000"/>
        </w:rPr>
      </w:pPr>
      <w:r>
        <w:rPr>
          <w:rFonts w:hint="eastAsia" w:hAnsi="宋体"/>
          <w:b/>
          <w:color w:val="000000"/>
        </w:rPr>
        <w:t>评标采用综合评分法（总分为100分）。</w:t>
      </w:r>
    </w:p>
    <w:p>
      <w:pPr>
        <w:spacing w:line="360" w:lineRule="auto"/>
        <w:rPr>
          <w:rFonts w:hAnsi="宋体"/>
          <w:b/>
          <w:color w:val="000000"/>
          <w:sz w:val="28"/>
          <w:szCs w:val="28"/>
        </w:rPr>
      </w:pPr>
      <w:r>
        <w:rPr>
          <w:rFonts w:hint="eastAsia" w:hAnsi="宋体"/>
          <w:b/>
          <w:color w:val="000000"/>
        </w:rPr>
        <w:t>评分标准如下：</w:t>
      </w:r>
    </w:p>
    <w:p>
      <w:pPr>
        <w:spacing w:line="360" w:lineRule="auto"/>
        <w:rPr>
          <w:rFonts w:hAnsi="宋体"/>
          <w:b/>
          <w:color w:val="000000"/>
        </w:rPr>
      </w:pPr>
      <w:r>
        <w:rPr>
          <w:rFonts w:hint="eastAsia" w:hAnsi="宋体"/>
          <w:b/>
          <w:color w:val="000000"/>
        </w:rPr>
        <w:t>1.价格评分</w:t>
      </w:r>
    </w:p>
    <w:p>
      <w:pPr>
        <w:spacing w:line="360" w:lineRule="auto"/>
        <w:ind w:firstLine="210" w:firstLineChars="100"/>
        <w:rPr>
          <w:rFonts w:hAnsi="宋体"/>
          <w:color w:val="000000"/>
        </w:rPr>
      </w:pPr>
      <w:r>
        <w:rPr>
          <w:rFonts w:hint="eastAsia" w:hAnsi="宋体"/>
          <w:color w:val="000000"/>
        </w:rPr>
        <w:t>价格评分总分为30分。</w:t>
      </w:r>
    </w:p>
    <w:tbl>
      <w:tblPr>
        <w:tblStyle w:val="34"/>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4650"/>
        <w:gridCol w:w="73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0" w:hRule="atLeast"/>
          <w:jc w:val="center"/>
        </w:trPr>
        <w:tc>
          <w:tcPr>
            <w:tcW w:w="3020" w:type="dxa"/>
            <w:vAlign w:val="center"/>
          </w:tcPr>
          <w:p>
            <w:pPr>
              <w:spacing w:line="360" w:lineRule="auto"/>
              <w:jc w:val="center"/>
              <w:rPr>
                <w:rFonts w:hAnsi="宋体"/>
                <w:b/>
                <w:color w:val="000000"/>
              </w:rPr>
            </w:pPr>
            <w:r>
              <w:rPr>
                <w:rFonts w:hint="eastAsia" w:hAnsi="宋体"/>
                <w:b/>
                <w:color w:val="000000"/>
              </w:rPr>
              <w:t>项目</w:t>
            </w:r>
          </w:p>
        </w:tc>
        <w:tc>
          <w:tcPr>
            <w:tcW w:w="4650" w:type="dxa"/>
            <w:vAlign w:val="center"/>
          </w:tcPr>
          <w:p>
            <w:pPr>
              <w:spacing w:line="360" w:lineRule="auto"/>
              <w:jc w:val="center"/>
              <w:rPr>
                <w:rFonts w:hAnsi="宋体"/>
                <w:b/>
                <w:color w:val="000000"/>
              </w:rPr>
            </w:pPr>
            <w:r>
              <w:rPr>
                <w:rFonts w:hint="eastAsia" w:hAnsi="宋体"/>
                <w:b/>
                <w:color w:val="000000"/>
              </w:rPr>
              <w:t>细则说明</w:t>
            </w:r>
          </w:p>
        </w:tc>
        <w:tc>
          <w:tcPr>
            <w:tcW w:w="731" w:type="dxa"/>
            <w:vAlign w:val="center"/>
          </w:tcPr>
          <w:p>
            <w:pPr>
              <w:spacing w:line="360" w:lineRule="auto"/>
              <w:jc w:val="center"/>
              <w:rPr>
                <w:rFonts w:hAnsi="宋体"/>
                <w:b/>
                <w:color w:val="000000"/>
              </w:rPr>
            </w:pPr>
            <w:r>
              <w:rPr>
                <w:rFonts w:hint="eastAsia" w:hAnsi="宋体"/>
                <w:b/>
                <w:color w:val="00000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020" w:type="dxa"/>
            <w:vAlign w:val="center"/>
          </w:tcPr>
          <w:p>
            <w:pPr>
              <w:spacing w:line="360" w:lineRule="auto"/>
              <w:jc w:val="center"/>
              <w:rPr>
                <w:rFonts w:ascii="宋体" w:hAnsi="宋体"/>
                <w:color w:val="000000"/>
                <w:szCs w:val="21"/>
              </w:rPr>
            </w:pPr>
            <w:r>
              <w:rPr>
                <w:rFonts w:hint="eastAsia" w:ascii="宋体" w:hAnsi="宋体"/>
                <w:color w:val="000000"/>
                <w:szCs w:val="21"/>
              </w:rPr>
              <w:t>价格分</w:t>
            </w:r>
          </w:p>
          <w:p>
            <w:pPr>
              <w:spacing w:line="360" w:lineRule="auto"/>
              <w:jc w:val="center"/>
              <w:rPr>
                <w:rFonts w:ascii="楷体_GB2312" w:hAnsi="宋体" w:eastAsia="楷体_GB2312"/>
                <w:color w:val="000000"/>
              </w:rPr>
            </w:pPr>
            <w:r>
              <w:rPr>
                <w:rFonts w:hint="eastAsia" w:ascii="宋体" w:hAnsi="宋体"/>
                <w:color w:val="000000"/>
                <w:szCs w:val="21"/>
              </w:rPr>
              <w:t>（30分）</w:t>
            </w:r>
          </w:p>
        </w:tc>
        <w:tc>
          <w:tcPr>
            <w:tcW w:w="4650" w:type="dxa"/>
            <w:vAlign w:val="center"/>
          </w:tcPr>
          <w:p>
            <w:pPr>
              <w:spacing w:line="360" w:lineRule="auto"/>
              <w:rPr>
                <w:rFonts w:ascii="宋体" w:hAnsi="宋体"/>
                <w:color w:val="000000"/>
                <w:szCs w:val="21"/>
              </w:rPr>
            </w:pPr>
            <w:r>
              <w:rPr>
                <w:rFonts w:hint="eastAsia" w:ascii="宋体" w:hAnsi="宋体" w:cs="华文仿宋"/>
                <w:color w:val="000000"/>
                <w:szCs w:val="21"/>
              </w:rPr>
              <w:t>通过符合性审查的各有效投标单位报价的算术平均值作为基准价。投标报价等于基准价的，得30分；报价每低于基准价的5%或每高于基准价的5%，得分降低0.5分，最低得20分，得分保留小数点后两位。</w:t>
            </w:r>
            <w:r>
              <w:rPr>
                <w:rFonts w:hint="eastAsia" w:ascii="宋体" w:hAnsi="宋体"/>
                <w:color w:val="000000"/>
                <w:szCs w:val="21"/>
              </w:rPr>
              <w:t>投标人以明显低于市场同类产品平均价投标的，视为恶意竞标得0分.</w:t>
            </w:r>
          </w:p>
        </w:tc>
        <w:tc>
          <w:tcPr>
            <w:tcW w:w="742" w:type="dxa"/>
            <w:gridSpan w:val="2"/>
            <w:vAlign w:val="center"/>
          </w:tcPr>
          <w:p>
            <w:pPr>
              <w:spacing w:line="360" w:lineRule="auto"/>
              <w:jc w:val="center"/>
              <w:rPr>
                <w:rFonts w:ascii="宋体" w:hAnsi="宋体"/>
              </w:rPr>
            </w:pPr>
            <w:r>
              <w:rPr>
                <w:rFonts w:hint="eastAsia" w:ascii="宋体" w:hAnsi="宋体"/>
              </w:rPr>
              <w:t>30分</w:t>
            </w:r>
          </w:p>
        </w:tc>
      </w:tr>
    </w:tbl>
    <w:p>
      <w:pPr>
        <w:spacing w:after="468"/>
        <w:jc w:val="left"/>
        <w:rPr>
          <w:rFonts w:ascii="仿宋_GB2312" w:hAnsi="宋体" w:eastAsia="仿宋_GB2312"/>
          <w:b/>
          <w:sz w:val="24"/>
          <w:szCs w:val="24"/>
        </w:rPr>
      </w:pPr>
    </w:p>
    <w:p>
      <w:pPr>
        <w:spacing w:line="360" w:lineRule="auto"/>
        <w:rPr>
          <w:b/>
        </w:rPr>
      </w:pPr>
      <w:r>
        <w:rPr>
          <w:rFonts w:hint="eastAsia"/>
          <w:b/>
        </w:rPr>
        <w:t>2.商务及技术评分</w:t>
      </w:r>
    </w:p>
    <w:p>
      <w:pPr>
        <w:spacing w:line="360" w:lineRule="auto"/>
        <w:ind w:firstLine="210" w:firstLineChars="100"/>
        <w:rPr>
          <w:rFonts w:hAnsi="宋体"/>
          <w:color w:val="000000"/>
        </w:rPr>
      </w:pPr>
      <w:r>
        <w:rPr>
          <w:rFonts w:hint="eastAsia" w:hAnsi="宋体"/>
        </w:rPr>
        <w:t>商务及技术评分总分为7</w:t>
      </w:r>
      <w:r>
        <w:rPr>
          <w:rFonts w:hAnsi="宋体"/>
        </w:rPr>
        <w:t>0</w:t>
      </w:r>
      <w:r>
        <w:rPr>
          <w:rFonts w:hint="eastAsia" w:hAnsi="宋体"/>
        </w:rPr>
        <w:t>分</w:t>
      </w:r>
      <w:r>
        <w:rPr>
          <w:rFonts w:hint="eastAsia" w:hAnsi="宋体"/>
          <w:color w:val="000000"/>
        </w:rPr>
        <w:t>。</w:t>
      </w:r>
    </w:p>
    <w:tbl>
      <w:tblPr>
        <w:tblStyle w:val="34"/>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268"/>
        <w:gridCol w:w="458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593" w:type="dxa"/>
          </w:tcPr>
          <w:p>
            <w:pPr>
              <w:spacing w:line="360" w:lineRule="auto"/>
              <w:rPr>
                <w:rFonts w:hAnsi="宋体"/>
                <w:b/>
                <w:color w:val="000000"/>
              </w:rPr>
            </w:pPr>
            <w:r>
              <w:rPr>
                <w:rFonts w:hint="eastAsia" w:hAnsi="宋体"/>
                <w:b/>
                <w:color w:val="000000"/>
              </w:rPr>
              <w:t>项目</w:t>
            </w:r>
          </w:p>
        </w:tc>
        <w:tc>
          <w:tcPr>
            <w:tcW w:w="6856" w:type="dxa"/>
            <w:gridSpan w:val="2"/>
            <w:vAlign w:val="center"/>
          </w:tcPr>
          <w:p>
            <w:pPr>
              <w:spacing w:line="360" w:lineRule="auto"/>
              <w:jc w:val="center"/>
              <w:rPr>
                <w:rFonts w:hAnsi="宋体"/>
                <w:b/>
                <w:color w:val="000000"/>
              </w:rPr>
            </w:pPr>
            <w:r>
              <w:rPr>
                <w:rFonts w:hint="eastAsia" w:hAnsi="宋体"/>
                <w:b/>
                <w:color w:val="000000"/>
              </w:rPr>
              <w:t>细则说明</w:t>
            </w:r>
          </w:p>
        </w:tc>
        <w:tc>
          <w:tcPr>
            <w:tcW w:w="775" w:type="dxa"/>
            <w:vAlign w:val="center"/>
          </w:tcPr>
          <w:p>
            <w:pPr>
              <w:spacing w:line="360" w:lineRule="auto"/>
              <w:jc w:val="center"/>
              <w:rPr>
                <w:rFonts w:hAnsi="宋体"/>
                <w:b/>
                <w:color w:val="000000"/>
              </w:rPr>
            </w:pPr>
            <w:r>
              <w:rPr>
                <w:rFonts w:hint="eastAsia" w:hAnsi="宋体"/>
                <w:b/>
                <w:color w:val="00000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593" w:type="dxa"/>
            <w:vMerge w:val="restart"/>
            <w:vAlign w:val="center"/>
          </w:tcPr>
          <w:p>
            <w:pPr>
              <w:spacing w:line="360" w:lineRule="auto"/>
              <w:rPr>
                <w:rFonts w:ascii="楷体" w:hAnsi="楷体" w:eastAsia="楷体"/>
              </w:rPr>
            </w:pPr>
            <w:r>
              <w:rPr>
                <w:rFonts w:hint="eastAsia" w:ascii="楷体" w:hAnsi="楷体" w:eastAsia="楷体"/>
              </w:rPr>
              <w:t>商务部分</w:t>
            </w:r>
          </w:p>
          <w:p>
            <w:pPr>
              <w:spacing w:line="360" w:lineRule="auto"/>
              <w:rPr>
                <w:rFonts w:ascii="楷体" w:hAnsi="楷体" w:eastAsia="楷体"/>
              </w:rPr>
            </w:pPr>
            <w:r>
              <w:rPr>
                <w:rFonts w:hint="eastAsia" w:ascii="楷体" w:hAnsi="楷体" w:eastAsia="楷体"/>
              </w:rPr>
              <w:t>（15分）</w:t>
            </w:r>
          </w:p>
          <w:p>
            <w:pPr>
              <w:spacing w:line="360" w:lineRule="auto"/>
              <w:rPr>
                <w:rFonts w:ascii="楷体" w:hAnsi="楷体" w:eastAsia="楷体"/>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著作权证书</w:t>
            </w:r>
          </w:p>
        </w:tc>
        <w:tc>
          <w:tcPr>
            <w:tcW w:w="4588" w:type="dxa"/>
            <w:vAlign w:val="center"/>
          </w:tcPr>
          <w:p>
            <w:pPr>
              <w:spacing w:line="360" w:lineRule="auto"/>
              <w:rPr>
                <w:rFonts w:ascii="宋体" w:hAnsi="宋体"/>
                <w:color w:val="000000"/>
              </w:rPr>
            </w:pPr>
            <w:r>
              <w:rPr>
                <w:rFonts w:hint="eastAsia" w:ascii="宋体" w:hAnsi="宋体"/>
                <w:color w:val="000000"/>
              </w:rPr>
              <w:t>提供肾脏病相关著作权证书，每提供一个得</w:t>
            </w:r>
            <w:r>
              <w:rPr>
                <w:rFonts w:ascii="宋体" w:hAnsi="宋体"/>
                <w:color w:val="000000"/>
              </w:rPr>
              <w:t>1</w:t>
            </w:r>
            <w:r>
              <w:rPr>
                <w:rFonts w:hint="eastAsia" w:ascii="宋体" w:hAnsi="宋体"/>
                <w:color w:val="000000"/>
              </w:rPr>
              <w:t>分，最高得3分。</w:t>
            </w:r>
          </w:p>
        </w:tc>
        <w:tc>
          <w:tcPr>
            <w:tcW w:w="775" w:type="dxa"/>
            <w:vAlign w:val="center"/>
          </w:tcPr>
          <w:p>
            <w:pPr>
              <w:spacing w:line="360" w:lineRule="auto"/>
              <w:jc w:val="center"/>
              <w:rPr>
                <w:rFonts w:ascii="宋体" w:hAnsi="宋体"/>
              </w:rPr>
            </w:pPr>
            <w:r>
              <w:rPr>
                <w:rFonts w:hint="eastAsia" w:ascii="宋体" w:hAnsi="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593" w:type="dxa"/>
            <w:vMerge w:val="continue"/>
            <w:vAlign w:val="center"/>
          </w:tcPr>
          <w:p>
            <w:pPr>
              <w:spacing w:line="360" w:lineRule="auto"/>
              <w:rPr>
                <w:rFonts w:ascii="楷体" w:hAnsi="楷体" w:eastAsia="楷体"/>
              </w:rPr>
            </w:pPr>
          </w:p>
        </w:tc>
        <w:tc>
          <w:tcPr>
            <w:tcW w:w="2268" w:type="dxa"/>
            <w:vAlign w:val="center"/>
          </w:tcPr>
          <w:p>
            <w:pPr>
              <w:spacing w:line="360" w:lineRule="auto"/>
              <w:jc w:val="center"/>
              <w:rPr>
                <w:rFonts w:ascii="宋体" w:hAnsi="宋体" w:cs="宋体"/>
                <w:color w:val="000000"/>
                <w:szCs w:val="21"/>
              </w:rPr>
            </w:pPr>
            <w:r>
              <w:rPr>
                <w:rFonts w:hint="eastAsia" w:ascii="宋体" w:hAnsi="宋体" w:cs="宋体"/>
                <w:color w:val="000000"/>
              </w:rPr>
              <w:t>区域肾内科联盟</w:t>
            </w:r>
          </w:p>
        </w:tc>
        <w:tc>
          <w:tcPr>
            <w:tcW w:w="4588" w:type="dxa"/>
            <w:vAlign w:val="center"/>
          </w:tcPr>
          <w:p>
            <w:pPr>
              <w:spacing w:line="360" w:lineRule="auto"/>
              <w:rPr>
                <w:rFonts w:ascii="宋体" w:hAnsi="宋体" w:cs="宋体"/>
                <w:color w:val="000000"/>
              </w:rPr>
            </w:pPr>
            <w:r>
              <w:rPr>
                <w:rFonts w:hint="eastAsia" w:ascii="宋体" w:hAnsi="宋体" w:cs="宋体"/>
                <w:color w:val="000000"/>
              </w:rPr>
              <w:t>投标人在近两年内参与区域肾内科联盟信息化工作并开发协助该联盟建立统一的信息化管理平台。提供联盟三甲医院的授权证明文件（非区域血透质控上报平台、非区域肾脏病质控大数据管理平台）并加盖公章，</w:t>
            </w:r>
            <w:r>
              <w:rPr>
                <w:rFonts w:ascii="宋体" w:hAnsi="宋体" w:cs="宋体"/>
                <w:color w:val="000000"/>
              </w:rPr>
              <w:t>得</w:t>
            </w:r>
            <w:r>
              <w:rPr>
                <w:rFonts w:hint="eastAsia" w:ascii="宋体" w:hAnsi="宋体" w:cs="宋体"/>
                <w:color w:val="000000"/>
              </w:rPr>
              <w:t>2分。（提供复件印，加盖公章。）</w:t>
            </w:r>
          </w:p>
        </w:tc>
        <w:tc>
          <w:tcPr>
            <w:tcW w:w="775" w:type="dxa"/>
            <w:vAlign w:val="center"/>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593" w:type="dxa"/>
            <w:vMerge w:val="continue"/>
            <w:vAlign w:val="center"/>
          </w:tcPr>
          <w:p>
            <w:pPr>
              <w:spacing w:line="360" w:lineRule="auto"/>
              <w:rPr>
                <w:rFonts w:ascii="楷体" w:hAnsi="楷体" w:eastAsia="楷体"/>
              </w:rPr>
            </w:pPr>
          </w:p>
        </w:tc>
        <w:tc>
          <w:tcPr>
            <w:tcW w:w="2268" w:type="dxa"/>
            <w:vAlign w:val="center"/>
          </w:tcPr>
          <w:p>
            <w:pPr>
              <w:spacing w:line="360" w:lineRule="auto"/>
              <w:jc w:val="center"/>
              <w:rPr>
                <w:rFonts w:ascii="宋体" w:hAnsi="宋体" w:cs="宋体"/>
                <w:color w:val="000000"/>
              </w:rPr>
            </w:pPr>
            <w:r>
              <w:rPr>
                <w:rFonts w:hint="eastAsia" w:ascii="宋体" w:hAnsi="宋体" w:cs="宋体"/>
                <w:color w:val="000000"/>
              </w:rPr>
              <w:t>全国肾脏病临床医学研究中心协同研究</w:t>
            </w:r>
          </w:p>
        </w:tc>
        <w:tc>
          <w:tcPr>
            <w:tcW w:w="4588" w:type="dxa"/>
            <w:vAlign w:val="center"/>
          </w:tcPr>
          <w:p>
            <w:pPr>
              <w:spacing w:line="360" w:lineRule="auto"/>
              <w:rPr>
                <w:rFonts w:ascii="宋体" w:hAnsi="宋体" w:cs="宋体"/>
                <w:color w:val="000000"/>
              </w:rPr>
            </w:pPr>
            <w:r>
              <w:rPr>
                <w:rFonts w:hint="eastAsia" w:ascii="宋体" w:hAnsi="宋体" w:cs="宋体"/>
                <w:color w:val="000000"/>
              </w:rPr>
              <w:t>投标人具有建设全国肾脏疾病临床研究中心血液净化数据管理系统及其血液净化数据管理协同研究系统的经验。提供合作协议证明者得5分，未提供者不得分。（提供复件印，加盖公章。）</w:t>
            </w:r>
          </w:p>
        </w:tc>
        <w:tc>
          <w:tcPr>
            <w:tcW w:w="775" w:type="dxa"/>
            <w:vAlign w:val="center"/>
          </w:tcPr>
          <w:p>
            <w:pPr>
              <w:spacing w:line="360" w:lineRule="auto"/>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3" w:type="dxa"/>
            <w:vMerge w:val="continue"/>
            <w:vAlign w:val="center"/>
          </w:tcPr>
          <w:p>
            <w:pPr>
              <w:spacing w:line="360" w:lineRule="auto"/>
              <w:rPr>
                <w:rFonts w:ascii="楷体_GB2312" w:hAnsi="宋体" w:eastAsia="楷体_GB2312"/>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设备联机</w:t>
            </w:r>
          </w:p>
        </w:tc>
        <w:tc>
          <w:tcPr>
            <w:tcW w:w="4588" w:type="dxa"/>
            <w:vAlign w:val="center"/>
          </w:tcPr>
          <w:p>
            <w:pPr>
              <w:rPr>
                <w:rFonts w:ascii="宋体" w:hAnsi="宋体"/>
                <w:color w:val="000000"/>
                <w:szCs w:val="21"/>
              </w:rPr>
            </w:pPr>
            <w:r>
              <w:rPr>
                <w:rFonts w:hint="eastAsia" w:ascii="宋体" w:hAnsi="宋体"/>
                <w:color w:val="000000"/>
                <w:szCs w:val="21"/>
              </w:rPr>
              <w:t>提供在某一家三甲医院同时实现主流设备机型的联机与数据采集的使用证明文件(需盖医院公章)，需包括标书中要求的主流机型贝朗、金宝、费森、日机装、东丽品牌。需要提供临床主任、护士长和信息科科长的手机号码及座机号码，供专家现场电联确认。提供者得2分。（1、在多家医院分别实现联机者不得分。2、需提供该</w:t>
            </w:r>
            <w:r>
              <w:rPr>
                <w:rFonts w:ascii="宋体" w:hAnsi="宋体"/>
                <w:color w:val="000000"/>
                <w:szCs w:val="21"/>
              </w:rPr>
              <w:t>三甲</w:t>
            </w:r>
            <w:r>
              <w:rPr>
                <w:rFonts w:hint="eastAsia" w:ascii="宋体" w:hAnsi="宋体"/>
                <w:color w:val="000000"/>
                <w:szCs w:val="21"/>
              </w:rPr>
              <w:t>医院</w:t>
            </w:r>
            <w:r>
              <w:rPr>
                <w:rFonts w:ascii="宋体" w:hAnsi="宋体"/>
                <w:color w:val="000000"/>
                <w:szCs w:val="21"/>
              </w:rPr>
              <w:t>的中标公告</w:t>
            </w:r>
            <w:r>
              <w:rPr>
                <w:rFonts w:hint="eastAsia" w:ascii="宋体" w:hAnsi="宋体"/>
                <w:color w:val="000000"/>
                <w:szCs w:val="21"/>
              </w:rPr>
              <w:t>（提供网址</w:t>
            </w:r>
            <w:r>
              <w:rPr>
                <w:rFonts w:ascii="宋体" w:hAnsi="宋体"/>
                <w:color w:val="000000"/>
                <w:szCs w:val="21"/>
              </w:rPr>
              <w:t>备查</w:t>
            </w:r>
            <w:r>
              <w:rPr>
                <w:rFonts w:hint="eastAsia" w:ascii="宋体" w:hAnsi="宋体"/>
                <w:color w:val="000000"/>
                <w:szCs w:val="21"/>
              </w:rPr>
              <w:t>）、合同及</w:t>
            </w:r>
            <w:r>
              <w:rPr>
                <w:rFonts w:ascii="宋体" w:hAnsi="宋体"/>
                <w:color w:val="000000"/>
                <w:szCs w:val="21"/>
              </w:rPr>
              <w:t>验收报告</w:t>
            </w:r>
            <w:r>
              <w:rPr>
                <w:rFonts w:hint="eastAsia" w:ascii="宋体" w:hAnsi="宋体"/>
                <w:color w:val="000000"/>
                <w:szCs w:val="21"/>
              </w:rPr>
              <w:t>复印件，缺失</w:t>
            </w:r>
            <w:r>
              <w:rPr>
                <w:rFonts w:ascii="宋体" w:hAnsi="宋体"/>
                <w:color w:val="000000"/>
                <w:szCs w:val="21"/>
              </w:rPr>
              <w:t>一项</w:t>
            </w:r>
            <w:r>
              <w:rPr>
                <w:rFonts w:hint="eastAsia" w:ascii="宋体" w:hAnsi="宋体"/>
                <w:color w:val="000000"/>
                <w:szCs w:val="21"/>
              </w:rPr>
              <w:t>该</w:t>
            </w:r>
            <w:r>
              <w:rPr>
                <w:rFonts w:ascii="宋体" w:hAnsi="宋体"/>
                <w:color w:val="000000"/>
                <w:szCs w:val="21"/>
              </w:rPr>
              <w:t>内容不得分</w:t>
            </w:r>
            <w:r>
              <w:rPr>
                <w:rFonts w:hint="eastAsia" w:ascii="宋体" w:hAnsi="宋体"/>
                <w:color w:val="000000"/>
                <w:szCs w:val="21"/>
              </w:rPr>
              <w:t>。）</w:t>
            </w:r>
          </w:p>
        </w:tc>
        <w:tc>
          <w:tcPr>
            <w:tcW w:w="775" w:type="dxa"/>
            <w:vAlign w:val="center"/>
          </w:tcPr>
          <w:p>
            <w:pPr>
              <w:spacing w:line="360" w:lineRule="auto"/>
              <w:jc w:val="center"/>
              <w:rPr>
                <w:rFonts w:ascii="宋体" w:hAnsi="宋体"/>
              </w:rPr>
            </w:pPr>
            <w:r>
              <w:rPr>
                <w:rFonts w:hint="eastAsia" w:ascii="宋体" w:hAnsi="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3" w:type="dxa"/>
            <w:vMerge w:val="continue"/>
            <w:vAlign w:val="center"/>
          </w:tcPr>
          <w:p>
            <w:pPr>
              <w:spacing w:line="360" w:lineRule="auto"/>
              <w:jc w:val="center"/>
              <w:rPr>
                <w:rFonts w:ascii="楷体_GB2312" w:hAnsi="宋体" w:eastAsia="楷体_GB2312"/>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专利产权</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能提供血透智能系统相关的自主知识产权专利证书（含已被知识产权局受理的初审合格书）者，列出7~10项得3分，列出4~6项得2分，低于4项得0分。（非血透系统专利证书无效）。</w:t>
            </w:r>
          </w:p>
        </w:tc>
        <w:tc>
          <w:tcPr>
            <w:tcW w:w="775" w:type="dxa"/>
            <w:vAlign w:val="center"/>
          </w:tcPr>
          <w:p>
            <w:pPr>
              <w:spacing w:line="360" w:lineRule="auto"/>
              <w:jc w:val="center"/>
              <w:rPr>
                <w:rFonts w:ascii="宋体" w:hAnsi="宋体"/>
              </w:rPr>
            </w:pPr>
            <w:r>
              <w:rPr>
                <w:rFonts w:hint="eastAsia" w:ascii="宋体" w:hAnsi="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593" w:type="dxa"/>
            <w:vMerge w:val="restart"/>
            <w:vAlign w:val="center"/>
          </w:tcPr>
          <w:p>
            <w:pPr>
              <w:spacing w:line="360" w:lineRule="auto"/>
              <w:rPr>
                <w:rFonts w:ascii="楷体" w:hAnsi="楷体" w:eastAsia="楷体"/>
              </w:rPr>
            </w:pPr>
            <w:r>
              <w:rPr>
                <w:rFonts w:hint="eastAsia" w:ascii="楷体" w:hAnsi="楷体" w:eastAsia="楷体"/>
              </w:rPr>
              <w:t>技术部分</w:t>
            </w:r>
          </w:p>
          <w:p>
            <w:pPr>
              <w:spacing w:line="360" w:lineRule="auto"/>
              <w:rPr>
                <w:rFonts w:ascii="楷体" w:hAnsi="楷体" w:eastAsia="楷体"/>
              </w:rPr>
            </w:pPr>
            <w:r>
              <w:rPr>
                <w:rFonts w:hint="eastAsia" w:ascii="楷体" w:hAnsi="楷体" w:eastAsia="楷体"/>
              </w:rPr>
              <w:t>（50分）</w:t>
            </w:r>
          </w:p>
          <w:p>
            <w:pPr>
              <w:spacing w:line="360" w:lineRule="auto"/>
              <w:ind w:firstLine="630" w:firstLineChars="300"/>
              <w:rPr>
                <w:rFonts w:ascii="楷体" w:hAnsi="楷体" w:eastAsia="楷体"/>
              </w:rPr>
            </w:pPr>
          </w:p>
        </w:tc>
        <w:tc>
          <w:tcPr>
            <w:tcW w:w="2268" w:type="dxa"/>
            <w:vAlign w:val="center"/>
          </w:tcPr>
          <w:p>
            <w:pPr>
              <w:spacing w:line="360" w:lineRule="auto"/>
              <w:jc w:val="center"/>
              <w:rPr>
                <w:rFonts w:ascii="宋体" w:hAnsi="宋体"/>
                <w:color w:val="000000"/>
              </w:rPr>
            </w:pPr>
            <w:r>
              <w:rPr>
                <w:rFonts w:hint="eastAsia" w:ascii="宋体" w:hAnsi="宋体"/>
                <w:color w:val="000000"/>
              </w:rPr>
              <w:t>界面友好性</w:t>
            </w:r>
          </w:p>
        </w:tc>
        <w:tc>
          <w:tcPr>
            <w:tcW w:w="4588" w:type="dxa"/>
            <w:vAlign w:val="center"/>
          </w:tcPr>
          <w:p>
            <w:pPr>
              <w:spacing w:line="360" w:lineRule="auto"/>
              <w:rPr>
                <w:rFonts w:ascii="宋体" w:hAnsi="宋体" w:cs="宋体"/>
                <w:color w:val="000000"/>
                <w:szCs w:val="21"/>
              </w:rPr>
            </w:pPr>
            <w:r>
              <w:rPr>
                <w:rFonts w:hint="eastAsia" w:ascii="宋体" w:hAnsi="宋体" w:cs="宋体"/>
                <w:color w:val="000000"/>
                <w:szCs w:val="21"/>
              </w:rPr>
              <w:t>系统界面友好，布局合理，色彩、板块搭配协调一致，优秀得5分，一般得3分，较差的得</w:t>
            </w:r>
            <w:r>
              <w:rPr>
                <w:rFonts w:ascii="宋体" w:hAnsi="宋体" w:cs="宋体"/>
                <w:color w:val="000000"/>
                <w:szCs w:val="21"/>
              </w:rPr>
              <w:t>1</w:t>
            </w:r>
            <w:r>
              <w:rPr>
                <w:rFonts w:hint="eastAsia" w:ascii="宋体" w:hAnsi="宋体" w:cs="宋体"/>
                <w:color w:val="000000"/>
                <w:szCs w:val="21"/>
              </w:rPr>
              <w:t>分。</w:t>
            </w:r>
          </w:p>
        </w:tc>
        <w:tc>
          <w:tcPr>
            <w:tcW w:w="775" w:type="dxa"/>
            <w:vAlign w:val="center"/>
          </w:tcPr>
          <w:p>
            <w:pPr>
              <w:spacing w:line="360" w:lineRule="auto"/>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3" w:type="dxa"/>
            <w:vMerge w:val="continue"/>
            <w:vAlign w:val="center"/>
          </w:tcPr>
          <w:p>
            <w:pPr>
              <w:spacing w:line="360" w:lineRule="auto"/>
              <w:ind w:firstLine="630" w:firstLineChars="300"/>
              <w:rPr>
                <w:rFonts w:ascii="楷体" w:hAnsi="楷体" w:eastAsia="楷体"/>
              </w:rPr>
            </w:pPr>
          </w:p>
        </w:tc>
        <w:tc>
          <w:tcPr>
            <w:tcW w:w="2268" w:type="dxa"/>
            <w:vAlign w:val="center"/>
          </w:tcPr>
          <w:p>
            <w:pPr>
              <w:spacing w:line="360" w:lineRule="auto"/>
              <w:jc w:val="center"/>
              <w:rPr>
                <w:rFonts w:ascii="宋体" w:hAnsi="宋体"/>
                <w:color w:val="000000"/>
              </w:rPr>
            </w:pPr>
            <w:r>
              <w:rPr>
                <w:rFonts w:hint="eastAsia" w:ascii="宋体" w:hAnsi="宋体"/>
                <w:color w:val="000000"/>
              </w:rPr>
              <w:t>操作舒适度</w:t>
            </w:r>
          </w:p>
        </w:tc>
        <w:tc>
          <w:tcPr>
            <w:tcW w:w="4588" w:type="dxa"/>
            <w:vAlign w:val="center"/>
          </w:tcPr>
          <w:p>
            <w:pPr>
              <w:spacing w:line="360" w:lineRule="auto"/>
              <w:rPr>
                <w:rFonts w:ascii="宋体" w:hAnsi="宋体" w:cs="宋体"/>
                <w:color w:val="000000"/>
                <w:szCs w:val="21"/>
              </w:rPr>
            </w:pPr>
            <w:r>
              <w:rPr>
                <w:rFonts w:hint="eastAsia" w:ascii="宋体" w:hAnsi="宋体"/>
                <w:color w:val="000000"/>
              </w:rPr>
              <w:t>系统具有简易的操作界面，较好的整体性、先进性、易用性特点，</w:t>
            </w:r>
            <w:r>
              <w:rPr>
                <w:rFonts w:hint="eastAsia" w:ascii="宋体" w:hAnsi="宋体" w:cs="宋体"/>
                <w:color w:val="000000"/>
                <w:szCs w:val="21"/>
              </w:rPr>
              <w:t>符合临床日常应用习惯，优秀得5分，一般得3分，较差的得</w:t>
            </w:r>
            <w:r>
              <w:rPr>
                <w:rFonts w:ascii="宋体" w:hAnsi="宋体" w:cs="宋体"/>
                <w:color w:val="000000"/>
                <w:szCs w:val="21"/>
              </w:rPr>
              <w:t>1</w:t>
            </w:r>
            <w:r>
              <w:rPr>
                <w:rFonts w:hint="eastAsia" w:ascii="宋体" w:hAnsi="宋体" w:cs="宋体"/>
                <w:color w:val="000000"/>
                <w:szCs w:val="21"/>
              </w:rPr>
              <w:t>分。</w:t>
            </w:r>
          </w:p>
        </w:tc>
        <w:tc>
          <w:tcPr>
            <w:tcW w:w="775" w:type="dxa"/>
            <w:vAlign w:val="center"/>
          </w:tcPr>
          <w:p>
            <w:pPr>
              <w:spacing w:line="360" w:lineRule="auto"/>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3" w:type="dxa"/>
            <w:vMerge w:val="continue"/>
            <w:vAlign w:val="center"/>
          </w:tcPr>
          <w:p>
            <w:pPr>
              <w:spacing w:line="360" w:lineRule="auto"/>
              <w:jc w:val="center"/>
              <w:rPr>
                <w:rFonts w:ascii="楷体_GB2312" w:hAnsi="宋体" w:eastAsia="楷体_GB2312"/>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关键技术指标响应</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招标文件要求中，“★”号的条款均为必要的关键技术指标，负偏离一项扣5分； 非“★”号的条款，负偏离一项扣</w:t>
            </w:r>
            <w:r>
              <w:rPr>
                <w:rFonts w:ascii="宋体" w:hAnsi="宋体"/>
                <w:color w:val="000000"/>
                <w:szCs w:val="21"/>
              </w:rPr>
              <w:t>2</w:t>
            </w:r>
            <w:r>
              <w:rPr>
                <w:rFonts w:hint="eastAsia" w:ascii="宋体" w:hAnsi="宋体"/>
                <w:color w:val="000000"/>
                <w:szCs w:val="21"/>
              </w:rPr>
              <w:t>分，扣完</w:t>
            </w:r>
            <w:r>
              <w:rPr>
                <w:rFonts w:ascii="宋体" w:hAnsi="宋体"/>
                <w:color w:val="000000"/>
                <w:szCs w:val="21"/>
              </w:rPr>
              <w:t>为止。</w:t>
            </w:r>
            <w:r>
              <w:rPr>
                <w:rFonts w:hint="eastAsia" w:ascii="宋体" w:hAnsi="宋体"/>
                <w:color w:val="000000"/>
                <w:szCs w:val="21"/>
              </w:rPr>
              <w:t>最高得25分</w:t>
            </w:r>
            <w:r>
              <w:rPr>
                <w:rFonts w:ascii="宋体" w:hAnsi="宋体"/>
                <w:color w:val="000000"/>
                <w:szCs w:val="21"/>
              </w:rPr>
              <w:t>。</w:t>
            </w:r>
          </w:p>
        </w:tc>
        <w:tc>
          <w:tcPr>
            <w:tcW w:w="775" w:type="dxa"/>
            <w:vAlign w:val="center"/>
          </w:tcPr>
          <w:p>
            <w:pPr>
              <w:spacing w:line="360" w:lineRule="auto"/>
              <w:jc w:val="center"/>
              <w:rPr>
                <w:rFonts w:ascii="宋体" w:hAnsi="宋体"/>
              </w:rPr>
            </w:pPr>
            <w:r>
              <w:rPr>
                <w:rFonts w:hint="eastAsia" w:ascii="宋体" w:hAnsi="宋体"/>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93" w:type="dxa"/>
            <w:vMerge w:val="continue"/>
            <w:vAlign w:val="center"/>
          </w:tcPr>
          <w:p>
            <w:pPr>
              <w:spacing w:line="360" w:lineRule="auto"/>
              <w:jc w:val="center"/>
              <w:rPr>
                <w:rFonts w:ascii="楷体_GB2312" w:hAnsi="宋体" w:eastAsia="楷体_GB2312"/>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系统兼容性</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能更好兼容全院信息化的需要，满足多平台多数据库运行需要，提供一种数据库和一种操作系统得2分，提供一种数据库两种操作系统或两种数据库一种操作系统得3分，支持两种数据库两种操作系统及以上的得5分。</w:t>
            </w:r>
          </w:p>
        </w:tc>
        <w:tc>
          <w:tcPr>
            <w:tcW w:w="775" w:type="dxa"/>
            <w:vAlign w:val="center"/>
          </w:tcPr>
          <w:p>
            <w:pPr>
              <w:spacing w:line="360" w:lineRule="auto"/>
              <w:jc w:val="center"/>
              <w:rPr>
                <w:rFonts w:ascii="宋体" w:hAnsi="宋体"/>
              </w:rPr>
            </w:pPr>
            <w:r>
              <w:rPr>
                <w:rFonts w:hint="eastAsia" w:ascii="宋体" w:hAnsi="宋体"/>
              </w:rPr>
              <w:t>5</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93" w:type="dxa"/>
            <w:vMerge w:val="continue"/>
            <w:vAlign w:val="center"/>
          </w:tcPr>
          <w:p>
            <w:pPr>
              <w:spacing w:line="360" w:lineRule="auto"/>
              <w:jc w:val="center"/>
              <w:rPr>
                <w:rFonts w:ascii="楷体_GB2312" w:hAnsi="宋体" w:eastAsia="楷体_GB2312"/>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方案完整性及整体功能满足度</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投标人提供的整体解决方案且能够深刻理解科室的需求并系统能够高度满足，关键技术指标描述详细，与医院现有信息化系统集成并交互优秀者得5分，一般者得3分，较差者得1分。</w:t>
            </w:r>
          </w:p>
        </w:tc>
        <w:tc>
          <w:tcPr>
            <w:tcW w:w="775" w:type="dxa"/>
            <w:vAlign w:val="center"/>
          </w:tcPr>
          <w:p>
            <w:pPr>
              <w:spacing w:line="360" w:lineRule="auto"/>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593" w:type="dxa"/>
            <w:vMerge w:val="continue"/>
            <w:vAlign w:val="center"/>
          </w:tcPr>
          <w:p>
            <w:pPr>
              <w:spacing w:line="360" w:lineRule="auto"/>
              <w:rPr>
                <w:rFonts w:ascii="楷体" w:hAnsi="楷体" w:eastAsia="楷体"/>
              </w:rPr>
            </w:pPr>
          </w:p>
        </w:tc>
        <w:tc>
          <w:tcPr>
            <w:tcW w:w="2268" w:type="dxa"/>
            <w:vAlign w:val="center"/>
          </w:tcPr>
          <w:p>
            <w:pPr>
              <w:spacing w:line="360" w:lineRule="auto"/>
              <w:jc w:val="center"/>
              <w:rPr>
                <w:rFonts w:ascii="宋体" w:hAnsi="宋体"/>
                <w:color w:val="000000"/>
                <w:szCs w:val="21"/>
              </w:rPr>
            </w:pPr>
            <w:r>
              <w:rPr>
                <w:rFonts w:hint="eastAsia" w:ascii="宋体" w:hAnsi="宋体"/>
                <w:color w:val="000000"/>
                <w:szCs w:val="21"/>
              </w:rPr>
              <w:t>售后维护方案</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有合理的售后维护方案，按售后服务方案的优良性，良好得5分，一般得3分，较差得1分。</w:t>
            </w:r>
          </w:p>
        </w:tc>
        <w:tc>
          <w:tcPr>
            <w:tcW w:w="775" w:type="dxa"/>
            <w:vAlign w:val="center"/>
          </w:tcPr>
          <w:p>
            <w:pPr>
              <w:spacing w:line="360" w:lineRule="auto"/>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861" w:type="dxa"/>
            <w:gridSpan w:val="2"/>
            <w:vAlign w:val="center"/>
          </w:tcPr>
          <w:p>
            <w:pPr>
              <w:spacing w:line="360" w:lineRule="auto"/>
              <w:jc w:val="center"/>
              <w:rPr>
                <w:rFonts w:ascii="宋体" w:hAnsi="宋体"/>
                <w:color w:val="000000"/>
                <w:szCs w:val="21"/>
              </w:rPr>
            </w:pPr>
            <w:r>
              <w:rPr>
                <w:rFonts w:hint="eastAsia" w:ascii="楷体" w:hAnsi="楷体" w:eastAsia="楷体"/>
              </w:rPr>
              <w:t>企业信用（5分）</w:t>
            </w:r>
          </w:p>
        </w:tc>
        <w:tc>
          <w:tcPr>
            <w:tcW w:w="4588" w:type="dxa"/>
            <w:vAlign w:val="center"/>
          </w:tcPr>
          <w:p>
            <w:pPr>
              <w:spacing w:line="360" w:lineRule="auto"/>
              <w:rPr>
                <w:rFonts w:ascii="宋体" w:hAnsi="宋体"/>
                <w:color w:val="000000"/>
                <w:szCs w:val="21"/>
              </w:rPr>
            </w:pPr>
            <w:r>
              <w:rPr>
                <w:rFonts w:hint="eastAsia" w:ascii="宋体" w:hAnsi="宋体"/>
                <w:color w:val="000000"/>
                <w:szCs w:val="21"/>
              </w:rPr>
              <w:t>企业在信用中及政府采购网无</w:t>
            </w:r>
            <w:r>
              <w:rPr>
                <w:rFonts w:hint="eastAsia"/>
              </w:rPr>
              <w:t>被列入失信被执行人、重大税收违法案件当事人名单、政府采购严重违法失信行为记录的得5分。</w:t>
            </w:r>
          </w:p>
        </w:tc>
        <w:tc>
          <w:tcPr>
            <w:tcW w:w="775" w:type="dxa"/>
            <w:vAlign w:val="center"/>
          </w:tcPr>
          <w:p>
            <w:pPr>
              <w:spacing w:line="360" w:lineRule="auto"/>
              <w:jc w:val="center"/>
              <w:rPr>
                <w:rFonts w:ascii="宋体" w:hAnsi="宋体"/>
              </w:rPr>
            </w:pPr>
            <w:r>
              <w:rPr>
                <w:rFonts w:hint="eastAsia" w:ascii="宋体" w:hAnsi="宋体"/>
              </w:rPr>
              <w:t>5分</w:t>
            </w:r>
          </w:p>
        </w:tc>
      </w:tr>
    </w:tbl>
    <w:p>
      <w:pPr>
        <w:spacing w:after="468"/>
        <w:jc w:val="left"/>
        <w:rPr>
          <w:rFonts w:ascii="仿宋_GB2312" w:hAnsi="宋体" w:eastAsia="仿宋_GB2312"/>
          <w:b/>
          <w:sz w:val="24"/>
          <w:szCs w:val="24"/>
        </w:rPr>
      </w:pPr>
    </w:p>
    <w:p>
      <w:pPr>
        <w:spacing w:after="468"/>
        <w:jc w:val="center"/>
        <w:rPr>
          <w:b/>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cs="宋体"/>
        <w:u w:val="single"/>
      </w:rPr>
      <w:t>项目名称：</w:t>
    </w:r>
    <w:r>
      <w:rPr>
        <w:rFonts w:hint="eastAsia" w:ascii="宋体" w:hAnsi="宋体"/>
        <w:u w:val="single"/>
      </w:rPr>
      <w:t>广西桂东人民医血透系统采购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40E24"/>
    <w:multiLevelType w:val="multilevel"/>
    <w:tmpl w:val="E1E40E2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81C50D2"/>
    <w:multiLevelType w:val="multilevel"/>
    <w:tmpl w:val="081C50D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9A21C5C"/>
    <w:multiLevelType w:val="multilevel"/>
    <w:tmpl w:val="19A21C5C"/>
    <w:lvl w:ilvl="0" w:tentative="0">
      <w:start w:val="1"/>
      <w:numFmt w:val="decimal"/>
      <w:suff w:val="space"/>
      <w:lvlText w:val="%1."/>
      <w:lvlJc w:val="left"/>
      <w:pPr>
        <w:ind w:left="420" w:hanging="420"/>
      </w:pPr>
      <w:rPr>
        <w:rFonts w:hint="eastAsia" w:eastAsia="仿宋_GB2312"/>
        <w:b/>
        <w:i w:val="0"/>
        <w:snapToGrid w:val="0"/>
        <w:spacing w:val="0"/>
        <w:w w:val="100"/>
        <w:position w:val="0"/>
        <w:sz w:val="24"/>
      </w:rPr>
    </w:lvl>
    <w:lvl w:ilvl="1" w:tentative="0">
      <w:start w:val="1"/>
      <w:numFmt w:val="decimal"/>
      <w:pStyle w:val="71"/>
      <w:suff w:val="space"/>
      <w:lvlText w:val="%1.%2"/>
      <w:lvlJc w:val="left"/>
      <w:pPr>
        <w:ind w:left="562" w:hanging="562"/>
      </w:pPr>
      <w:rPr>
        <w:rFonts w:hint="eastAsia"/>
        <w:b/>
      </w:rPr>
    </w:lvl>
    <w:lvl w:ilvl="2" w:tentative="0">
      <w:start w:val="1"/>
      <w:numFmt w:val="decimal"/>
      <w:pStyle w:val="73"/>
      <w:suff w:val="space"/>
      <w:lvlText w:val="%1.%2.%3."/>
      <w:lvlJc w:val="right"/>
      <w:pPr>
        <w:ind w:left="454" w:firstLine="397"/>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19D6FCF"/>
    <w:multiLevelType w:val="multilevel"/>
    <w:tmpl w:val="419D6FCF"/>
    <w:lvl w:ilvl="0" w:tentative="0">
      <w:start w:val="1"/>
      <w:numFmt w:val="none"/>
      <w:pStyle w:val="58"/>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19"/>
    <w:rsid w:val="00041C17"/>
    <w:rsid w:val="0004400F"/>
    <w:rsid w:val="000633EA"/>
    <w:rsid w:val="00067ADD"/>
    <w:rsid w:val="000D43D5"/>
    <w:rsid w:val="000F189F"/>
    <w:rsid w:val="00114C94"/>
    <w:rsid w:val="001551D9"/>
    <w:rsid w:val="00177D5D"/>
    <w:rsid w:val="001A07DE"/>
    <w:rsid w:val="001A58D9"/>
    <w:rsid w:val="001E6E75"/>
    <w:rsid w:val="00202028"/>
    <w:rsid w:val="00251A0F"/>
    <w:rsid w:val="0026137A"/>
    <w:rsid w:val="0027012D"/>
    <w:rsid w:val="0027622A"/>
    <w:rsid w:val="002A65D5"/>
    <w:rsid w:val="002A7A2D"/>
    <w:rsid w:val="002C555C"/>
    <w:rsid w:val="002C7BBC"/>
    <w:rsid w:val="002E009B"/>
    <w:rsid w:val="00324693"/>
    <w:rsid w:val="00366F80"/>
    <w:rsid w:val="00396389"/>
    <w:rsid w:val="003D57BC"/>
    <w:rsid w:val="00404F0D"/>
    <w:rsid w:val="00405121"/>
    <w:rsid w:val="004213DB"/>
    <w:rsid w:val="00431435"/>
    <w:rsid w:val="0046256F"/>
    <w:rsid w:val="004670D0"/>
    <w:rsid w:val="004C4D30"/>
    <w:rsid w:val="004D4380"/>
    <w:rsid w:val="004D7DAD"/>
    <w:rsid w:val="004E138E"/>
    <w:rsid w:val="004F43EC"/>
    <w:rsid w:val="004F7B10"/>
    <w:rsid w:val="00520DDA"/>
    <w:rsid w:val="00545AA1"/>
    <w:rsid w:val="0055780B"/>
    <w:rsid w:val="005621FD"/>
    <w:rsid w:val="005A031F"/>
    <w:rsid w:val="005D309B"/>
    <w:rsid w:val="00620BB6"/>
    <w:rsid w:val="006415D7"/>
    <w:rsid w:val="0067080A"/>
    <w:rsid w:val="0067126D"/>
    <w:rsid w:val="006872B8"/>
    <w:rsid w:val="006B1ECB"/>
    <w:rsid w:val="006E77BB"/>
    <w:rsid w:val="007130A2"/>
    <w:rsid w:val="0073584F"/>
    <w:rsid w:val="00750EFA"/>
    <w:rsid w:val="00765D3B"/>
    <w:rsid w:val="007810F5"/>
    <w:rsid w:val="007825E7"/>
    <w:rsid w:val="00806CB1"/>
    <w:rsid w:val="00810731"/>
    <w:rsid w:val="00822393"/>
    <w:rsid w:val="00823568"/>
    <w:rsid w:val="0085286D"/>
    <w:rsid w:val="0087219A"/>
    <w:rsid w:val="008A4D7E"/>
    <w:rsid w:val="008A68F7"/>
    <w:rsid w:val="008D319C"/>
    <w:rsid w:val="008E2EE7"/>
    <w:rsid w:val="008F043E"/>
    <w:rsid w:val="00913A3F"/>
    <w:rsid w:val="0092348B"/>
    <w:rsid w:val="00925AFA"/>
    <w:rsid w:val="009371FC"/>
    <w:rsid w:val="009440A2"/>
    <w:rsid w:val="009518D8"/>
    <w:rsid w:val="009633C7"/>
    <w:rsid w:val="00983A2B"/>
    <w:rsid w:val="00995054"/>
    <w:rsid w:val="00A030D3"/>
    <w:rsid w:val="00A0434F"/>
    <w:rsid w:val="00A30B79"/>
    <w:rsid w:val="00A81964"/>
    <w:rsid w:val="00A81E7E"/>
    <w:rsid w:val="00AA6256"/>
    <w:rsid w:val="00AC1219"/>
    <w:rsid w:val="00B13DA1"/>
    <w:rsid w:val="00B35500"/>
    <w:rsid w:val="00B45AD1"/>
    <w:rsid w:val="00BC18F4"/>
    <w:rsid w:val="00BC6C1B"/>
    <w:rsid w:val="00C03DEC"/>
    <w:rsid w:val="00C1573A"/>
    <w:rsid w:val="00C67F21"/>
    <w:rsid w:val="00CB2E06"/>
    <w:rsid w:val="00CB3B24"/>
    <w:rsid w:val="00D31F36"/>
    <w:rsid w:val="00D3777D"/>
    <w:rsid w:val="00D538CE"/>
    <w:rsid w:val="00D91096"/>
    <w:rsid w:val="00D972BA"/>
    <w:rsid w:val="00DC3F71"/>
    <w:rsid w:val="00E3045F"/>
    <w:rsid w:val="00E45311"/>
    <w:rsid w:val="00E50D62"/>
    <w:rsid w:val="00E60368"/>
    <w:rsid w:val="00E8779D"/>
    <w:rsid w:val="00EA25E7"/>
    <w:rsid w:val="00F01818"/>
    <w:rsid w:val="00F41AAA"/>
    <w:rsid w:val="00F559CE"/>
    <w:rsid w:val="00F65E1C"/>
    <w:rsid w:val="00F75CEF"/>
    <w:rsid w:val="00F85E74"/>
    <w:rsid w:val="0174662D"/>
    <w:rsid w:val="039F717D"/>
    <w:rsid w:val="067E7D43"/>
    <w:rsid w:val="075A626B"/>
    <w:rsid w:val="0D6E0B0D"/>
    <w:rsid w:val="15405BB2"/>
    <w:rsid w:val="154F3073"/>
    <w:rsid w:val="15CC0A50"/>
    <w:rsid w:val="17346E59"/>
    <w:rsid w:val="1B0B5A92"/>
    <w:rsid w:val="1B31009E"/>
    <w:rsid w:val="1D7D0F06"/>
    <w:rsid w:val="1ECF45B2"/>
    <w:rsid w:val="24CB684E"/>
    <w:rsid w:val="26674736"/>
    <w:rsid w:val="26B507A5"/>
    <w:rsid w:val="295B7642"/>
    <w:rsid w:val="2F29451C"/>
    <w:rsid w:val="30624282"/>
    <w:rsid w:val="30662F6D"/>
    <w:rsid w:val="313D5207"/>
    <w:rsid w:val="32B955D1"/>
    <w:rsid w:val="35DB1E99"/>
    <w:rsid w:val="3FEF6603"/>
    <w:rsid w:val="46A623BD"/>
    <w:rsid w:val="4A904DAF"/>
    <w:rsid w:val="4C8F6EA5"/>
    <w:rsid w:val="4F5162B8"/>
    <w:rsid w:val="51BD7CBE"/>
    <w:rsid w:val="52D6530B"/>
    <w:rsid w:val="548B7B4D"/>
    <w:rsid w:val="559F3514"/>
    <w:rsid w:val="5C507F9D"/>
    <w:rsid w:val="5C5D3BE3"/>
    <w:rsid w:val="62333130"/>
    <w:rsid w:val="637F4E9D"/>
    <w:rsid w:val="662761D8"/>
    <w:rsid w:val="6B05220A"/>
    <w:rsid w:val="6B533FF5"/>
    <w:rsid w:val="6BDD6B79"/>
    <w:rsid w:val="6D4F5310"/>
    <w:rsid w:val="6E510731"/>
    <w:rsid w:val="6F4D48BE"/>
    <w:rsid w:val="73164F26"/>
    <w:rsid w:val="7F1E07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uiPriority="99" w:name="footnote text"/>
    <w:lsdException w:qFormat="1" w:unhideWhenUsed="0"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9"/>
    <w:pPr>
      <w:keepNext/>
      <w:spacing w:line="240" w:lineRule="exact"/>
      <w:jc w:val="center"/>
      <w:outlineLvl w:val="1"/>
    </w:pPr>
    <w:rPr>
      <w:rFonts w:ascii="Times New Roman" w:hAnsi="Times New Roman" w:eastAsia="宋体" w:cs="Times New Roman"/>
      <w:sz w:val="28"/>
      <w:szCs w:val="24"/>
    </w:rPr>
  </w:style>
  <w:style w:type="paragraph" w:styleId="4">
    <w:name w:val="heading 3"/>
    <w:basedOn w:val="1"/>
    <w:next w:val="1"/>
    <w:link w:val="3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65"/>
    <w:semiHidden/>
    <w:qFormat/>
    <w:uiPriority w:val="0"/>
    <w:rPr>
      <w:b/>
      <w:bCs/>
    </w:rPr>
  </w:style>
  <w:style w:type="paragraph" w:styleId="6">
    <w:name w:val="annotation text"/>
    <w:basedOn w:val="1"/>
    <w:link w:val="64"/>
    <w:semiHidden/>
    <w:qFormat/>
    <w:uiPriority w:val="0"/>
    <w:pPr>
      <w:jc w:val="left"/>
    </w:pPr>
    <w:rPr>
      <w:rFonts w:hint="eastAsia" w:ascii="Times New Roman" w:hAnsi="Times New Roman" w:eastAsia="宋体" w:cs="Times New Roman"/>
      <w:szCs w:val="20"/>
    </w:rPr>
  </w:style>
  <w:style w:type="paragraph" w:styleId="7">
    <w:name w:val="toc 7"/>
    <w:basedOn w:val="1"/>
    <w:next w:val="1"/>
    <w:semiHidden/>
    <w:qFormat/>
    <w:uiPriority w:val="0"/>
    <w:pPr>
      <w:ind w:left="1260"/>
      <w:jc w:val="left"/>
    </w:pPr>
    <w:rPr>
      <w:rFonts w:hint="eastAsia" w:ascii="Times New Roman" w:hAnsi="Times New Roman" w:eastAsia="宋体" w:cs="Times New Roman"/>
      <w:sz w:val="18"/>
      <w:szCs w:val="18"/>
    </w:rPr>
  </w:style>
  <w:style w:type="paragraph" w:styleId="8">
    <w:name w:val="Body Text First Indent"/>
    <w:basedOn w:val="9"/>
    <w:link w:val="81"/>
    <w:semiHidden/>
    <w:unhideWhenUsed/>
    <w:uiPriority w:val="99"/>
    <w:pPr>
      <w:ind w:firstLine="420" w:firstLineChars="100"/>
    </w:pPr>
  </w:style>
  <w:style w:type="paragraph" w:styleId="9">
    <w:name w:val="Body Text"/>
    <w:basedOn w:val="1"/>
    <w:link w:val="80"/>
    <w:semiHidden/>
    <w:unhideWhenUsed/>
    <w:qFormat/>
    <w:uiPriority w:val="99"/>
    <w:pPr>
      <w:widowControl/>
      <w:spacing w:before="100" w:beforeAutospacing="1" w:afterLines="150" w:line="360" w:lineRule="auto"/>
      <w:ind w:firstLine="200" w:firstLineChars="200"/>
    </w:pPr>
    <w:rPr>
      <w:rFonts w:ascii="Times New Roman" w:hAnsi="Times New Roman" w:eastAsia="仿宋" w:cs="Times New Roman"/>
      <w:sz w:val="24"/>
      <w:szCs w:val="20"/>
    </w:rPr>
  </w:style>
  <w:style w:type="paragraph" w:styleId="10">
    <w:name w:val="Document Map"/>
    <w:basedOn w:val="1"/>
    <w:link w:val="43"/>
    <w:unhideWhenUsed/>
    <w:qFormat/>
    <w:uiPriority w:val="99"/>
    <w:pPr>
      <w:shd w:val="clear" w:color="auto" w:fill="000080"/>
    </w:pPr>
    <w:rPr>
      <w:rFonts w:hint="eastAsia" w:ascii="Times New Roman" w:hAnsi="Times New Roman" w:eastAsia="宋体" w:cs="Times New Roman"/>
      <w:szCs w:val="20"/>
    </w:rPr>
  </w:style>
  <w:style w:type="paragraph" w:styleId="11">
    <w:name w:val="Body Text Indent"/>
    <w:basedOn w:val="1"/>
    <w:link w:val="41"/>
    <w:unhideWhenUsed/>
    <w:qFormat/>
    <w:uiPriority w:val="99"/>
    <w:pPr>
      <w:spacing w:after="120"/>
      <w:ind w:left="420" w:leftChars="200"/>
    </w:pPr>
    <w:rPr>
      <w:rFonts w:asciiTheme="minorHAnsi" w:hAnsiTheme="minorHAnsi" w:eastAsiaTheme="minorEastAsia" w:cstheme="minorBidi"/>
    </w:rPr>
  </w:style>
  <w:style w:type="paragraph" w:styleId="12">
    <w:name w:val="toc 5"/>
    <w:basedOn w:val="1"/>
    <w:next w:val="1"/>
    <w:semiHidden/>
    <w:qFormat/>
    <w:uiPriority w:val="0"/>
    <w:pPr>
      <w:ind w:left="840"/>
      <w:jc w:val="left"/>
    </w:pPr>
    <w:rPr>
      <w:rFonts w:hint="eastAsia" w:ascii="Times New Roman" w:hAnsi="Times New Roman" w:eastAsia="宋体" w:cs="Times New Roman"/>
      <w:sz w:val="18"/>
      <w:szCs w:val="18"/>
    </w:rPr>
  </w:style>
  <w:style w:type="paragraph" w:styleId="13">
    <w:name w:val="toc 3"/>
    <w:basedOn w:val="1"/>
    <w:next w:val="1"/>
    <w:semiHidden/>
    <w:qFormat/>
    <w:uiPriority w:val="0"/>
    <w:pPr>
      <w:ind w:left="420"/>
      <w:jc w:val="left"/>
    </w:pPr>
    <w:rPr>
      <w:rFonts w:hint="eastAsia" w:ascii="Times New Roman" w:hAnsi="Times New Roman" w:eastAsia="宋体" w:cs="Times New Roman"/>
      <w:i/>
      <w:iCs/>
      <w:sz w:val="20"/>
      <w:szCs w:val="20"/>
    </w:rPr>
  </w:style>
  <w:style w:type="paragraph" w:styleId="14">
    <w:name w:val="Plain Text"/>
    <w:basedOn w:val="1"/>
    <w:link w:val="60"/>
    <w:unhideWhenUsed/>
    <w:qFormat/>
    <w:uiPriority w:val="99"/>
    <w:rPr>
      <w:rFonts w:ascii="宋体" w:hAnsi="Courier New" w:eastAsia="宋体" w:cs="Times New Roman"/>
      <w:szCs w:val="20"/>
    </w:rPr>
  </w:style>
  <w:style w:type="paragraph" w:styleId="15">
    <w:name w:val="toc 8"/>
    <w:basedOn w:val="1"/>
    <w:next w:val="1"/>
    <w:semiHidden/>
    <w:qFormat/>
    <w:uiPriority w:val="0"/>
    <w:pPr>
      <w:ind w:left="1470"/>
      <w:jc w:val="left"/>
    </w:pPr>
    <w:rPr>
      <w:rFonts w:hint="eastAsia" w:ascii="Times New Roman" w:hAnsi="Times New Roman" w:eastAsia="宋体" w:cs="Times New Roman"/>
      <w:sz w:val="18"/>
      <w:szCs w:val="18"/>
    </w:rPr>
  </w:style>
  <w:style w:type="paragraph" w:styleId="16">
    <w:name w:val="Date"/>
    <w:basedOn w:val="1"/>
    <w:next w:val="1"/>
    <w:link w:val="42"/>
    <w:unhideWhenUsed/>
    <w:qFormat/>
    <w:uiPriority w:val="99"/>
    <w:pPr>
      <w:ind w:left="100" w:leftChars="2500"/>
    </w:pPr>
    <w:rPr>
      <w:rFonts w:hint="eastAsia" w:ascii="Times New Roman" w:hAnsi="Times New Roman" w:eastAsia="宋体" w:cs="Times New Roman"/>
      <w:szCs w:val="20"/>
    </w:rPr>
  </w:style>
  <w:style w:type="paragraph" w:styleId="17">
    <w:name w:val="Balloon Text"/>
    <w:basedOn w:val="1"/>
    <w:link w:val="62"/>
    <w:semiHidden/>
    <w:qFormat/>
    <w:uiPriority w:val="0"/>
    <w:rPr>
      <w:rFonts w:hint="eastAsia" w:ascii="Times New Roman" w:hAnsi="Times New Roman" w:eastAsia="宋体" w:cs="Times New Roman"/>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adjustRightInd w:val="0"/>
      <w:snapToGrid w:val="0"/>
      <w:spacing w:line="400" w:lineRule="exact"/>
      <w:jc w:val="left"/>
    </w:pPr>
    <w:rPr>
      <w:rFonts w:hint="eastAsia" w:ascii="Times New Roman" w:hAnsi="Times New Roman" w:eastAsia="黑体" w:cs="Times New Roman"/>
      <w:bCs/>
      <w:caps/>
      <w:sz w:val="24"/>
      <w:szCs w:val="20"/>
    </w:rPr>
  </w:style>
  <w:style w:type="paragraph" w:styleId="21">
    <w:name w:val="toc 4"/>
    <w:basedOn w:val="1"/>
    <w:next w:val="1"/>
    <w:semiHidden/>
    <w:uiPriority w:val="0"/>
    <w:pPr>
      <w:ind w:left="630"/>
      <w:jc w:val="left"/>
    </w:pPr>
    <w:rPr>
      <w:rFonts w:hint="eastAsia" w:ascii="Times New Roman" w:hAnsi="Times New Roman" w:eastAsia="宋体" w:cs="Times New Roman"/>
      <w:sz w:val="18"/>
      <w:szCs w:val="18"/>
    </w:rPr>
  </w:style>
  <w:style w:type="paragraph" w:styleId="22">
    <w:name w:val="toc 6"/>
    <w:basedOn w:val="1"/>
    <w:next w:val="1"/>
    <w:semiHidden/>
    <w:qFormat/>
    <w:uiPriority w:val="0"/>
    <w:pPr>
      <w:ind w:left="1050"/>
      <w:jc w:val="left"/>
    </w:pPr>
    <w:rPr>
      <w:rFonts w:hint="eastAsia" w:ascii="Times New Roman" w:hAnsi="Times New Roman" w:eastAsia="宋体" w:cs="Times New Roman"/>
      <w:sz w:val="18"/>
      <w:szCs w:val="18"/>
    </w:rPr>
  </w:style>
  <w:style w:type="paragraph" w:styleId="23">
    <w:name w:val="Body Text Indent 3"/>
    <w:basedOn w:val="1"/>
    <w:link w:val="74"/>
    <w:qFormat/>
    <w:uiPriority w:val="99"/>
    <w:pPr>
      <w:autoSpaceDE w:val="0"/>
      <w:autoSpaceDN w:val="0"/>
      <w:spacing w:line="400" w:lineRule="atLeast"/>
      <w:ind w:firstLine="443" w:firstLineChars="200"/>
      <w:textAlignment w:val="bottom"/>
    </w:pPr>
    <w:rPr>
      <w:rFonts w:eastAsia="黑体" w:asciiTheme="minorHAnsi" w:hAnsiTheme="minorHAnsi" w:cstheme="minorBidi"/>
      <w:color w:val="000000"/>
      <w:sz w:val="24"/>
      <w:szCs w:val="24"/>
    </w:rPr>
  </w:style>
  <w:style w:type="paragraph" w:styleId="24">
    <w:name w:val="toc 2"/>
    <w:basedOn w:val="1"/>
    <w:next w:val="1"/>
    <w:unhideWhenUsed/>
    <w:qFormat/>
    <w:uiPriority w:val="99"/>
    <w:pPr>
      <w:adjustRightInd w:val="0"/>
      <w:snapToGrid w:val="0"/>
      <w:spacing w:line="400" w:lineRule="exact"/>
      <w:ind w:left="200" w:leftChars="200"/>
      <w:jc w:val="left"/>
    </w:pPr>
    <w:rPr>
      <w:rFonts w:hint="eastAsia" w:ascii="Times New Roman" w:hAnsi="Times New Roman" w:eastAsia="仿宋_GB2312" w:cs="Times New Roman"/>
      <w:smallCaps/>
      <w:szCs w:val="20"/>
    </w:rPr>
  </w:style>
  <w:style w:type="paragraph" w:styleId="25">
    <w:name w:val="toc 9"/>
    <w:basedOn w:val="1"/>
    <w:next w:val="1"/>
    <w:semiHidden/>
    <w:uiPriority w:val="0"/>
    <w:pPr>
      <w:ind w:left="1680"/>
      <w:jc w:val="left"/>
    </w:pPr>
    <w:rPr>
      <w:rFonts w:hint="eastAsia" w:ascii="Times New Roman" w:hAnsi="Times New Roman" w:eastAsia="宋体" w:cs="Times New Roman"/>
      <w:sz w:val="18"/>
      <w:szCs w:val="18"/>
    </w:rPr>
  </w:style>
  <w:style w:type="paragraph" w:styleId="26">
    <w:name w:val="Normal (Web)"/>
    <w:basedOn w:val="1"/>
    <w:unhideWhenUsed/>
    <w:uiPriority w:val="99"/>
    <w:pPr>
      <w:widowControl/>
      <w:spacing w:before="100" w:beforeAutospacing="1" w:after="100" w:afterAutospacing="1"/>
      <w:jc w:val="left"/>
    </w:pPr>
    <w:rPr>
      <w:rFonts w:hint="eastAsia" w:ascii="宋体" w:hAnsi="宋体" w:eastAsia="宋体" w:cs="Times New Roman"/>
      <w:sz w:val="24"/>
      <w:szCs w:val="20"/>
    </w:rPr>
  </w:style>
  <w:style w:type="paragraph" w:styleId="27">
    <w:name w:val="index 1"/>
    <w:basedOn w:val="1"/>
    <w:next w:val="1"/>
    <w:semiHidden/>
    <w:qFormat/>
    <w:uiPriority w:val="0"/>
    <w:pPr>
      <w:spacing w:line="240" w:lineRule="exact"/>
      <w:ind w:firstLine="420" w:firstLineChars="200"/>
    </w:pPr>
    <w:rPr>
      <w:rFonts w:ascii="宋体" w:hAnsi="宋体" w:eastAsia="宋体" w:cs="Times New Roman"/>
      <w:bCs/>
      <w:szCs w:val="21"/>
    </w:rPr>
  </w:style>
  <w:style w:type="paragraph" w:styleId="28">
    <w:name w:val="index 2"/>
    <w:basedOn w:val="1"/>
    <w:next w:val="1"/>
    <w:unhideWhenUsed/>
    <w:uiPriority w:val="99"/>
    <w:pPr>
      <w:ind w:left="200" w:leftChars="200"/>
    </w:pPr>
    <w:rPr>
      <w:rFonts w:hint="eastAsia" w:ascii="Times New Roman" w:hAnsi="Times New Roman" w:eastAsia="宋体" w:cs="Times New Roman"/>
      <w:szCs w:val="20"/>
    </w:rPr>
  </w:style>
  <w:style w:type="character" w:styleId="30">
    <w:name w:val="Strong"/>
    <w:basedOn w:val="29"/>
    <w:qFormat/>
    <w:uiPriority w:val="99"/>
    <w:rPr>
      <w:b/>
      <w:bCs/>
    </w:rPr>
  </w:style>
  <w:style w:type="character" w:styleId="31">
    <w:name w:val="page number"/>
    <w:basedOn w:val="29"/>
    <w:unhideWhenUsed/>
    <w:qFormat/>
    <w:uiPriority w:val="99"/>
    <w:rPr>
      <w:rFonts w:hint="default"/>
    </w:rPr>
  </w:style>
  <w:style w:type="character" w:styleId="32">
    <w:name w:val="Hyperlink"/>
    <w:basedOn w:val="29"/>
    <w:unhideWhenUsed/>
    <w:qFormat/>
    <w:uiPriority w:val="99"/>
    <w:rPr>
      <w:rFonts w:hint="default"/>
      <w:color w:val="0000FF"/>
      <w:u w:val="single"/>
    </w:rPr>
  </w:style>
  <w:style w:type="character" w:styleId="33">
    <w:name w:val="annotation reference"/>
    <w:basedOn w:val="29"/>
    <w:semiHidden/>
    <w:qFormat/>
    <w:uiPriority w:val="0"/>
    <w:rPr>
      <w:rFonts w:hint="default"/>
      <w:sz w:val="21"/>
      <w:szCs w:val="21"/>
    </w:rPr>
  </w:style>
  <w:style w:type="character" w:customStyle="1" w:styleId="35">
    <w:name w:val="页眉 Char1"/>
    <w:basedOn w:val="29"/>
    <w:link w:val="19"/>
    <w:qFormat/>
    <w:uiPriority w:val="99"/>
    <w:rPr>
      <w:sz w:val="18"/>
      <w:szCs w:val="18"/>
    </w:rPr>
  </w:style>
  <w:style w:type="character" w:customStyle="1" w:styleId="36">
    <w:name w:val="页脚 Char"/>
    <w:basedOn w:val="29"/>
    <w:link w:val="18"/>
    <w:qFormat/>
    <w:uiPriority w:val="99"/>
    <w:rPr>
      <w:sz w:val="18"/>
      <w:szCs w:val="18"/>
    </w:rPr>
  </w:style>
  <w:style w:type="paragraph" w:styleId="37">
    <w:name w:val="List Paragraph"/>
    <w:basedOn w:val="1"/>
    <w:qFormat/>
    <w:uiPriority w:val="34"/>
    <w:pPr>
      <w:ind w:firstLine="420" w:firstLineChars="200"/>
    </w:pPr>
  </w:style>
  <w:style w:type="character" w:customStyle="1" w:styleId="38">
    <w:name w:val="标题 2 Char"/>
    <w:basedOn w:val="29"/>
    <w:link w:val="3"/>
    <w:qFormat/>
    <w:uiPriority w:val="99"/>
    <w:rPr>
      <w:rFonts w:ascii="Times New Roman" w:hAnsi="Times New Roman" w:eastAsia="宋体" w:cs="Times New Roman"/>
      <w:sz w:val="28"/>
      <w:szCs w:val="24"/>
    </w:rPr>
  </w:style>
  <w:style w:type="character" w:customStyle="1" w:styleId="39">
    <w:name w:val="标题 3 Char"/>
    <w:basedOn w:val="29"/>
    <w:link w:val="4"/>
    <w:qFormat/>
    <w:uiPriority w:val="0"/>
    <w:rPr>
      <w:rFonts w:ascii="Times New Roman" w:hAnsi="Times New Roman" w:eastAsia="宋体" w:cs="Times New Roman"/>
      <w:b/>
      <w:bCs/>
      <w:sz w:val="32"/>
      <w:szCs w:val="32"/>
    </w:rPr>
  </w:style>
  <w:style w:type="character" w:customStyle="1" w:styleId="40">
    <w:name w:val="标题 1 Char"/>
    <w:basedOn w:val="29"/>
    <w:link w:val="2"/>
    <w:qFormat/>
    <w:uiPriority w:val="99"/>
    <w:rPr>
      <w:rFonts w:ascii="等线" w:hAnsi="等线" w:eastAsia="等线" w:cs="黑体"/>
      <w:b/>
      <w:bCs/>
      <w:kern w:val="44"/>
      <w:sz w:val="44"/>
      <w:szCs w:val="44"/>
    </w:rPr>
  </w:style>
  <w:style w:type="character" w:customStyle="1" w:styleId="41">
    <w:name w:val="正文文本缩进 Char"/>
    <w:basedOn w:val="29"/>
    <w:link w:val="11"/>
    <w:unhideWhenUsed/>
    <w:qFormat/>
    <w:locked/>
    <w:uiPriority w:val="99"/>
  </w:style>
  <w:style w:type="character" w:customStyle="1" w:styleId="42">
    <w:name w:val="日期 Char"/>
    <w:basedOn w:val="29"/>
    <w:link w:val="16"/>
    <w:qFormat/>
    <w:uiPriority w:val="99"/>
    <w:rPr>
      <w:rFonts w:ascii="Times New Roman" w:hAnsi="Times New Roman" w:eastAsia="宋体" w:cs="Times New Roman"/>
      <w:szCs w:val="20"/>
    </w:rPr>
  </w:style>
  <w:style w:type="character" w:customStyle="1" w:styleId="43">
    <w:name w:val="文档结构图 Char"/>
    <w:basedOn w:val="29"/>
    <w:link w:val="10"/>
    <w:qFormat/>
    <w:uiPriority w:val="99"/>
    <w:rPr>
      <w:rFonts w:ascii="Times New Roman" w:hAnsi="Times New Roman" w:eastAsia="宋体" w:cs="Times New Roman"/>
      <w:szCs w:val="20"/>
      <w:shd w:val="clear" w:color="auto" w:fill="000080"/>
    </w:rPr>
  </w:style>
  <w:style w:type="character" w:customStyle="1" w:styleId="44">
    <w:name w:val="纯文本 字符"/>
    <w:basedOn w:val="29"/>
    <w:semiHidden/>
    <w:qFormat/>
    <w:uiPriority w:val="99"/>
    <w:rPr>
      <w:rFonts w:hAnsi="Courier New" w:cs="Courier New" w:asciiTheme="minorEastAsia"/>
    </w:rPr>
  </w:style>
  <w:style w:type="character" w:customStyle="1" w:styleId="45">
    <w:name w:val="正文文本缩进 字符"/>
    <w:basedOn w:val="29"/>
    <w:semiHidden/>
    <w:qFormat/>
    <w:uiPriority w:val="99"/>
    <w:rPr>
      <w:rFonts w:ascii="等线" w:hAnsi="等线" w:eastAsia="等线" w:cs="黑体"/>
    </w:rPr>
  </w:style>
  <w:style w:type="paragraph" w:customStyle="1" w:styleId="46">
    <w:name w:val="Char Char Char1 Char1"/>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7">
    <w:name w:val="Char Char Char1 Char5"/>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8">
    <w:name w:val="Char Char Char1 Char6"/>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9">
    <w:name w:val="Char Char Char1 Char"/>
    <w:basedOn w:val="1"/>
    <w:unhideWhenUsed/>
    <w:uiPriority w:val="99"/>
    <w:pPr>
      <w:spacing w:line="360" w:lineRule="auto"/>
      <w:ind w:firstLine="200" w:firstLineChars="200"/>
    </w:pPr>
    <w:rPr>
      <w:rFonts w:hint="eastAsia" w:ascii="宋体" w:hAnsi="宋体" w:eastAsia="宋体" w:cs="Times New Roman"/>
      <w:sz w:val="24"/>
      <w:szCs w:val="20"/>
    </w:rPr>
  </w:style>
  <w:style w:type="paragraph" w:customStyle="1" w:styleId="50">
    <w:name w:val="Char Char Char1 Char8"/>
    <w:basedOn w:val="1"/>
    <w:unhideWhenUsed/>
    <w:uiPriority w:val="99"/>
    <w:pPr>
      <w:spacing w:line="360" w:lineRule="auto"/>
      <w:ind w:firstLine="200" w:firstLineChars="200"/>
    </w:pPr>
    <w:rPr>
      <w:rFonts w:hint="eastAsia" w:ascii="宋体" w:hAnsi="宋体" w:eastAsia="宋体" w:cs="Times New Roman"/>
      <w:sz w:val="24"/>
      <w:szCs w:val="20"/>
    </w:rPr>
  </w:style>
  <w:style w:type="paragraph" w:customStyle="1" w:styleId="51">
    <w:name w:val="Char Char Char1 Char3"/>
    <w:basedOn w:val="1"/>
    <w:unhideWhenUsed/>
    <w:uiPriority w:val="99"/>
    <w:pPr>
      <w:spacing w:line="360" w:lineRule="auto"/>
      <w:ind w:firstLine="200" w:firstLineChars="200"/>
    </w:pPr>
    <w:rPr>
      <w:rFonts w:hint="eastAsia" w:ascii="宋体" w:hAnsi="宋体" w:eastAsia="宋体" w:cs="Times New Roman"/>
      <w:sz w:val="24"/>
      <w:szCs w:val="20"/>
    </w:rPr>
  </w:style>
  <w:style w:type="paragraph" w:customStyle="1" w:styleId="52">
    <w:name w:val="Char Char Char Char"/>
    <w:basedOn w:val="1"/>
    <w:unhideWhenUsed/>
    <w:qFormat/>
    <w:uiPriority w:val="99"/>
    <w:rPr>
      <w:rFonts w:hint="eastAsia" w:ascii="Times New Roman" w:hAnsi="Times New Roman" w:eastAsia="宋体" w:cs="Times New Roman"/>
      <w:szCs w:val="20"/>
    </w:rPr>
  </w:style>
  <w:style w:type="paragraph" w:customStyle="1" w:styleId="53">
    <w:name w:val="Char Char Char1 Char4"/>
    <w:basedOn w:val="1"/>
    <w:unhideWhenUsed/>
    <w:uiPriority w:val="99"/>
    <w:pPr>
      <w:spacing w:line="360" w:lineRule="auto"/>
      <w:ind w:firstLine="200" w:firstLineChars="200"/>
    </w:pPr>
    <w:rPr>
      <w:rFonts w:hint="eastAsia" w:ascii="宋体" w:hAnsi="宋体" w:eastAsia="宋体" w:cs="Times New Roman"/>
      <w:sz w:val="24"/>
      <w:szCs w:val="20"/>
    </w:rPr>
  </w:style>
  <w:style w:type="paragraph" w:customStyle="1" w:styleId="54">
    <w:name w:val="Char Char Char1 Char7"/>
    <w:basedOn w:val="1"/>
    <w:unhideWhenUsed/>
    <w:uiPriority w:val="99"/>
    <w:pPr>
      <w:spacing w:line="360" w:lineRule="auto"/>
      <w:ind w:firstLine="200" w:firstLineChars="200"/>
    </w:pPr>
    <w:rPr>
      <w:rFonts w:hint="eastAsia" w:ascii="宋体" w:hAnsi="宋体" w:eastAsia="宋体" w:cs="Times New Roman"/>
      <w:sz w:val="24"/>
      <w:szCs w:val="20"/>
    </w:rPr>
  </w:style>
  <w:style w:type="paragraph" w:customStyle="1" w:styleId="55">
    <w:name w:val="_Style 49"/>
    <w:basedOn w:val="1"/>
    <w:next w:val="14"/>
    <w:unhideWhenUsed/>
    <w:uiPriority w:val="99"/>
    <w:rPr>
      <w:rFonts w:hint="eastAsia" w:ascii="宋体" w:hAnsi="Courier New" w:eastAsia="宋体" w:cs="Times New Roman"/>
      <w:sz w:val="24"/>
      <w:szCs w:val="20"/>
    </w:rPr>
  </w:style>
  <w:style w:type="paragraph" w:customStyle="1" w:styleId="56">
    <w:name w:val="Char Char Char1 Char2"/>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7">
    <w:name w:val="Char"/>
    <w:basedOn w:val="1"/>
    <w:next w:val="1"/>
    <w:qFormat/>
    <w:uiPriority w:val="0"/>
    <w:pPr>
      <w:widowControl/>
      <w:spacing w:line="360" w:lineRule="auto"/>
      <w:jc w:val="left"/>
    </w:pPr>
    <w:rPr>
      <w:rFonts w:ascii="Times New Roman" w:hAnsi="Times New Roman" w:eastAsia="宋体" w:cs="Times New Roman"/>
      <w:szCs w:val="20"/>
    </w:rPr>
  </w:style>
  <w:style w:type="paragraph" w:customStyle="1" w:styleId="58">
    <w:name w:val="4小节标题"/>
    <w:basedOn w:val="1"/>
    <w:uiPriority w:val="0"/>
    <w:pPr>
      <w:numPr>
        <w:ilvl w:val="0"/>
        <w:numId w:val="1"/>
      </w:numPr>
      <w:spacing w:beforeLines="100" w:afterLines="100" w:line="360" w:lineRule="auto"/>
      <w:jc w:val="center"/>
      <w:outlineLvl w:val="3"/>
    </w:pPr>
    <w:rPr>
      <w:rFonts w:ascii="Times New Roman" w:hAnsi="Times New Roman" w:eastAsia="黑体" w:cs="Times New Roman"/>
      <w:sz w:val="32"/>
      <w:szCs w:val="24"/>
    </w:rPr>
  </w:style>
  <w:style w:type="paragraph" w:customStyle="1" w:styleId="59">
    <w:name w:val="Default"/>
    <w:unhideWhenUsed/>
    <w:uiPriority w:val="0"/>
    <w:pPr>
      <w:widowControl w:val="0"/>
      <w:autoSpaceDE w:val="0"/>
      <w:autoSpaceDN w:val="0"/>
    </w:pPr>
    <w:rPr>
      <w:rFonts w:hint="eastAsia" w:ascii="Calibri" w:hAnsi="Calibri" w:eastAsia="宋体" w:cs="Times New Roman"/>
      <w:color w:val="000000"/>
      <w:sz w:val="24"/>
      <w:lang w:val="en-US" w:eastAsia="zh-CN" w:bidi="ar-SA"/>
    </w:rPr>
  </w:style>
  <w:style w:type="character" w:customStyle="1" w:styleId="60">
    <w:name w:val="纯文本 Char"/>
    <w:basedOn w:val="29"/>
    <w:link w:val="14"/>
    <w:uiPriority w:val="99"/>
    <w:rPr>
      <w:rFonts w:ascii="宋体" w:hAnsi="Courier New" w:eastAsia="宋体" w:cs="Times New Roman"/>
      <w:szCs w:val="20"/>
    </w:rPr>
  </w:style>
  <w:style w:type="character" w:customStyle="1" w:styleId="61">
    <w:name w:val="三级目录"/>
    <w:basedOn w:val="29"/>
    <w:uiPriority w:val="0"/>
    <w:rPr>
      <w:rFonts w:hint="default" w:ascii="宋体" w:hAnsi="宋体"/>
      <w:b/>
      <w:bCs/>
      <w:sz w:val="23"/>
    </w:rPr>
  </w:style>
  <w:style w:type="character" w:customStyle="1" w:styleId="62">
    <w:name w:val="批注框文本 Char"/>
    <w:basedOn w:val="29"/>
    <w:link w:val="17"/>
    <w:semiHidden/>
    <w:uiPriority w:val="0"/>
    <w:rPr>
      <w:rFonts w:ascii="Times New Roman" w:hAnsi="Times New Roman" w:eastAsia="宋体" w:cs="Times New Roman"/>
      <w:sz w:val="18"/>
      <w:szCs w:val="18"/>
    </w:rPr>
  </w:style>
  <w:style w:type="paragraph" w:customStyle="1" w:styleId="63">
    <w:name w:val="默认段落字体 Para Char Char Char Char"/>
    <w:basedOn w:val="1"/>
    <w:uiPriority w:val="0"/>
    <w:rPr>
      <w:rFonts w:ascii="Times New Roman" w:hAnsi="Times New Roman" w:eastAsia="宋体" w:cs="Times New Roman"/>
      <w:szCs w:val="24"/>
    </w:rPr>
  </w:style>
  <w:style w:type="character" w:customStyle="1" w:styleId="64">
    <w:name w:val="批注文字 Char"/>
    <w:basedOn w:val="29"/>
    <w:link w:val="6"/>
    <w:semiHidden/>
    <w:uiPriority w:val="0"/>
    <w:rPr>
      <w:rFonts w:ascii="Times New Roman" w:hAnsi="Times New Roman" w:eastAsia="宋体" w:cs="Times New Roman"/>
      <w:szCs w:val="20"/>
    </w:rPr>
  </w:style>
  <w:style w:type="character" w:customStyle="1" w:styleId="65">
    <w:name w:val="批注主题 Char"/>
    <w:basedOn w:val="64"/>
    <w:link w:val="5"/>
    <w:semiHidden/>
    <w:uiPriority w:val="0"/>
    <w:rPr>
      <w:rFonts w:ascii="Times New Roman" w:hAnsi="Times New Roman" w:eastAsia="宋体" w:cs="Times New Roman"/>
      <w:b/>
      <w:bCs/>
      <w:szCs w:val="20"/>
    </w:rPr>
  </w:style>
  <w:style w:type="character" w:customStyle="1" w:styleId="66">
    <w:name w:val="页眉 Char"/>
    <w:basedOn w:val="29"/>
    <w:uiPriority w:val="99"/>
    <w:rPr>
      <w:rFonts w:hint="default"/>
      <w:kern w:val="2"/>
      <w:sz w:val="18"/>
    </w:rPr>
  </w:style>
  <w:style w:type="paragraph" w:customStyle="1" w:styleId="67">
    <w:name w:val="样式2"/>
    <w:basedOn w:val="1"/>
    <w:link w:val="68"/>
    <w:qFormat/>
    <w:uiPriority w:val="0"/>
    <w:pPr>
      <w:widowControl/>
    </w:pPr>
    <w:rPr>
      <w:rFonts w:ascii="宋体" w:hAnsi="宋体" w:eastAsia="仿宋" w:cs="Times New Roman"/>
      <w:spacing w:val="8"/>
      <w:sz w:val="24"/>
      <w:szCs w:val="24"/>
    </w:rPr>
  </w:style>
  <w:style w:type="character" w:customStyle="1" w:styleId="68">
    <w:name w:val="样式2 Char"/>
    <w:link w:val="67"/>
    <w:uiPriority w:val="0"/>
    <w:rPr>
      <w:rFonts w:ascii="宋体" w:hAnsi="宋体" w:eastAsia="仿宋" w:cs="Times New Roman"/>
      <w:spacing w:val="8"/>
      <w:sz w:val="24"/>
      <w:szCs w:val="24"/>
    </w:rPr>
  </w:style>
  <w:style w:type="character" w:customStyle="1" w:styleId="69">
    <w:name w:val="无间隔 Char"/>
    <w:link w:val="70"/>
    <w:locked/>
    <w:uiPriority w:val="99"/>
    <w:rPr>
      <w:sz w:val="22"/>
    </w:rPr>
  </w:style>
  <w:style w:type="paragraph" w:styleId="70">
    <w:name w:val="No Spacing"/>
    <w:link w:val="69"/>
    <w:qFormat/>
    <w:uiPriority w:val="99"/>
    <w:rPr>
      <w:rFonts w:asciiTheme="minorHAnsi" w:hAnsiTheme="minorHAnsi" w:eastAsiaTheme="minorEastAsia" w:cstheme="minorBidi"/>
      <w:kern w:val="2"/>
      <w:sz w:val="22"/>
      <w:szCs w:val="22"/>
      <w:lang w:val="en-US" w:eastAsia="zh-CN" w:bidi="ar-SA"/>
    </w:rPr>
  </w:style>
  <w:style w:type="paragraph" w:customStyle="1" w:styleId="71">
    <w:name w:val="列表编号2"/>
    <w:basedOn w:val="1"/>
    <w:uiPriority w:val="0"/>
    <w:pPr>
      <w:widowControl/>
      <w:numPr>
        <w:ilvl w:val="1"/>
        <w:numId w:val="2"/>
      </w:numPr>
      <w:spacing w:before="100" w:beforeAutospacing="1" w:afterLines="150" w:line="360" w:lineRule="auto"/>
      <w:ind w:firstLine="0"/>
    </w:pPr>
    <w:rPr>
      <w:rFonts w:ascii="Times New Roman" w:hAnsi="Times New Roman" w:eastAsia="仿宋" w:cs="Times New Roman"/>
      <w:sz w:val="24"/>
      <w:szCs w:val="20"/>
    </w:rPr>
  </w:style>
  <w:style w:type="paragraph" w:customStyle="1" w:styleId="72">
    <w:name w:val="列表编号1"/>
    <w:basedOn w:val="1"/>
    <w:uiPriority w:val="0"/>
    <w:pPr>
      <w:widowControl/>
      <w:spacing w:before="100" w:beforeAutospacing="1" w:afterLines="150" w:line="360" w:lineRule="auto"/>
    </w:pPr>
    <w:rPr>
      <w:rFonts w:ascii="Times New Roman" w:hAnsi="Times New Roman" w:eastAsia="仿宋" w:cs="Times New Roman"/>
      <w:sz w:val="24"/>
      <w:szCs w:val="20"/>
    </w:rPr>
  </w:style>
  <w:style w:type="paragraph" w:customStyle="1" w:styleId="73">
    <w:name w:val="列表编号3"/>
    <w:basedOn w:val="1"/>
    <w:uiPriority w:val="0"/>
    <w:pPr>
      <w:widowControl/>
      <w:numPr>
        <w:ilvl w:val="2"/>
        <w:numId w:val="2"/>
      </w:numPr>
      <w:spacing w:before="100" w:beforeAutospacing="1" w:afterLines="150" w:line="360" w:lineRule="auto"/>
      <w:ind w:firstLine="0"/>
    </w:pPr>
    <w:rPr>
      <w:rFonts w:ascii="Times New Roman" w:hAnsi="Times New Roman" w:eastAsia="仿宋" w:cs="Times New Roman"/>
      <w:sz w:val="24"/>
      <w:szCs w:val="20"/>
    </w:rPr>
  </w:style>
  <w:style w:type="character" w:customStyle="1" w:styleId="74">
    <w:name w:val="正文文本缩进 3 Char"/>
    <w:link w:val="23"/>
    <w:locked/>
    <w:uiPriority w:val="99"/>
    <w:rPr>
      <w:rFonts w:eastAsia="黑体"/>
      <w:color w:val="000000"/>
      <w:sz w:val="24"/>
      <w:szCs w:val="24"/>
    </w:rPr>
  </w:style>
  <w:style w:type="character" w:customStyle="1" w:styleId="75">
    <w:name w:val="正文文本缩进 3 Char1"/>
    <w:basedOn w:val="29"/>
    <w:semiHidden/>
    <w:uiPriority w:val="99"/>
    <w:rPr>
      <w:rFonts w:ascii="等线" w:hAnsi="等线" w:eastAsia="等线" w:cs="黑体"/>
      <w:sz w:val="16"/>
      <w:szCs w:val="16"/>
    </w:rPr>
  </w:style>
  <w:style w:type="paragraph" w:customStyle="1" w:styleId="76">
    <w:name w:val="样式 样式 小四 行距: 1.5 倍行距 + 首行缩进:  3 字符"/>
    <w:basedOn w:val="1"/>
    <w:qFormat/>
    <w:uiPriority w:val="0"/>
    <w:pPr>
      <w:ind w:firstLine="420" w:firstLineChars="200"/>
    </w:pPr>
    <w:rPr>
      <w:rFonts w:ascii="宋体" w:hAnsi="宋体" w:eastAsia="宋体" w:cs="宋体"/>
      <w:szCs w:val="21"/>
    </w:rPr>
  </w:style>
  <w:style w:type="character" w:customStyle="1" w:styleId="77">
    <w:name w:val="font81"/>
    <w:uiPriority w:val="0"/>
    <w:rPr>
      <w:rFonts w:hint="eastAsia" w:ascii="宋体" w:hAnsi="宋体" w:eastAsia="宋体" w:cs="宋体"/>
      <w:color w:val="FF0000"/>
      <w:sz w:val="21"/>
      <w:szCs w:val="21"/>
      <w:u w:val="none"/>
    </w:rPr>
  </w:style>
  <w:style w:type="character" w:customStyle="1" w:styleId="78">
    <w:name w:val="font91"/>
    <w:uiPriority w:val="0"/>
    <w:rPr>
      <w:rFonts w:hint="default" w:ascii="Times New Roman" w:hAnsi="Times New Roman" w:cs="Times New Roman"/>
      <w:color w:val="FF0000"/>
      <w:sz w:val="21"/>
      <w:szCs w:val="21"/>
      <w:u w:val="none"/>
    </w:rPr>
  </w:style>
  <w:style w:type="character" w:customStyle="1" w:styleId="79">
    <w:name w:val="font71"/>
    <w:uiPriority w:val="0"/>
    <w:rPr>
      <w:rFonts w:hint="eastAsia" w:ascii="宋体" w:hAnsi="宋体" w:eastAsia="宋体" w:cs="宋体"/>
      <w:color w:val="000000"/>
      <w:sz w:val="21"/>
      <w:szCs w:val="21"/>
      <w:u w:val="none"/>
    </w:rPr>
  </w:style>
  <w:style w:type="character" w:customStyle="1" w:styleId="80">
    <w:name w:val="正文文本 Char"/>
    <w:basedOn w:val="29"/>
    <w:link w:val="9"/>
    <w:semiHidden/>
    <w:uiPriority w:val="99"/>
    <w:rPr>
      <w:rFonts w:ascii="Times New Roman" w:hAnsi="Times New Roman" w:eastAsia="仿宋" w:cs="Times New Roman"/>
      <w:sz w:val="24"/>
      <w:szCs w:val="20"/>
    </w:rPr>
  </w:style>
  <w:style w:type="character" w:customStyle="1" w:styleId="81">
    <w:name w:val="正文首行缩进 Char"/>
    <w:basedOn w:val="80"/>
    <w:link w:val="8"/>
    <w:semiHidden/>
    <w:uiPriority w:val="99"/>
    <w:rPr>
      <w:rFonts w:ascii="Times New Roman" w:hAnsi="Times New Roman" w:eastAsia="仿宋" w:cs="Times New Roman"/>
      <w:sz w:val="24"/>
      <w:szCs w:val="20"/>
    </w:rPr>
  </w:style>
  <w:style w:type="paragraph" w:customStyle="1" w:styleId="82">
    <w:name w:val="标题 3_0"/>
    <w:basedOn w:val="1"/>
    <w:next w:val="1"/>
    <w:qFormat/>
    <w:uiPriority w:val="0"/>
    <w:pPr>
      <w:keepNext/>
      <w:keepLines/>
      <w:widowControl/>
      <w:spacing w:before="100" w:beforeAutospacing="1" w:afterLines="100" w:line="360" w:lineRule="auto"/>
      <w:ind w:firstLine="100" w:firstLineChars="100"/>
      <w:outlineLvl w:val="2"/>
    </w:pPr>
    <w:rPr>
      <w:rFonts w:ascii="Calibri" w:hAnsi="Calibri" w:eastAsia="仿宋" w:cs="Times New Roman"/>
      <w:b/>
      <w:bCs/>
      <w:sz w:val="24"/>
      <w:szCs w:val="32"/>
    </w:rPr>
  </w:style>
  <w:style w:type="paragraph" w:customStyle="1" w:styleId="83">
    <w:name w:val="标题 2_0"/>
    <w:basedOn w:val="1"/>
    <w:next w:val="1"/>
    <w:qFormat/>
    <w:uiPriority w:val="0"/>
    <w:pPr>
      <w:keepNext/>
      <w:keepLines/>
      <w:widowControl/>
      <w:autoSpaceDE w:val="0"/>
      <w:autoSpaceDN w:val="0"/>
      <w:adjustRightInd w:val="0"/>
      <w:spacing w:before="100" w:beforeAutospacing="1" w:afterLines="150" w:line="360" w:lineRule="auto"/>
      <w:jc w:val="left"/>
      <w:textAlignment w:val="baseline"/>
      <w:outlineLvl w:val="1"/>
    </w:pPr>
    <w:rPr>
      <w:rFonts w:ascii="Arial" w:hAnsi="Arial" w:eastAsia="仿宋" w:cs="Times New Roman"/>
      <w:b/>
      <w:spacing w:val="24"/>
      <w:kern w:val="0"/>
      <w:sz w:val="28"/>
      <w:szCs w:val="20"/>
    </w:rPr>
  </w:style>
  <w:style w:type="paragraph" w:customStyle="1" w:styleId="84">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1543</Words>
  <Characters>8797</Characters>
  <Lines>73</Lines>
  <Paragraphs>20</Paragraphs>
  <TotalTime>5</TotalTime>
  <ScaleCrop>false</ScaleCrop>
  <LinksUpToDate>false</LinksUpToDate>
  <CharactersWithSpaces>10320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2018-05-17T13:54:00Z</dcterms:created>
  <dc:creator>Administrator</dc:creator>
  <cp:lastModifiedBy>飄零</cp:lastModifiedBy>
  <dcterms:modified xsi:type="dcterms:W3CDTF">2019-04-25T09:30:15Z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