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38"/>
          <w:szCs w:val="38"/>
        </w:rPr>
        <w:t>第三章</w:t>
      </w:r>
      <w:r>
        <w:rPr>
          <w:rFonts w:ascii="Times New Roman" w:hAnsi="Times New Roman" w:cs="宋体"/>
          <w:b/>
          <w:bCs/>
          <w:kern w:val="0"/>
          <w:sz w:val="38"/>
          <w:szCs w:val="38"/>
        </w:rPr>
        <w:t xml:space="preserve">  </w:t>
      </w:r>
      <w:r>
        <w:rPr>
          <w:rFonts w:hint="eastAsia" w:ascii="宋体" w:hAnsi="宋体"/>
          <w:b/>
          <w:bCs/>
          <w:kern w:val="0"/>
          <w:sz w:val="38"/>
          <w:szCs w:val="38"/>
        </w:rPr>
        <w:t>项目需求和质量标准</w:t>
      </w:r>
    </w:p>
    <w:p>
      <w:pPr>
        <w:autoSpaceDE w:val="0"/>
        <w:autoSpaceDN w:val="0"/>
        <w:adjustRightInd w:val="0"/>
        <w:ind w:left="-708" w:leftChars="-337"/>
        <w:jc w:val="left"/>
        <w:rPr>
          <w:rFonts w:ascii="Times New Roman" w:hAnsi="Times New Roman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一、维保清单、技术规格参数、质量标准和要求</w:t>
      </w:r>
    </w:p>
    <w:p>
      <w:pPr>
        <w:autoSpaceDE w:val="0"/>
        <w:autoSpaceDN w:val="0"/>
        <w:adjustRightInd w:val="0"/>
        <w:ind w:left="-708" w:leftChars="-337"/>
        <w:jc w:val="left"/>
        <w:rPr>
          <w:rFonts w:hint="eastAsia"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（一）维保清单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9"/>
          <w:szCs w:val="29"/>
        </w:rPr>
        <w:t>附表1</w:t>
      </w:r>
    </w:p>
    <w:tbl>
      <w:tblPr>
        <w:tblStyle w:val="6"/>
        <w:tblW w:w="89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2"/>
        <w:gridCol w:w="4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梯号</w:t>
            </w:r>
          </w:p>
        </w:tc>
        <w:tc>
          <w:tcPr>
            <w:tcW w:w="4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层站数/提升高度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1#-员工单层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24层24站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2#-员工双层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24层24站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3#-19层医用梯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19层19站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4#-手术专用梯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23层23站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5#-23层医用梯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23层23站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6#-20层医用梯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20层20站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7#-污物梯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21层21站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8#-4层无机房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4层4站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9#-后勤综合楼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9层9站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11#-内科楼右梯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11层11站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12#-内科楼中梯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11层11站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13#-1上2层扶梯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4.05米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14#-2上3层扶梯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3.5米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15#-桂东养老院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7层7站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16#-内科楼右梯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11层11站</w:t>
            </w:r>
          </w:p>
        </w:tc>
      </w:tr>
    </w:tbl>
    <w:p>
      <w:pPr>
        <w:pStyle w:val="2"/>
        <w:rPr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auto"/>
        <w:ind w:left="-708" w:leftChars="-337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技术规格参数</w:t>
      </w:r>
    </w:p>
    <w:p>
      <w:pPr>
        <w:pStyle w:val="4"/>
        <w:spacing w:before="0" w:beforeAutospacing="0" w:after="27" w:afterAutospacing="0" w:line="432" w:lineRule="exact"/>
        <w:ind w:left="0"/>
        <w:jc w:val="left"/>
        <w:rPr>
          <w:rFonts w:ascii="Microsoft JhengHei" w:eastAsia="Microsoft JhengHei" w:cs="微软雅黑"/>
        </w:rPr>
      </w:pPr>
      <w:r>
        <w:rPr>
          <w:rFonts w:hint="eastAsia" w:ascii="Microsoft JhengHei" w:hAnsi="Microsoft JhengHei" w:cs="微软雅黑" w:eastAsiaTheme="minorEastAsia"/>
        </w:rPr>
        <w:t>1.</w:t>
      </w:r>
      <w:r>
        <w:rPr>
          <w:rFonts w:hint="eastAsia" w:ascii="Microsoft JhengHei" w:hAnsi="Microsoft JhengHei" w:eastAsia="Microsoft JhengHei" w:cs="微软雅黑"/>
        </w:rPr>
        <w:t>电梯维护保养项目(内容)和要求</w:t>
      </w:r>
    </w:p>
    <w:tbl>
      <w:tblPr>
        <w:tblStyle w:val="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4501"/>
        <w:gridCol w:w="3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序号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6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维护保养项目(内容)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7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机房、滑轮间环境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49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清洁，门窗完好，照明正常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手动紧急操作装置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7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齐全，在指定位置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驱动主机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37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运行时无异常振动和异常声响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制动器各销轴部位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动作灵活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制动器间隙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打开时制动衬与制动轮不应发生摩</w:t>
            </w:r>
          </w:p>
          <w:p>
            <w:pPr>
              <w:pStyle w:val="12"/>
              <w:spacing w:before="160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擦，间隙值符合制造单位要求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3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spacing w:line="362" w:lineRule="auto"/>
              <w:ind w:left="1288" w:right="200" w:hanging="108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制动器作为轿厢意外移动保护装置制停子系统时的自监测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 w:line="362" w:lineRule="auto"/>
              <w:ind w:left="133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制动力人工方式检测符合使用维护说明书要求；制动力自监测系统有</w:t>
            </w:r>
          </w:p>
          <w:p>
            <w:pPr>
              <w:pStyle w:val="12"/>
              <w:spacing w:before="1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编码器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限速器各销轴部位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4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润滑，转动灵活；电气开关正常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68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层门和轿门旁路装置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紧急电动运行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轿顶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73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清洁，防护栏安全可靠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12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9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轿顶检修开关、停止装置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13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导靴上油杯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吸油毛毡齐全，油量适宜，油杯无</w:t>
            </w:r>
          </w:p>
          <w:p>
            <w:pPr>
              <w:pStyle w:val="12"/>
              <w:spacing w:before="160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泄漏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52" w:right="14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14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98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对重/平衡重块及其压板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183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对重/平衡重块无松动，压板紧固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15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井道照明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63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16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轿厢照明、风扇、应急照明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17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轿厢检修开关、停止装置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轿内报警装置、对讲系统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轿内显示、指令按钮、IC 卡系统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轿门防撞击保护装置(安全触板，光幕、</w:t>
            </w:r>
          </w:p>
          <w:p>
            <w:pPr>
              <w:pStyle w:val="12"/>
              <w:spacing w:before="160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光电等)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7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功能有效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21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轿门门锁电气触点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5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22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轿门运行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85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开启和关闭工作正常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23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轿厢平层准确度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符合标准值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24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层站召唤、层楼显示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25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层门地坎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26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层门自动关门装置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27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12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层门门锁自动复位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用层门钥匙打开手动开锁装置释放</w:t>
            </w:r>
          </w:p>
          <w:p>
            <w:pPr>
              <w:pStyle w:val="12"/>
              <w:spacing w:before="161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后，层门门锁能自动复位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28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层门门锁电气触点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5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29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层门锁紧元件啮合长度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不小于 7mm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30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28" w:right="1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底坑环境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253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清洁，无渗水、积水，照明正常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28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31</w:t>
            </w:r>
          </w:p>
        </w:tc>
        <w:tc>
          <w:tcPr>
            <w:tcW w:w="4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28" w:right="12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底坑停止装置</w:t>
            </w:r>
          </w:p>
        </w:tc>
        <w:tc>
          <w:tcPr>
            <w:tcW w:w="3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3" w:right="10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</w:tbl>
    <w:p>
      <w:pPr>
        <w:pStyle w:val="5"/>
        <w:spacing w:before="2"/>
        <w:rPr>
          <w:rFonts w:ascii="宋体" w:hAnsi="宋体" w:cs="宋体"/>
          <w:sz w:val="24"/>
          <w:szCs w:val="24"/>
        </w:rPr>
        <w:sectPr>
          <w:pgSz w:w="11910" w:h="16840"/>
          <w:pgMar w:top="1420" w:right="900" w:bottom="1220" w:left="1240" w:header="0" w:footer="1029" w:gutter="0"/>
          <w:cols w:space="720" w:num="1"/>
        </w:sectPr>
      </w:pPr>
    </w:p>
    <w:p>
      <w:pPr>
        <w:pStyle w:val="13"/>
        <w:spacing w:before="41" w:beforeAutospacing="0" w:after="0" w:afterAutospacing="0"/>
        <w:ind w:left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.杂物电梯维护保养项目(内容)和要求</w:t>
      </w:r>
    </w:p>
    <w:p>
      <w:pPr>
        <w:pStyle w:val="5"/>
        <w:spacing w:before="4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3258"/>
        <w:gridCol w:w="4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序号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54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维护保养项目(内容)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维护保养基本要求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78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机房、通道环境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清洁，门窗完好，照明正常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手动紧急操作装置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齐全，在指定位置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26" w:right="11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驱动主机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运行时无异常振动和异常声响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4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制动器各销轴部位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润滑，动作灵活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02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制动器间隙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打开时制动衬与制动轮不发生摩擦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6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限速器各销轴部位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润滑，转动灵活，电气开关正常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26" w:right="11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轿顶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0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轿顶停止装置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102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导靴上油杯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吸油毛毡齐全，油量适宜，油杯无泄漏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478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对重/平衡重块及压板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对重/平衡重块无松动，压板紧固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26" w:right="11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井道照明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0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轿门门锁触点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54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层站召唤、层楼显示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齐全，有效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26" w:right="11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层门地坎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cs="Times New Roman"/>
                <w:sz w:val="24"/>
                <w:szCs w:val="24"/>
              </w:rPr>
            </w:pPr>
          </w:p>
          <w:p>
            <w:pPr>
              <w:pStyle w:val="12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15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/>
              <w:rPr>
                <w:rFonts w:cs="Times New Roman"/>
                <w:sz w:val="24"/>
                <w:szCs w:val="24"/>
              </w:rPr>
            </w:pPr>
          </w:p>
          <w:p>
            <w:pPr>
              <w:pStyle w:val="12"/>
              <w:ind w:left="6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层门门锁自动复位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1"/>
              <w:ind w:left="68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用层门钥匙打开手动开锁装置释放后，层门门</w:t>
            </w:r>
          </w:p>
          <w:p>
            <w:pPr>
              <w:pStyle w:val="12"/>
              <w:spacing w:before="161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锁能自动复位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层门门锁电气触点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清洁，触点接触良好，接线可靠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17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right="419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层门锁紧元件啮合长度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不小于 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02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层门门导靴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无卡阻，滑动顺畅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19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1126" w:right="11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底坑环境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清洁，无渗水、积水，照明正常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219" w:right="2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20</w:t>
            </w:r>
          </w:p>
        </w:tc>
        <w:tc>
          <w:tcPr>
            <w:tcW w:w="3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906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底坑停止装置</w:t>
            </w:r>
          </w:p>
        </w:tc>
        <w:tc>
          <w:tcPr>
            <w:tcW w:w="4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79"/>
              <w:ind w:left="66" w:right="6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工作正常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spacing w:line="360" w:lineRule="auto"/>
        <w:ind w:left="-708" w:leftChars="-337"/>
        <w:jc w:val="left"/>
        <w:rPr>
          <w:rFonts w:hint="eastAsia"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基本要求</w:t>
      </w:r>
    </w:p>
    <w:p>
      <w:pPr>
        <w:pStyle w:val="2"/>
        <w:rPr>
          <w:sz w:val="28"/>
          <w:szCs w:val="28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1、保证所有机组的正常运行。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2、保证招标方通过年检（检测费用由招标方承担，中标方承办年检手续）。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3、每月定期对机组进行两次检查保养，保养须符合行业安全运行标准。保养完毕后，将保养单交招标方有关部门签字认可。保养任务的完成与否，以保养单为准。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pacing w:line="360" w:lineRule="auto"/>
        <w:ind w:left="-708" w:leftChars="-338" w:hanging="2"/>
        <w:jc w:val="left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（四）维保服务和服务承诺</w:t>
      </w:r>
    </w:p>
    <w:p>
      <w:pPr>
        <w:rPr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9"/>
          <w:szCs w:val="29"/>
        </w:rPr>
        <w:t xml:space="preserve">    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1、投标方自行配备工作所需要的工具及设备，保养时设置现场安全警示标志。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2、投标方免费提供保养所需的润滑油、润滑脂和清洁材料，需要更换的两百元以内的零配件免费提供。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3、电梯发生故障时，投标方必须在30分钟内赶到现场解决问题。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4、若发生下列情况之一的，则在结算时按每次扣除承包费用的10%至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val="en-US" w:eastAsia="zh-CN"/>
        </w:rPr>
        <w:t>100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%：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1）未完成保养任务；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2）电梯发生故障，招标方通知投标方，投标方在2小时内没有来人解决问题；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3）电梯非正常运行或因故障连续停止运行一天以上（特殊情况除外）。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5、投标方提供24小时报修服务，在非正常时间内进行保养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维修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服务时，不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  <w:lang w:eastAsia="zh-CN"/>
        </w:rPr>
        <w:t>得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加收其他费用。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6、招标方有重大活动时，投标方需派专门的维修技术人员到达现场，免费提供全程监护服务。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7、根据招标方实际需要提供电梯操作的系统培训。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8、投标方承担所维保电梯因维保不当发生的事故责任。</w:t>
      </w:r>
    </w:p>
    <w:p>
      <w:pPr>
        <w:widowControl/>
        <w:spacing w:line="360" w:lineRule="auto"/>
        <w:ind w:left="-708" w:leftChars="-338" w:hanging="2"/>
        <w:jc w:val="left"/>
        <w:rPr>
          <w:rFonts w:ascii="Times New Roman" w:hAnsi="Times New Roman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二、付款方式</w:t>
      </w:r>
    </w:p>
    <w:p>
      <w:pPr>
        <w:widowControl/>
        <w:shd w:val="clear" w:color="auto" w:fill="FFFFFF"/>
        <w:spacing w:line="375" w:lineRule="atLeast"/>
        <w:ind w:firstLine="555"/>
        <w:rPr>
          <w:rFonts w:ascii="宋体" w:hAnsi="宋体"/>
          <w:color w:val="2B2B2B"/>
          <w:kern w:val="0"/>
          <w:sz w:val="24"/>
          <w:szCs w:val="24"/>
        </w:rPr>
      </w:pPr>
      <w:r>
        <w:rPr>
          <w:rFonts w:hint="eastAsia" w:ascii="宋体" w:hAnsi="宋体"/>
          <w:color w:val="2B2B2B"/>
          <w:kern w:val="0"/>
          <w:sz w:val="24"/>
          <w:szCs w:val="24"/>
        </w:rPr>
        <w:t>维保费用分</w:t>
      </w:r>
      <w:r>
        <w:rPr>
          <w:rFonts w:hint="eastAsia" w:ascii="宋体" w:hAnsi="宋体"/>
          <w:color w:val="2B2B2B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/>
          <w:color w:val="2B2B2B"/>
          <w:kern w:val="0"/>
          <w:sz w:val="24"/>
          <w:szCs w:val="24"/>
        </w:rPr>
        <w:t>次结算（每半年一次），每次结算合同总金额的</w:t>
      </w:r>
      <w:r>
        <w:rPr>
          <w:rFonts w:hint="eastAsia" w:ascii="宋体" w:hAnsi="宋体"/>
          <w:color w:val="2B2B2B"/>
          <w:kern w:val="0"/>
          <w:sz w:val="24"/>
          <w:szCs w:val="24"/>
          <w:lang w:eastAsia="zh-CN"/>
        </w:rPr>
        <w:t>六份之一</w:t>
      </w:r>
      <w:r>
        <w:rPr>
          <w:rFonts w:hint="eastAsia" w:ascii="宋体" w:hAnsi="宋体"/>
          <w:color w:val="2B2B2B"/>
          <w:kern w:val="0"/>
          <w:sz w:val="24"/>
          <w:szCs w:val="24"/>
        </w:rPr>
        <w:t>款，合同履约期满后一个月内付清余款。</w:t>
      </w:r>
    </w:p>
    <w:p>
      <w:pPr>
        <w:widowControl/>
        <w:spacing w:line="400" w:lineRule="exact"/>
        <w:ind w:left="-710" w:leftChars="-338" w:firstLine="480" w:firstLineChars="200"/>
        <w:jc w:val="left"/>
        <w:rPr>
          <w:rFonts w:ascii="Times New Roman" w:hAnsi="Times New Roman" w:cs="宋体"/>
          <w:kern w:val="0"/>
          <w:sz w:val="24"/>
          <w:szCs w:val="24"/>
        </w:rPr>
      </w:pPr>
    </w:p>
    <w:p>
      <w:pPr>
        <w:widowControl/>
        <w:spacing w:line="400" w:lineRule="exact"/>
        <w:ind w:left="-710" w:leftChars="-338" w:firstLine="480" w:firstLineChars="200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注：更换的配件如验收不合格以及发现伪劣产品等，招标人将视情形采取退货、拒付款、终止合同、索赔等措施，直至通过有关部门，依法维权。</w:t>
      </w:r>
    </w:p>
    <w:p>
      <w:pPr>
        <w:widowControl/>
        <w:spacing w:line="360" w:lineRule="auto"/>
        <w:ind w:left="-708" w:leftChars="-338" w:hanging="2"/>
        <w:jc w:val="left"/>
        <w:rPr>
          <w:rFonts w:ascii="Times New Roman" w:hAnsi="Times New Roman" w:cs="宋体"/>
          <w:b/>
          <w:bCs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kern w:val="0"/>
          <w:sz w:val="24"/>
          <w:szCs w:val="24"/>
        </w:rPr>
        <w:t>三、合同签订</w:t>
      </w:r>
    </w:p>
    <w:p>
      <w:pPr>
        <w:widowControl/>
        <w:spacing w:line="360" w:lineRule="auto"/>
        <w:ind w:left="-468" w:leftChars="-223" w:firstLine="477" w:firstLineChars="199"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kern w:val="0"/>
          <w:sz w:val="24"/>
          <w:szCs w:val="24"/>
        </w:rPr>
        <w:t>招标人和中标人应当自公示结束后</w:t>
      </w:r>
      <w:r>
        <w:rPr>
          <w:rFonts w:hint="eastAsia" w:ascii="Times New Roman" w:hAnsi="Times New Roman"/>
          <w:color w:val="FF0000"/>
          <w:kern w:val="0"/>
          <w:sz w:val="24"/>
          <w:szCs w:val="24"/>
          <w:u w:val="single"/>
        </w:rPr>
        <w:t>5</w:t>
      </w:r>
      <w:r>
        <w:rPr>
          <w:rFonts w:hint="eastAsia" w:ascii="宋体" w:hAnsi="宋体"/>
          <w:kern w:val="0"/>
          <w:sz w:val="24"/>
          <w:szCs w:val="24"/>
        </w:rPr>
        <w:t>工作日内签订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维保</w:t>
      </w:r>
      <w:r>
        <w:rPr>
          <w:rFonts w:hint="eastAsia" w:ascii="宋体" w:hAnsi="宋体"/>
          <w:kern w:val="0"/>
          <w:sz w:val="24"/>
          <w:szCs w:val="24"/>
        </w:rPr>
        <w:t>合同。</w:t>
      </w:r>
    </w:p>
    <w:p>
      <w:pPr>
        <w:pStyle w:val="2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kern w:val="0"/>
          <w:sz w:val="24"/>
          <w:szCs w:val="24"/>
        </w:rPr>
        <w:t>维保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合同</w:t>
      </w:r>
      <w:r>
        <w:rPr>
          <w:rFonts w:ascii="宋体" w:hAnsi="宋体" w:eastAsia="宋体" w:cs="宋体"/>
          <w:kern w:val="0"/>
          <w:sz w:val="24"/>
          <w:szCs w:val="24"/>
        </w:rPr>
        <w:t>期限：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三年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三年内</w:t>
      </w:r>
      <w:r>
        <w:rPr>
          <w:rFonts w:hint="eastAsia" w:ascii="宋体" w:hAnsi="宋体" w:eastAsia="宋体" w:cs="宋体"/>
          <w:kern w:val="0"/>
          <w:sz w:val="24"/>
          <w:szCs w:val="24"/>
        </w:rPr>
        <w:t>合同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一季度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考核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根据考评及服务状况，</w:t>
      </w:r>
      <w:r>
        <w:rPr>
          <w:rFonts w:hint="eastAsia" w:ascii="宋体" w:hAnsi="宋体" w:eastAsia="宋体" w:cs="宋体"/>
          <w:kern w:val="0"/>
          <w:sz w:val="24"/>
          <w:szCs w:val="24"/>
        </w:rPr>
        <w:t>由招标单位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根据维保单位的工作表现</w:t>
      </w:r>
      <w:r>
        <w:rPr>
          <w:rFonts w:hint="eastAsia" w:ascii="宋体" w:hAnsi="宋体" w:eastAsia="宋体" w:cs="宋体"/>
          <w:kern w:val="0"/>
          <w:sz w:val="24"/>
          <w:szCs w:val="24"/>
        </w:rPr>
        <w:t>评议通过后可续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维保合同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，维保单位维保质量达不到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招标单位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要求，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招标单位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有权单方面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终止合同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ind w:left="-708" w:leftChars="-338" w:hanging="2"/>
        <w:jc w:val="left"/>
        <w:rPr>
          <w:rFonts w:ascii="Times New Roman" w:hAnsi="Times New Roman" w:cs="宋体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kern w:val="0"/>
          <w:sz w:val="24"/>
          <w:szCs w:val="24"/>
        </w:rPr>
        <w:t>四、其他</w:t>
      </w:r>
    </w:p>
    <w:p>
      <w:pPr>
        <w:widowControl/>
        <w:shd w:val="clear" w:color="auto" w:fill="FFFFFF"/>
        <w:spacing w:line="375" w:lineRule="atLeast"/>
        <w:rPr>
          <w:rFonts w:hint="eastAsia" w:ascii="宋体" w:hAnsi="宋体"/>
          <w:color w:val="2B2B2B"/>
          <w:kern w:val="0"/>
          <w:sz w:val="24"/>
          <w:szCs w:val="24"/>
        </w:rPr>
      </w:pPr>
      <w:r>
        <w:rPr>
          <w:rFonts w:hint="eastAsia" w:ascii="宋体" w:hAnsi="宋体"/>
          <w:color w:val="808080"/>
          <w:kern w:val="0"/>
          <w:sz w:val="24"/>
          <w:szCs w:val="24"/>
        </w:rPr>
        <w:t>1、</w:t>
      </w:r>
      <w:r>
        <w:rPr>
          <w:rFonts w:hint="eastAsia" w:ascii="宋体" w:hAnsi="宋体"/>
          <w:color w:val="2B2B2B"/>
          <w:kern w:val="0"/>
          <w:sz w:val="24"/>
          <w:szCs w:val="24"/>
        </w:rPr>
        <w:t>投标书报价中应包括与维保内容有关的所有费用（比如人工、工具、两百元以内零配件费用、利润、税金等等）。</w:t>
      </w:r>
    </w:p>
    <w:p>
      <w:pPr>
        <w:widowControl/>
        <w:shd w:val="clear" w:color="auto" w:fill="FFFFFF"/>
        <w:spacing w:line="375" w:lineRule="atLeast"/>
        <w:ind w:firstLine="555"/>
        <w:jc w:val="left"/>
        <w:rPr>
          <w:rFonts w:ascii="仿宋_GB2312" w:hAnsi="宋体" w:cs="宋体"/>
          <w:color w:val="2B2B2B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2、投标书中应包含贵公司经营的合法证明文件及有关资质证明材料等。如电梯维保授权证书或合同等证明文件、企业法人经营执照、税务登记证等。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3、投标书中应包含贵公司详细的服务承诺（维保范围、响应时间、完工时限等），承诺内容应满足我院基本要求。在基本要求之外能够提供的其他服务也请列出。公司的主要业绩。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4、投标书（包括相关资料）落款处应加盖投标单位印章和法人代表签字。若签字人不是法人代表，则应附有法人授权书。投标书（包括相关资料）应装订成一册并装袋密封，封口应加盖投标单位印章。投标文件一律不退，请贵单位自留底稿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5、评标小组按照有关规定从价格、公司规模、业绩、维保信誉度等各方面进行综合评议确定中标公司。若报价超出市场现行行业价，我院有权作废标处理或重新招标等。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6、中标单位接到中标通知后必须在三个工作日内前来我院签定合同，否则视为自动弃标，我院有权确定第二中标单位。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br w:type="textWrapping"/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    7、投标方为投标发生的一切费用由投标方自己承担。</w:t>
      </w:r>
    </w:p>
    <w:p>
      <w:pPr>
        <w:widowControl/>
        <w:shd w:val="clear" w:color="auto" w:fill="FFFFFF"/>
        <w:spacing w:line="375" w:lineRule="atLeast"/>
        <w:ind w:firstLine="555"/>
        <w:jc w:val="left"/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8、中标单位在日常维保期间，如出现连续三次达不到电梯维保基本保障要求，院方有权终止合同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（详见附表）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。</w:t>
      </w:r>
    </w:p>
    <w:p>
      <w:pPr>
        <w:pStyle w:val="3"/>
        <w:bidi w:val="0"/>
        <w:ind w:firstLine="1928" w:firstLineChars="600"/>
        <w:rPr>
          <w:rFonts w:hint="eastAsia"/>
          <w:lang w:eastAsia="zh-CN"/>
        </w:rPr>
      </w:pPr>
    </w:p>
    <w:p>
      <w:pPr>
        <w:pStyle w:val="3"/>
        <w:bidi w:val="0"/>
        <w:ind w:firstLine="1928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电梯维护保养工作质量考核表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390"/>
        <w:gridCol w:w="650"/>
        <w:gridCol w:w="2147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顺序</w:t>
            </w:r>
          </w:p>
        </w:tc>
        <w:tc>
          <w:tcPr>
            <w:tcW w:w="4390" w:type="dxa"/>
          </w:tcPr>
          <w:p>
            <w:r>
              <w:rPr>
                <w:rFonts w:hint="eastAsia"/>
              </w:rPr>
              <w:t>标准内容</w:t>
            </w:r>
          </w:p>
        </w:tc>
        <w:tc>
          <w:tcPr>
            <w:tcW w:w="650" w:type="dxa"/>
          </w:tcPr>
          <w:p>
            <w:r>
              <w:rPr>
                <w:rFonts w:hint="eastAsia"/>
              </w:rPr>
              <w:t>标准分值</w:t>
            </w:r>
          </w:p>
        </w:tc>
        <w:tc>
          <w:tcPr>
            <w:tcW w:w="2147" w:type="dxa"/>
          </w:tcPr>
          <w:p>
            <w:r>
              <w:rPr>
                <w:rFonts w:hint="eastAsia"/>
              </w:rPr>
              <w:t>评分方法</w:t>
            </w:r>
          </w:p>
        </w:tc>
        <w:tc>
          <w:tcPr>
            <w:tcW w:w="699" w:type="dxa"/>
          </w:tcPr>
          <w:p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房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r>
              <w:rPr>
                <w:rFonts w:hint="eastAsia"/>
              </w:rPr>
              <w:t>分</w:t>
            </w:r>
          </w:p>
        </w:tc>
        <w:tc>
          <w:tcPr>
            <w:tcW w:w="439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机房环境</w:t>
            </w:r>
            <w:r>
              <w:rPr>
                <w:rFonts w:hint="eastAsia"/>
                <w:lang w:eastAsia="zh-CN"/>
              </w:rPr>
              <w:t>：</w:t>
            </w:r>
          </w:p>
          <w:p>
            <w:r>
              <w:rPr>
                <w:rFonts w:hint="eastAsia"/>
              </w:rPr>
              <w:t>机房内应保持清洁、无杂物、门窗应可靠牢固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控制柜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控制柜内各电子元件及微机设备内无灰尘、无异味等情况，各种标识应清晰有效。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主机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运行时无异常噪音，无异常气味，无漏油现象。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5分；基本符合：3分；不符合：0分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r>
              <w:rPr>
                <w:rFonts w:hint="eastAsia"/>
              </w:rPr>
              <w:t>4.机房内各转动部位应有明显标记。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2分；基本符合：2分；不符合：0分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5.限速器：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</w:rPr>
              <w:t>夹绳口的污垢应及时清除，使夹绳动作可靠。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6.机房内应有救援说明</w:t>
            </w:r>
            <w:r>
              <w:rPr>
                <w:rFonts w:hint="eastAsia"/>
                <w:lang w:eastAsia="zh-CN"/>
              </w:rPr>
              <w:t>，救援工具应齐全，电梯维保单位相关资料真实有效。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5分；基本符合：2分；不符合：0分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二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井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道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15分</w:t>
            </w:r>
          </w:p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1.各层厅门电器开关、门锁应动作灵活、可靠。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2.各层门厅门头、门扇、地坎、应无垃圾、砂石、油污等。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3.钢丝绳有无断股断丝现象，并检查钢丝绳的受力均匀情况。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4.检查各厅门的门轨、门触点是否符合标准。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5.强迫换速开关、限位开关、极限开关应动作灵活可靠。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顶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</w:t>
            </w:r>
          </w:p>
        </w:tc>
        <w:tc>
          <w:tcPr>
            <w:tcW w:w="439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1.安全窗、安全钳、钢带等电器开关应动作可靠有效。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4分；基本符合：2分；不符合：0分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2.导轨润滑要良好，油杯油量应适当，不易过多不宜过少。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3.桥顶应保持清洁，没有油污和杂物。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桥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厢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11分</w:t>
            </w:r>
          </w:p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1.操纵箱内各个开关按钮应动作灵活，有效。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4分；基本符合：2分；不符合：0分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2.桥内照明、风扇应良好。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3.安全触板、光幕板动作应有效，桥</w:t>
            </w:r>
            <w:r>
              <w:rPr>
                <w:rFonts w:hint="eastAsia"/>
                <w:lang w:eastAsia="zh-CN"/>
              </w:rPr>
              <w:t>厢</w:t>
            </w:r>
            <w:r>
              <w:rPr>
                <w:rFonts w:hint="eastAsia"/>
                <w:lang w:val="en-US" w:eastAsia="zh-CN"/>
              </w:rPr>
              <w:t>超限装置应有效。电梯紧急报警应有效。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4分；基本符合：2分；不符合：0分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底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坑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11分</w:t>
            </w:r>
          </w:p>
        </w:tc>
        <w:tc>
          <w:tcPr>
            <w:tcW w:w="439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底坑环境卫生：定期清理底坑环境卫生，底坑无垃圾。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2.张紧装置的开关位置应符合标准，涨紧轮锈蚀磨损是否严重。电梯</w:t>
            </w:r>
            <w:r>
              <w:rPr>
                <w:rFonts w:hint="eastAsia"/>
                <w:lang w:eastAsia="zh-CN"/>
              </w:rPr>
              <w:t>底坑</w:t>
            </w:r>
            <w:r>
              <w:rPr>
                <w:rFonts w:hint="eastAsia"/>
                <w:lang w:val="en-US" w:eastAsia="zh-CN"/>
              </w:rPr>
              <w:t>低压接线盒应符合标准。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4分；基本符合：2分；不符合：0分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3.缓冲器开关应动作灵活。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4分；基本符合：2分；不符合：0分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础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部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31分</w:t>
            </w:r>
          </w:p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1.维修人员仪容仪表：统一着装佩戴工作证，严禁穿拖鞋和赤脚作业。维修人员精神饱满，不得在工作区域抽烟。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优秀：</w:t>
            </w:r>
            <w:r>
              <w:rPr>
                <w:rFonts w:hint="eastAsia"/>
                <w:lang w:val="en-US" w:eastAsia="zh-CN"/>
              </w:rPr>
              <w:t>5分；</w:t>
            </w:r>
            <w:r>
              <w:rPr>
                <w:rFonts w:hint="eastAsia"/>
                <w:lang w:eastAsia="zh-CN"/>
              </w:rPr>
              <w:t>良好：</w:t>
            </w:r>
            <w:r>
              <w:rPr>
                <w:rFonts w:hint="eastAsia"/>
                <w:lang w:val="en-US" w:eastAsia="zh-CN"/>
              </w:rPr>
              <w:t>4分；</w:t>
            </w:r>
            <w:r>
              <w:rPr>
                <w:rFonts w:hint="eastAsia"/>
                <w:lang w:eastAsia="zh-CN"/>
              </w:rPr>
              <w:t>合格：</w:t>
            </w:r>
            <w:r>
              <w:rPr>
                <w:rFonts w:hint="eastAsia"/>
                <w:lang w:val="en-US" w:eastAsia="zh-CN"/>
              </w:rPr>
              <w:t>3分；</w:t>
            </w:r>
            <w:r>
              <w:rPr>
                <w:rFonts w:hint="eastAsia"/>
                <w:lang w:eastAsia="zh-CN"/>
              </w:rPr>
              <w:t>不合格：</w:t>
            </w: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故障处理：故障处理及时，从电梯维保单位接到报修后不超过30分钟到达现场（2）维保人员达到现场后要告知管理处开始检修，维修工作结束后报告管理处检修结果。（3）一般故障修复时间不超过一小时，如需更换购买零配件的故障，维保单位应及时告知管理处备案，并张贴停梯通知和检修恢复时间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优秀：</w:t>
            </w:r>
            <w:r>
              <w:rPr>
                <w:rFonts w:hint="eastAsia"/>
                <w:lang w:val="en-US" w:eastAsia="zh-CN"/>
              </w:rPr>
              <w:t>10分；</w:t>
            </w:r>
            <w:r>
              <w:rPr>
                <w:rFonts w:hint="eastAsia"/>
                <w:lang w:eastAsia="zh-CN"/>
              </w:rPr>
              <w:t>良好：</w:t>
            </w:r>
            <w:r>
              <w:rPr>
                <w:rFonts w:hint="eastAsia"/>
                <w:lang w:val="en-US" w:eastAsia="zh-CN"/>
              </w:rPr>
              <w:t>8分；</w:t>
            </w:r>
            <w:r>
              <w:rPr>
                <w:rFonts w:hint="eastAsia"/>
                <w:lang w:eastAsia="zh-CN"/>
              </w:rPr>
              <w:t>合格：</w:t>
            </w:r>
            <w:r>
              <w:rPr>
                <w:rFonts w:hint="eastAsia"/>
                <w:lang w:val="en-US" w:eastAsia="zh-CN"/>
              </w:rPr>
              <w:t>6分；</w:t>
            </w:r>
            <w:r>
              <w:rPr>
                <w:rFonts w:hint="eastAsia"/>
                <w:lang w:eastAsia="zh-CN"/>
              </w:rPr>
              <w:t>不合格：</w:t>
            </w:r>
            <w:r>
              <w:rPr>
                <w:rFonts w:hint="eastAsia"/>
                <w:lang w:val="en-US" w:eastAsia="zh-CN"/>
              </w:rPr>
              <w:t>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39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3.工作记录（1）电梯维保时应按照《电梯维保检查记录表》的要求详细记录。（2）电梯维修记录清晰（电梯故障及处理结果）；（3）电梯配件更换记录清晰（电梯配件质保）。</w:t>
            </w:r>
          </w:p>
        </w:tc>
        <w:tc>
          <w:tcPr>
            <w:tcW w:w="6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47" w:type="dxa"/>
          </w:tcPr>
          <w:p>
            <w:r>
              <w:rPr>
                <w:rFonts w:hint="eastAsia"/>
                <w:lang w:eastAsia="zh-CN"/>
              </w:rPr>
              <w:t>符合：</w:t>
            </w:r>
            <w:r>
              <w:rPr>
                <w:rFonts w:hint="eastAsia"/>
                <w:lang w:val="en-US" w:eastAsia="zh-CN"/>
              </w:rPr>
              <w:t>3分；基本符合：2分；不符合：0分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nil"/>
              <w:bottom w:val="single" w:color="auto" w:sz="4" w:space="0"/>
            </w:tcBorders>
          </w:tcPr>
          <w:p/>
        </w:tc>
        <w:tc>
          <w:tcPr>
            <w:tcW w:w="439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4.安全情况：（1）维护、检修故障作业时维保人员应告知管理处，并铺设安全围栏及警示标语；（2）维保单位作业时严格按照《电梯维护、维修安全作业规范》操作。</w:t>
            </w:r>
          </w:p>
        </w:tc>
        <w:tc>
          <w:tcPr>
            <w:tcW w:w="65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4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符合安全操作规程：</w:t>
            </w:r>
            <w:r>
              <w:rPr>
                <w:rFonts w:hint="eastAsia"/>
                <w:lang w:val="en-US" w:eastAsia="zh-CN"/>
              </w:rPr>
              <w:t>10分；违反操作规程：0分</w:t>
            </w:r>
          </w:p>
        </w:tc>
        <w:tc>
          <w:tcPr>
            <w:tcW w:w="6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tcBorders>
              <w:top w:val="single" w:color="auto" w:sz="4" w:space="0"/>
            </w:tcBorders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得分</w:t>
            </w:r>
          </w:p>
        </w:tc>
        <w:tc>
          <w:tcPr>
            <w:tcW w:w="7187" w:type="dxa"/>
            <w:gridSpan w:val="3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699" w:type="dxa"/>
          </w:tcPr>
          <w:p/>
        </w:tc>
      </w:tr>
    </w:tbl>
    <w:p>
      <w:pPr>
        <w:pStyle w:val="2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说明：招标方每月对维保单位进行考评，如维保单位一次考核低于60分，或连续出现3次电梯故障半小时内无法到达现场处理，招标方可单方面终止合同，重新招标。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62F8B"/>
    <w:multiLevelType w:val="multilevel"/>
    <w:tmpl w:val="36062F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66354A"/>
    <w:multiLevelType w:val="multilevel"/>
    <w:tmpl w:val="4466354A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54"/>
    <w:rsid w:val="00031367"/>
    <w:rsid w:val="001A4E7C"/>
    <w:rsid w:val="001B7728"/>
    <w:rsid w:val="003922B2"/>
    <w:rsid w:val="004332D1"/>
    <w:rsid w:val="00454CD4"/>
    <w:rsid w:val="004B1A78"/>
    <w:rsid w:val="004B6F50"/>
    <w:rsid w:val="004D6854"/>
    <w:rsid w:val="005037B3"/>
    <w:rsid w:val="00571E6B"/>
    <w:rsid w:val="005D10C3"/>
    <w:rsid w:val="00683BA0"/>
    <w:rsid w:val="006A083C"/>
    <w:rsid w:val="006B5EC4"/>
    <w:rsid w:val="007324B3"/>
    <w:rsid w:val="00760AC6"/>
    <w:rsid w:val="00766F9C"/>
    <w:rsid w:val="007C3753"/>
    <w:rsid w:val="008555A4"/>
    <w:rsid w:val="00855FFC"/>
    <w:rsid w:val="00874708"/>
    <w:rsid w:val="0089708E"/>
    <w:rsid w:val="008D5086"/>
    <w:rsid w:val="008F27F8"/>
    <w:rsid w:val="0093393C"/>
    <w:rsid w:val="009B4050"/>
    <w:rsid w:val="00A321FE"/>
    <w:rsid w:val="00A86CF9"/>
    <w:rsid w:val="00AF37CD"/>
    <w:rsid w:val="00B520D6"/>
    <w:rsid w:val="00C45621"/>
    <w:rsid w:val="00CC7B58"/>
    <w:rsid w:val="00D00637"/>
    <w:rsid w:val="00DA4B46"/>
    <w:rsid w:val="00E56B17"/>
    <w:rsid w:val="00E81880"/>
    <w:rsid w:val="00E8703D"/>
    <w:rsid w:val="00FD7374"/>
    <w:rsid w:val="17E544F7"/>
    <w:rsid w:val="37B67D8C"/>
    <w:rsid w:val="657D5116"/>
    <w:rsid w:val="6E05060F"/>
    <w:rsid w:val="7887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qFormat/>
    <w:uiPriority w:val="99"/>
    <w:pPr>
      <w:spacing w:before="100" w:beforeAutospacing="1" w:after="100" w:afterAutospacing="1" w:line="416" w:lineRule="exact"/>
      <w:ind w:left="560"/>
      <w:outlineLvl w:val="2"/>
    </w:pPr>
    <w:rPr>
      <w:rFonts w:ascii="微软雅黑" w:hAnsi="微软雅黑" w:eastAsia="微软雅黑" w:cs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link w:val="11"/>
    <w:unhideWhenUsed/>
    <w:qFormat/>
    <w:uiPriority w:val="99"/>
    <w:rPr>
      <w:rFonts w:ascii="宋体" w:hAnsi="宋体" w:cs="宋体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3 Char"/>
    <w:basedOn w:val="8"/>
    <w:link w:val="4"/>
    <w:qFormat/>
    <w:uiPriority w:val="99"/>
    <w:rPr>
      <w:rFonts w:ascii="微软雅黑" w:hAnsi="微软雅黑" w:eastAsia="微软雅黑" w:cs="宋体"/>
      <w:b/>
      <w:bCs/>
      <w:sz w:val="24"/>
      <w:szCs w:val="24"/>
    </w:rPr>
  </w:style>
  <w:style w:type="character" w:customStyle="1" w:styleId="11">
    <w:name w:val="正文文本 Char"/>
    <w:basedOn w:val="8"/>
    <w:link w:val="5"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12">
    <w:name w:val="Table Paragraph"/>
    <w:basedOn w:val="1"/>
    <w:qFormat/>
    <w:uiPriority w:val="0"/>
    <w:rPr>
      <w:rFonts w:ascii="宋体" w:hAnsi="宋体" w:cs="宋体"/>
    </w:rPr>
  </w:style>
  <w:style w:type="paragraph" w:customStyle="1" w:styleId="13">
    <w:name w:val="List Paragraph"/>
    <w:basedOn w:val="1"/>
    <w:qFormat/>
    <w:uiPriority w:val="0"/>
    <w:pPr>
      <w:spacing w:before="100" w:beforeAutospacing="1" w:after="100" w:afterAutospacing="1"/>
      <w:ind w:left="560" w:hanging="244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538</Words>
  <Characters>3071</Characters>
  <Lines>25</Lines>
  <Paragraphs>7</Paragraphs>
  <TotalTime>9</TotalTime>
  <ScaleCrop>false</ScaleCrop>
  <LinksUpToDate>false</LinksUpToDate>
  <CharactersWithSpaces>3602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2021-06-02T06:26:00Z</dcterms:created>
  <dc:creator>蒙春见</dc:creator>
  <cp:lastModifiedBy>chance</cp:lastModifiedBy>
  <cp:lastPrinted>2021-06-18T07:29:00Z</cp:lastPrinted>
  <dcterms:modified xsi:type="dcterms:W3CDTF">2021-08-11T01:51:55Z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2E99DA460C704189AFA5ED4C93AECD6A</vt:lpwstr>
  </property>
</Properties>
</file>