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widowControl/>
        <w:spacing w:line="360" w:lineRule="auto"/>
        <w:ind w:left="-708" w:leftChars="-338" w:hanging="2"/>
        <w:jc w:val="left"/>
        <w:rPr>
          <w:rFonts w:cs="宋体"/>
          <w:kern w:val="0"/>
        </w:rPr>
      </w:pPr>
      <w:r>
        <w:rPr>
          <w:rFonts w:hint="eastAsia" w:cs="宋体"/>
          <w:kern w:val="0"/>
        </w:rPr>
        <w:t>1、本一览表中如涉及有品牌型号、技术参数及其性能（配置），仅起参考作用，竞标人可选用其他品牌型号替代，但这些替代的品牌型号要实质上相当于或优于参考品牌型号及其技术参数性能（配置）要求，同时在投标文件中标明明细。</w:t>
      </w:r>
    </w:p>
    <w:p>
      <w:pPr>
        <w:pStyle w:val="2"/>
        <w:ind w:left="-708" w:leftChars="-338" w:hanging="2"/>
        <w:rPr>
          <w:color w:val="FF0000"/>
          <w:sz w:val="21"/>
          <w:szCs w:val="21"/>
        </w:rPr>
      </w:pPr>
      <w:r>
        <w:rPr>
          <w:rFonts w:hint="eastAsia"/>
          <w:color w:val="FF0000"/>
          <w:sz w:val="21"/>
          <w:szCs w:val="21"/>
        </w:rPr>
        <w:t>2、★ 部分为核心参数，不满足视为无效投标。</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color w:val="FF0000"/>
          <w:sz w:val="21"/>
          <w:szCs w:val="21"/>
        </w:rPr>
      </w:pPr>
      <w:r>
        <w:rPr>
          <w:rFonts w:hint="eastAsia" w:cs="宋体"/>
          <w:b/>
          <w:bCs/>
        </w:rPr>
        <w:t>（一）</w:t>
      </w:r>
      <w:commentRangeStart w:id="0"/>
      <w:r>
        <w:rPr>
          <w:rFonts w:hint="eastAsia" w:cs="宋体"/>
          <w:b/>
          <w:bCs/>
        </w:rPr>
        <w:t>采购清单</w:t>
      </w:r>
      <w:commentRangeEnd w:id="0"/>
      <w:r>
        <w:rPr>
          <w:rStyle w:val="12"/>
          <w:color w:val="auto"/>
          <w:kern w:val="2"/>
        </w:rPr>
        <w:commentReference w:id="0"/>
      </w:r>
      <w:r>
        <w:rPr>
          <w:b/>
          <w:bCs/>
        </w:rPr>
        <w:t> </w:t>
      </w:r>
    </w:p>
    <w:tbl>
      <w:tblPr>
        <w:tblStyle w:val="10"/>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846"/>
        <w:gridCol w:w="439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840" w:type="dxa"/>
          </w:tcPr>
          <w:p>
            <w:pPr>
              <w:pStyle w:val="2"/>
              <w:jc w:val="both"/>
            </w:pPr>
            <w:r>
              <w:rPr>
                <w:rFonts w:hint="eastAsia"/>
              </w:rPr>
              <w:t>项目名称</w:t>
            </w:r>
          </w:p>
        </w:tc>
        <w:tc>
          <w:tcPr>
            <w:tcW w:w="846" w:type="dxa"/>
          </w:tcPr>
          <w:p>
            <w:pPr>
              <w:pStyle w:val="2"/>
              <w:jc w:val="both"/>
            </w:pPr>
            <w:r>
              <w:rPr>
                <w:rFonts w:hint="eastAsia"/>
              </w:rPr>
              <w:t>数量</w:t>
            </w:r>
          </w:p>
        </w:tc>
        <w:tc>
          <w:tcPr>
            <w:tcW w:w="4394" w:type="dxa"/>
          </w:tcPr>
          <w:p>
            <w:pPr>
              <w:pStyle w:val="2"/>
              <w:jc w:val="both"/>
            </w:pPr>
            <w:r>
              <w:rPr>
                <w:rFonts w:hint="eastAsia"/>
              </w:rPr>
              <w:t>产品用途与说明</w:t>
            </w:r>
          </w:p>
        </w:tc>
        <w:tc>
          <w:tcPr>
            <w:tcW w:w="1701" w:type="dxa"/>
          </w:tcPr>
          <w:p>
            <w:pPr>
              <w:pStyle w:val="2"/>
              <w:jc w:val="both"/>
            </w:pPr>
            <w:r>
              <w:rPr>
                <w:rFonts w:hint="eastAsia"/>
              </w:rPr>
              <w:t>实施地点</w:t>
            </w:r>
          </w:p>
        </w:tc>
      </w:tr>
      <w:sdt>
        <w:sdtPr>
          <w:alias w:val="根据实际情况填写"/>
          <w:tag w:val="根据实际情况填写"/>
          <w:id w:val="-1110810611"/>
          <w:placeholder>
            <w:docPart w:val="DefaultPlaceholder_-1854013440"/>
          </w:placeholder>
          <w15:color w:val="FF6600"/>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840" w:type="dxa"/>
              </w:tcPr>
              <w:p>
                <w:pPr>
                  <w:spacing w:after="156" w:afterLines="50"/>
                  <w:jc w:val="center"/>
                  <w:rPr>
                    <w:b/>
                    <w:sz w:val="32"/>
                    <w:szCs w:val="40"/>
                  </w:rPr>
                </w:pPr>
                <w:bookmarkStart w:id="0" w:name="_GoBack" w:colFirst="0" w:colLast="3"/>
                <w:r>
                  <w:rPr>
                    <w:rFonts w:hint="eastAsia"/>
                  </w:rPr>
                  <w:t>全自动多通道荧光PCR仪</w:t>
                </w:r>
              </w:p>
              <w:p>
                <w:pPr>
                  <w:pStyle w:val="2"/>
                  <w:jc w:val="both"/>
                  <w:rPr>
                    <w:rFonts w:hint="eastAsia"/>
                  </w:rPr>
                </w:pPr>
              </w:p>
            </w:tc>
            <w:tc>
              <w:tcPr>
                <w:tcW w:w="846" w:type="dxa"/>
              </w:tcPr>
              <w:p>
                <w:pPr>
                  <w:pStyle w:val="2"/>
                  <w:jc w:val="both"/>
                  <w:rPr>
                    <w:rFonts w:hint="eastAsia"/>
                  </w:rPr>
                </w:pPr>
                <w:r>
                  <w:rPr>
                    <w:rFonts w:hint="eastAsia"/>
                  </w:rPr>
                  <w:t>1台</w:t>
                </w:r>
              </w:p>
            </w:tc>
            <w:tc>
              <w:tcPr>
                <w:tcW w:w="4394" w:type="dxa"/>
              </w:tcPr>
              <w:p>
                <w:pPr>
                  <w:pStyle w:val="2"/>
                  <w:jc w:val="both"/>
                  <w:rPr>
                    <w:rFonts w:hint="eastAsia"/>
                  </w:rPr>
                </w:pPr>
                <w:r>
                  <w:t>用于临床实验室中利用荧光聚合酶链反应方法对多种基因进行定性或定量分析</w:t>
                </w:r>
              </w:p>
            </w:tc>
            <w:tc>
              <w:tcPr>
                <w:tcW w:w="1701" w:type="dxa"/>
              </w:tcPr>
              <w:p>
                <w:pPr>
                  <w:pStyle w:val="2"/>
                  <w:jc w:val="both"/>
                </w:pPr>
                <w:r>
                  <w:rPr>
                    <w:rFonts w:hint="eastAsia"/>
                  </w:rPr>
                  <w:t>广西壮族自治区桂东人民医院</w:t>
                </w:r>
              </w:p>
            </w:tc>
          </w:tr>
        </w:sdtContent>
      </w:sdt>
      <w:bookmarkEnd w:id="0"/>
    </w:tbl>
    <w:p>
      <w:pPr>
        <w:widowControl/>
        <w:numPr>
          <w:ilvl w:val="0"/>
          <w:numId w:val="1"/>
        </w:numPr>
        <w:spacing w:line="360" w:lineRule="auto"/>
        <w:ind w:left="-708" w:leftChars="-337"/>
        <w:jc w:val="left"/>
      </w:pPr>
      <w:r>
        <w:rPr>
          <w:rFonts w:hint="eastAsia" w:cs="宋体"/>
          <w:b/>
          <w:bCs/>
          <w:kern w:val="0"/>
          <w:sz w:val="24"/>
          <w:szCs w:val="24"/>
        </w:rPr>
        <w:t>技术规格参数</w:t>
      </w:r>
    </w:p>
    <w:sdt>
      <w:sdtPr>
        <w:rPr>
          <w:rFonts w:hint="eastAsia" w:ascii="Times New Roman" w:hAnsi="Times New Roman" w:eastAsia="宋体" w:cs="Times New Roman"/>
          <w:color w:val="000000"/>
          <w:kern w:val="0"/>
          <w:sz w:val="24"/>
          <w:szCs w:val="24"/>
          <w:lang w:val="en-US" w:eastAsia="zh-CN" w:bidi="ar-SA"/>
        </w:rPr>
        <w:id w:val="147471302"/>
        <w15:repeatingSection/>
      </w:sdtPr>
      <w:sdtEndPr>
        <w:rPr>
          <w:rFonts w:hint="eastAsia" w:ascii="Times New Roman" w:hAnsi="Times New Roman" w:eastAsia="宋体" w:cs="Times New Roman"/>
          <w:color w:val="000000"/>
          <w:kern w:val="0"/>
          <w:sz w:val="24"/>
          <w:szCs w:val="24"/>
          <w:lang w:val="en-US" w:eastAsia="zh-CN" w:bidi="ar-SA"/>
        </w:rPr>
      </w:sdtEndPr>
      <w:sdtContent>
        <w:sdt>
          <w:sdtPr>
            <w:rPr>
              <w:rFonts w:hint="eastAsia" w:ascii="Times New Roman" w:hAnsi="Times New Roman" w:eastAsia="宋体" w:cs="Times New Roman"/>
              <w:color w:val="000000"/>
              <w:kern w:val="0"/>
              <w:sz w:val="24"/>
              <w:szCs w:val="24"/>
              <w:lang w:val="en-US" w:eastAsia="zh-CN" w:bidi="ar-SA"/>
            </w:rPr>
            <w:id w:val="147471276"/>
            <w:placeholder>
              <w:docPart w:val="{2fe68bf9-e570-429b-a8b5-0a9aed96709c}"/>
            </w:placeholder>
            <w15:repeatingSectionItem/>
          </w:sdtPr>
          <w:sdtEndPr>
            <w:rPr>
              <w:rFonts w:hint="eastAsia" w:ascii="Times New Roman" w:hAnsi="Times New Roman" w:eastAsia="宋体" w:cs="Times New Roman"/>
              <w:color w:val="000000"/>
              <w:kern w:val="0"/>
              <w:sz w:val="24"/>
              <w:szCs w:val="24"/>
              <w:lang w:val="en-US" w:eastAsia="zh-CN" w:bidi="ar-SA"/>
            </w:rPr>
          </w:sdtEndPr>
          <w:sdtContent>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ascii="宋体" w:hAnsi="宋体" w:eastAsia="宋体"/>
                  <w:sz w:val="28"/>
                  <w:szCs w:val="28"/>
                </w:rPr>
              </w:pPr>
              <w:r>
                <w:rPr>
                  <w:rFonts w:hint="eastAsia"/>
                </w:rPr>
                <w:t>1.激发光源：采用LED光源；</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hint="eastAsia" w:ascii="宋体" w:hAnsi="宋体" w:eastAsiaTheme="minorEastAsia"/>
                  <w:sz w:val="28"/>
                  <w:szCs w:val="28"/>
                  <w:lang w:val="en-US" w:eastAsia="zh-CN"/>
                </w:rPr>
              </w:pPr>
              <w:r>
                <w:rPr>
                  <w:rFonts w:hint="eastAsia"/>
                </w:rPr>
                <w:t>★2.检测器：采用光电倍增管PMT；</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ascii="宋体" w:hAnsi="宋体" w:eastAsia="宋体"/>
                  <w:sz w:val="28"/>
                  <w:szCs w:val="28"/>
                </w:rPr>
              </w:pPr>
              <w:r>
                <w:rPr>
                  <w:rFonts w:hint="eastAsia"/>
                </w:rPr>
                <w:t>★3.荧光检测通道：</w:t>
              </w:r>
              <w:r>
                <w:rPr>
                  <w:rFonts w:hint="default"/>
                </w:rPr>
                <w:t>≥</w:t>
              </w:r>
              <w:r>
                <w:rPr>
                  <w:rFonts w:hint="eastAsia"/>
                </w:rPr>
                <w:t>5个；</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ascii="宋体" w:hAnsi="宋体" w:eastAsia="宋体"/>
                  <w:sz w:val="28"/>
                  <w:szCs w:val="28"/>
                </w:rPr>
              </w:pPr>
              <w:r>
                <w:rPr>
                  <w:rFonts w:hint="eastAsia"/>
                </w:rPr>
                <w:t>★4.扫描方式：采用双高灵敏PMT光电倍增管底部荧光扫描方式（全板扫描或指定行扫描），支持光程短，准确度及重复性高；</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ascii="宋体" w:hAnsi="宋体" w:eastAsia="宋体"/>
                  <w:sz w:val="28"/>
                  <w:szCs w:val="28"/>
                </w:rPr>
              </w:pPr>
              <w:r>
                <w:rPr>
                  <w:rFonts w:hint="eastAsia"/>
                </w:rPr>
                <w:t>5.荧光检测波长：500-800nm；</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hint="eastAsia" w:ascii="宋体" w:hAnsi="宋体" w:eastAsia="宋体"/>
                  <w:sz w:val="28"/>
                  <w:szCs w:val="28"/>
                  <w:lang w:val="en-US" w:eastAsia="zh-CN"/>
                </w:rPr>
              </w:pPr>
              <w:r>
                <w:rPr>
                  <w:rFonts w:hint="eastAsia"/>
                </w:rPr>
                <w:t xml:space="preserve">6.激发光波长：300-800nm； </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ascii="宋体" w:hAnsi="宋体" w:eastAsia="宋体"/>
                  <w:sz w:val="28"/>
                  <w:szCs w:val="28"/>
                </w:rPr>
              </w:pPr>
              <w:r>
                <w:rPr>
                  <w:rFonts w:hint="eastAsia"/>
                </w:rPr>
                <w:t>7.样本容量96×0.2mL，可用12×8联管，96孔板(半裙板、无裙板)；</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hint="default" w:ascii="宋体" w:hAnsi="宋体" w:eastAsia="宋体"/>
                  <w:sz w:val="28"/>
                  <w:szCs w:val="28"/>
                  <w:lang w:val="en-US" w:eastAsia="zh-CN"/>
                </w:rPr>
              </w:pPr>
              <w:r>
                <w:rPr>
                  <w:rFonts w:hint="eastAsia"/>
                </w:rPr>
                <w:t>8.样本容量：96孔；</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ascii="宋体" w:hAnsi="宋体" w:eastAsia="宋体"/>
                  <w:sz w:val="28"/>
                  <w:szCs w:val="28"/>
                </w:rPr>
              </w:pPr>
              <w:r>
                <w:rPr>
                  <w:rFonts w:hint="eastAsia"/>
                </w:rPr>
                <w:t>9.反应体系5</w:t>
              </w:r>
              <w:r>
                <w:t>-</w:t>
              </w:r>
              <w:r>
                <w:rPr>
                  <w:rFonts w:hint="eastAsia"/>
                </w:rPr>
                <w:t>100μL；</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ascii="宋体" w:hAnsi="宋体" w:eastAsia="宋体"/>
                  <w:sz w:val="28"/>
                  <w:szCs w:val="28"/>
                </w:rPr>
              </w:pPr>
              <w:r>
                <w:rPr>
                  <w:rFonts w:hint="eastAsia"/>
                </w:rPr>
                <w:t xml:space="preserve"> 10.线性范围：1～1010copie；</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ascii="宋体" w:hAnsi="宋体" w:eastAsia="宋体"/>
                  <w:sz w:val="28"/>
                  <w:szCs w:val="28"/>
                </w:rPr>
              </w:pPr>
              <w:r>
                <w:rPr>
                  <w:rFonts w:hint="eastAsia"/>
                </w:rPr>
                <w:t>★11.可探测荧光染料：F1:FAM、SYBR Green I等； F2:VIC、HEX、TET、JOE 、CY3、NED、TAMRA等；F3:ROX、TEXAS-RED等；F4:CY5、Quasar-670等；F5:CY5.5、Quasar-705等；</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sz w:val="28"/>
                  <w:szCs w:val="28"/>
                </w:rPr>
              </w:pPr>
              <w:r>
                <w:rPr>
                  <w:rFonts w:hint="eastAsia"/>
                </w:rPr>
                <w:t>12.控温技术：半导体制冷片加热制冷技术；</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ascii="宋体" w:hAnsi="宋体" w:cs="宋体"/>
                  <w:color w:val="000000"/>
                  <w:sz w:val="28"/>
                  <w:szCs w:val="28"/>
                </w:rPr>
              </w:pPr>
              <w:r>
                <w:rPr>
                  <w:rFonts w:hint="eastAsia"/>
                </w:rPr>
                <w:t>13.控温模式：依据加液量自动选择BLOCK和模拟TUBE两种控温模式；</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sz w:val="28"/>
                  <w:szCs w:val="28"/>
                </w:rPr>
              </w:pPr>
              <w:r>
                <w:rPr>
                  <w:rFonts w:hint="eastAsia"/>
                </w:rPr>
                <w:t>14.控温范围：4.0～105.0℃；</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eastAsiaTheme="minorEastAsia"/>
                  <w:sz w:val="28"/>
                  <w:szCs w:val="28"/>
                  <w:lang w:eastAsia="zh-CN"/>
                </w:rPr>
              </w:pPr>
              <w:r>
                <w:rPr>
                  <w:rFonts w:hint="eastAsia"/>
                </w:rPr>
                <w:t>15.升降温速度：≥5℃/s ；</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sz w:val="28"/>
                  <w:szCs w:val="28"/>
                </w:rPr>
              </w:pPr>
              <w:r>
                <w:rPr>
                  <w:rFonts w:hint="eastAsia"/>
                </w:rPr>
                <w:t>16.控温精确度：≤±0.1℃；</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sz w:val="28"/>
                  <w:szCs w:val="28"/>
                </w:rPr>
              </w:pPr>
              <w:r>
                <w:rPr>
                  <w:rFonts w:hint="eastAsia"/>
                </w:rPr>
                <w:t>17.温度波动范围：≤±0.1℃；</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sz w:val="28"/>
                  <w:szCs w:val="28"/>
                </w:rPr>
              </w:pPr>
              <w:r>
                <w:rPr>
                  <w:rFonts w:hint="eastAsia"/>
                </w:rPr>
                <w:t>18.温度均匀性：≤±0.3℃ ；</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ascii="宋体" w:hAnsi="宋体" w:cs="宋体"/>
                  <w:color w:val="000000"/>
                  <w:sz w:val="28"/>
                  <w:szCs w:val="28"/>
                </w:rPr>
              </w:pPr>
              <w:r>
                <w:rPr>
                  <w:rFonts w:hint="eastAsia"/>
                </w:rPr>
                <w:t>★19.梯度温度：12列梯度温度，模块梯度范围为1～36℃；</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ascii="宋体" w:hAnsi="宋体" w:cs="宋体"/>
                  <w:color w:val="000000"/>
                  <w:sz w:val="28"/>
                  <w:szCs w:val="28"/>
                </w:rPr>
              </w:pPr>
              <w:r>
                <w:rPr>
                  <w:rFonts w:hint="eastAsia"/>
                </w:rPr>
                <w:t>★20.热盖温度范围：30℃～110℃，全封闭3D电动热盖，可以实现试管压力恒定，自动升降，有效防止试剂蒸发，确保实验稳定可靠，操作简便；</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ascii="宋体" w:hAnsi="宋体" w:cs="宋体"/>
                  <w:color w:val="000000"/>
                  <w:sz w:val="28"/>
                  <w:szCs w:val="28"/>
                </w:rPr>
              </w:pPr>
              <w:r>
                <w:rPr>
                  <w:rFonts w:hint="eastAsia"/>
                </w:rPr>
                <w:t>21.TAS技术：仪器采用TAS技术，极大提高模块的控温精度及温度均一性；</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cs="宋体"/>
                  <w:color w:val="000000"/>
                  <w:sz w:val="28"/>
                  <w:szCs w:val="28"/>
                </w:rPr>
              </w:pPr>
              <w:r>
                <w:rPr>
                  <w:rFonts w:hint="eastAsia"/>
                </w:rPr>
                <w:t>22.低温保存功能：具有SOAK低温保存功能；</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hint="eastAsia" w:ascii="宋体" w:hAnsi="宋体" w:cs="宋体"/>
                  <w:color w:val="000000"/>
                  <w:sz w:val="28"/>
                  <w:szCs w:val="28"/>
                </w:rPr>
              </w:pPr>
              <w:r>
                <w:rPr>
                  <w:rFonts w:hint="eastAsia"/>
                </w:rPr>
                <w:t>23.检测试剂：开放式检测试剂耗材；</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hint="eastAsia" w:ascii="宋体" w:hAnsi="宋体" w:eastAsia="宋体"/>
                  <w:sz w:val="28"/>
                  <w:szCs w:val="28"/>
                </w:rPr>
              </w:pPr>
              <w:r>
                <w:rPr>
                  <w:rFonts w:hint="eastAsia"/>
                </w:rPr>
                <w:t>★24.软件功能：具有定性判断、绝对定量、相对定量、SNP分析系统功能、熔解度曲线分析功能、HRM分析功能；梯度功能、自动增益调节等；</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cs="宋体" w:eastAsiaTheme="minorEastAsia"/>
                  <w:color w:val="000000"/>
                  <w:sz w:val="28"/>
                  <w:szCs w:val="28"/>
                  <w:lang w:eastAsia="zh-CN"/>
                </w:rPr>
              </w:pPr>
              <w:r>
                <w:rPr>
                  <w:rFonts w:hint="eastAsia"/>
                </w:rPr>
                <w:t>25.操作界面：全中文操作界面，程序设定灵活，分析和报告功能全面，参数可储存；</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cs="宋体"/>
                  <w:color w:val="000000"/>
                  <w:sz w:val="28"/>
                  <w:szCs w:val="28"/>
                </w:rPr>
              </w:pPr>
              <w:r>
                <w:rPr>
                  <w:rFonts w:hint="eastAsia"/>
                </w:rPr>
                <w:t>26.模板功能：可自定义实验报告格式，预存多种行业实验报告模板；</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ascii="宋体" w:hAnsi="宋体" w:cs="宋体"/>
                  <w:color w:val="000000"/>
                  <w:sz w:val="28"/>
                  <w:szCs w:val="28"/>
                </w:rPr>
              </w:pPr>
              <w:r>
                <w:rPr>
                  <w:rFonts w:hint="eastAsia"/>
                </w:rPr>
                <w:t>27.特色功能：文件内容备注功能、样本资料记录功能、文件运行显示功能、检测数据分析功能、分析结果输出功能、故障保护和报警功能、阴阳性分色显示等功能；</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hint="eastAsia" w:ascii="宋体" w:hAnsi="宋体" w:eastAsia="宋体"/>
                  <w:sz w:val="28"/>
                  <w:szCs w:val="28"/>
                </w:rPr>
              </w:pPr>
              <w:r>
                <w:rPr>
                  <w:rFonts w:hint="eastAsia"/>
                </w:rPr>
                <w:t>28.数据导出：导出CSV、Excel、txt等格式的实验数据</w:t>
              </w:r>
            </w:p>
            <w:p>
              <w:pPr>
                <w:keepNext w:val="0"/>
                <w:keepLines w:val="0"/>
                <w:pageBreakBefore w:val="0"/>
                <w:kinsoku/>
                <w:wordWrap/>
                <w:overflowPunct/>
                <w:topLinePunct w:val="0"/>
                <w:autoSpaceDE/>
                <w:autoSpaceDN/>
                <w:bidi w:val="0"/>
                <w:adjustRightInd/>
                <w:snapToGrid/>
                <w:spacing w:line="500" w:lineRule="exact"/>
                <w:textAlignment w:val="auto"/>
                <w:rPr>
                  <w:rFonts w:hint="eastAsia"/>
                  <w:sz w:val="28"/>
                  <w:szCs w:val="28"/>
                  <w:lang w:val="en-US" w:eastAsia="zh-CN"/>
                </w:rPr>
              </w:pPr>
              <w:r>
                <w:rPr>
                  <w:rFonts w:hint="eastAsia"/>
                </w:rPr>
                <w:t>29.操作系统支持：Microsoft: Windows 7/Windows 8.1/Windows</w:t>
              </w:r>
              <w:r>
                <w:t>10</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ascii="宋体" w:hAnsi="宋体" w:eastAsia="宋体"/>
                  <w:color w:val="FF0000"/>
                  <w:sz w:val="28"/>
                  <w:szCs w:val="28"/>
                </w:rPr>
              </w:pPr>
              <w:r>
                <w:rPr>
                  <w:rFonts w:hint="eastAsia"/>
                </w:rPr>
                <w:t>30.编程：每个程序段可支持设置多达</w:t>
              </w:r>
              <w:r>
                <w:t>20</w:t>
              </w:r>
              <w:r>
                <w:rPr>
                  <w:rFonts w:hint="eastAsia"/>
                </w:rPr>
                <w:t>个温控程序节，最大循环数</w:t>
              </w:r>
              <w:r>
                <w:t>99</w:t>
              </w:r>
              <w:r>
                <w:rPr>
                  <w:rFonts w:hint="eastAsia"/>
                </w:rPr>
                <w:t>个；</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hint="eastAsia" w:ascii="宋体" w:hAnsi="宋体" w:eastAsia="宋体"/>
                  <w:sz w:val="28"/>
                  <w:szCs w:val="28"/>
                </w:rPr>
              </w:pPr>
              <w:r>
                <w:rPr>
                  <w:rFonts w:hint="eastAsia"/>
                </w:rPr>
                <w:t>31.有多种接口可选，与计算机接口可选用的有RS232、USB、蓝牙等；</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25" w:rightChars="0"/>
                <w:textAlignment w:val="auto"/>
                <w:rPr>
                  <w:rFonts w:hint="eastAsia" w:asciiTheme="minorEastAsia" w:hAnsiTheme="minorEastAsia" w:eastAsiaTheme="minorEastAsia" w:cstheme="minorEastAsia"/>
                  <w:color w:val="FF0000"/>
                  <w:sz w:val="28"/>
                  <w:szCs w:val="28"/>
                  <w:lang w:val="en-US" w:eastAsia="zh-CN"/>
                </w:rPr>
              </w:pPr>
              <w:r>
                <w:rPr>
                  <w:rFonts w:hint="eastAsia"/>
                </w:rPr>
                <w:t>★32.中标方要完成该仪器与医院提供的LIS及HIS系统连接，并承担接口费用，保证能正常使用，实现医院网络化管理；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500" w:lineRule="exact"/>
                <w:ind w:left="0" w:right="0" w:firstLine="120"/>
                <w:jc w:val="both"/>
                <w:textAlignment w:val="auto"/>
                <w:rPr>
                  <w:rFonts w:hint="eastAsia" w:ascii="微软雅黑" w:hAnsi="微软雅黑" w:eastAsia="宋体" w:cs="微软雅黑"/>
                  <w:i w:val="0"/>
                  <w:iCs w:val="0"/>
                  <w:caps w:val="0"/>
                  <w:color w:val="555555"/>
                  <w:spacing w:val="0"/>
                  <w:sz w:val="28"/>
                  <w:szCs w:val="28"/>
                  <w:lang w:eastAsia="zh-CN"/>
                </w:rPr>
              </w:pPr>
              <w:r>
                <w:rPr>
                  <w:rFonts w:hint="eastAsia"/>
                </w:rPr>
                <w:t>33.主要配置要求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500" w:lineRule="exact"/>
                <w:ind w:left="0" w:right="0" w:firstLine="120"/>
                <w:jc w:val="both"/>
                <w:textAlignment w:val="auto"/>
                <w:rPr>
                  <w:rFonts w:hint="eastAsia" w:ascii="微软雅黑" w:hAnsi="微软雅黑" w:eastAsia="微软雅黑" w:cs="微软雅黑"/>
                  <w:i w:val="0"/>
                  <w:iCs w:val="0"/>
                  <w:caps w:val="0"/>
                  <w:color w:val="555555"/>
                  <w:spacing w:val="0"/>
                  <w:sz w:val="28"/>
                  <w:szCs w:val="28"/>
                </w:rPr>
              </w:pPr>
              <w:r>
                <w:rPr>
                  <w:rFonts w:hint="eastAsia"/>
                </w:rPr>
                <w:t>33.1全自动多通道荧光PCR仪 1台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500" w:lineRule="exact"/>
                <w:ind w:left="0" w:right="0" w:firstLine="120"/>
                <w:jc w:val="both"/>
                <w:textAlignment w:val="auto"/>
                <w:rPr>
                  <w:rFonts w:hint="eastAsia" w:ascii="宋体" w:hAnsi="宋体" w:eastAsia="宋体" w:cs="宋体"/>
                  <w:i w:val="0"/>
                  <w:iCs w:val="0"/>
                  <w:caps w:val="0"/>
                  <w:color w:val="555555"/>
                  <w:spacing w:val="0"/>
                  <w:sz w:val="28"/>
                  <w:szCs w:val="28"/>
                  <w:shd w:val="clear" w:fill="FFFFFF"/>
                </w:rPr>
              </w:pPr>
              <w:r>
                <w:rPr>
                  <w:rFonts w:hint="eastAsia"/>
                </w:rPr>
                <w:t>33.2 知名品牌电脑及软件 1套</w:t>
              </w:r>
            </w:p>
            <w:p>
              <w:pPr>
                <w:pStyle w:val="7"/>
                <w:rPr>
                  <w:rFonts w:hint="eastAsia" w:ascii="宋体" w:hAnsi="宋体" w:eastAsia="宋体" w:cs="宋体"/>
                  <w:sz w:val="28"/>
                  <w:szCs w:val="28"/>
                </w:rPr>
              </w:pPr>
              <w:r>
                <w:rPr>
                  <w:rFonts w:hint="eastAsia"/>
                </w:rPr>
                <w:t>34.需要提供本项目的制造商授权和售后服务承诺书原件</w:t>
              </w:r>
            </w:p>
            <w:p>
              <w:pPr>
                <w:pStyle w:val="2"/>
                <w:rPr>
                  <w:rFonts w:hint="eastAsia" w:eastAsia="宋体"/>
                  <w:lang w:eastAsia="zh-CN"/>
                </w:rPr>
              </w:pPr>
            </w:p>
          </w:sdtContent>
        </w:sdt>
      </w:sdtContent>
    </w:sdt>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基本要求</w:t>
      </w:r>
    </w:p>
    <w:p>
      <w:pPr>
        <w:pStyle w:val="2"/>
        <w:ind w:left="-708" w:leftChars="-337"/>
        <w:rPr>
          <w:color w:val="auto"/>
        </w:rPr>
      </w:pPr>
      <w:r>
        <w:rPr>
          <w:rFonts w:hint="eastAsia"/>
          <w:color w:val="auto"/>
        </w:rPr>
        <w:t>1、以上产品必须是具备合法资质的制造商生产的全新正品，并完全满足招标采购文件的要求，若产品在运输或安装过程中损坏或擦伤须无偿调换相同产品。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color w:val="auto"/>
        </w:rPr>
      </w:pPr>
      <w:r>
        <w:rPr>
          <w:rFonts w:hint="eastAsia"/>
          <w:color w:val="auto"/>
        </w:rPr>
        <w:t>5、投标产品如包括必备的易损易耗备品备件和专用工具，竞标人应提供完整清单。</w:t>
      </w:r>
    </w:p>
    <w:p>
      <w:pPr>
        <w:pStyle w:val="2"/>
        <w:ind w:left="-708" w:leftChars="-337"/>
        <w:rPr>
          <w:rFonts w:cs="宋体"/>
          <w:b/>
          <w:bCs/>
        </w:rPr>
      </w:pPr>
      <w:r>
        <w:rPr>
          <w:rFonts w:hint="eastAsia" w:cs="宋体"/>
          <w:b/>
          <w:bCs/>
        </w:rPr>
        <w:t>（四）商务要求</w:t>
      </w:r>
    </w:p>
    <w:p>
      <w:pPr>
        <w:pStyle w:val="2"/>
        <w:ind w:left="-708" w:leftChars="-337"/>
        <w:rPr>
          <w:rFonts w:cs="宋体"/>
        </w:rPr>
      </w:pPr>
      <w:r>
        <w:rPr>
          <w:rFonts w:hint="eastAsia" w:cs="宋体"/>
        </w:rPr>
        <w:t>1.投标人为独立法人，并具备统一社会信用代码。</w:t>
      </w:r>
    </w:p>
    <w:p>
      <w:pPr>
        <w:pStyle w:val="2"/>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rPr>
      </w:pPr>
      <w:r>
        <w:rPr>
          <w:rFonts w:hint="eastAsia" w:cs="宋体"/>
        </w:rPr>
        <w:t>3、被列入我院投标人黑名单（在我院招投标活动中存在2次违规行为）未满3年的投标人将被拒绝其参与本次招投标活动。</w:t>
      </w:r>
    </w:p>
    <w:sdt>
      <w:sdtPr>
        <w:rPr>
          <w:rFonts w:hint="eastAsia" w:cs="宋体"/>
        </w:rPr>
        <w:alias w:val="根据实际情况填写，这里为设备和维保模板"/>
        <w:tag w:val="根据实际情况填写，这里为设备和维保模板"/>
        <w:id w:val="545178371"/>
        <w:placeholder>
          <w:docPart w:val="DefaultPlaceholder_-1854013440"/>
        </w:placeholder>
        <w15:color w:val="FF0000"/>
      </w:sdtPr>
      <w:sdtEndPr>
        <w:rPr>
          <w:rFonts w:hint="eastAsia" w:cs="Times New Roman"/>
        </w:rPr>
      </w:sdtEndPr>
      <w:sdtContent>
        <w:p>
          <w:pPr>
            <w:pStyle w:val="2"/>
            <w:ind w:left="-708" w:leftChars="-337"/>
            <w:rPr>
              <w:rFonts w:cs="宋体"/>
            </w:rPr>
          </w:pPr>
          <w:r>
            <w:rPr>
              <w:rFonts w:hint="eastAsia" w:cs="宋体"/>
            </w:rPr>
            <w:t>4.投标人所投产品三证齐全：投标公司的《医疗器械经营许可证》、生产厂家的《医疗器械生产许可证》（国外产品可不提供）、器械的《中华人民共和国医疗器械注册证》</w:t>
          </w:r>
        </w:p>
        <w:p>
          <w:pPr>
            <w:pStyle w:val="2"/>
            <w:ind w:left="-708" w:leftChars="-337"/>
          </w:pPr>
        </w:p>
      </w:sdtContent>
    </w:sdt>
    <w:p>
      <w:pPr>
        <w:widowControl/>
        <w:spacing w:line="360" w:lineRule="auto"/>
        <w:ind w:left="-708" w:leftChars="-338" w:hanging="2"/>
        <w:jc w:val="left"/>
        <w:rPr>
          <w:rFonts w:cs="宋体"/>
          <w:b/>
          <w:bCs/>
          <w:color w:val="000000"/>
          <w:kern w:val="0"/>
          <w:sz w:val="24"/>
          <w:szCs w:val="24"/>
        </w:rPr>
      </w:pPr>
      <w:r>
        <w:rPr>
          <w:rFonts w:hint="eastAsia" w:cs="宋体"/>
          <w:b/>
          <w:bCs/>
          <w:color w:val="000000"/>
          <w:kern w:val="0"/>
          <w:sz w:val="24"/>
          <w:szCs w:val="24"/>
        </w:rPr>
        <w:t>（五）售后服务和服务承诺</w:t>
      </w:r>
    </w:p>
    <w:sdt>
      <w:sdtPr>
        <w:rPr>
          <w:rFonts w:hint="eastAsia"/>
          <w:color w:val="000000"/>
          <w:kern w:val="0"/>
          <w:sz w:val="24"/>
          <w:szCs w:val="24"/>
        </w:rPr>
        <w:alias w:val="根据实际情况修改"/>
        <w:tag w:val="根据实际情况修改"/>
        <w:id w:val="1526364755"/>
        <w:placeholder>
          <w:docPart w:val="DefaultPlaceholder_-1854013440"/>
        </w:placeholder>
        <w15:color w:val="FF0000"/>
      </w:sdtPr>
      <w:sdtEndPr>
        <w:rPr>
          <w:rFonts w:hint="eastAsia"/>
          <w:color w:val="000000"/>
          <w:kern w:val="0"/>
          <w:sz w:val="24"/>
          <w:szCs w:val="24"/>
        </w:rPr>
      </w:sdtEndPr>
      <w:sdtContent>
        <w:p>
          <w:pPr>
            <w:widowControl/>
            <w:spacing w:line="360" w:lineRule="auto"/>
            <w:ind w:left="-708" w:leftChars="-338" w:hanging="2"/>
            <w:jc w:val="left"/>
            <w:rPr>
              <w:color w:val="000000"/>
              <w:kern w:val="0"/>
              <w:sz w:val="24"/>
              <w:szCs w:val="24"/>
            </w:rPr>
          </w:pPr>
          <w:r>
            <w:rPr>
              <w:rFonts w:hint="eastAsia"/>
              <w:color w:val="000000"/>
              <w:kern w:val="0"/>
              <w:sz w:val="24"/>
              <w:szCs w:val="24"/>
            </w:rPr>
            <w:t>1、竞价人在竞价文件中必须提交设备配置清单，如设备</w:t>
          </w:r>
          <w:r>
            <w:rPr>
              <w:rFonts w:hint="eastAsia"/>
              <w:color w:val="FF0000"/>
              <w:kern w:val="0"/>
              <w:sz w:val="24"/>
              <w:szCs w:val="24"/>
            </w:rPr>
            <w:t>有配套耗材及定期更换的配件请投标时与设备一起报价</w:t>
          </w:r>
          <w:r>
            <w:rPr>
              <w:rFonts w:hint="eastAsia"/>
              <w:color w:val="000000"/>
              <w:kern w:val="0"/>
              <w:sz w:val="24"/>
              <w:szCs w:val="24"/>
            </w:rPr>
            <w:t>。</w:t>
          </w:r>
        </w:p>
        <w:p>
          <w:pPr>
            <w:widowControl/>
            <w:spacing w:line="360" w:lineRule="auto"/>
            <w:ind w:left="-708" w:leftChars="-338" w:hanging="2"/>
            <w:jc w:val="left"/>
            <w:rPr>
              <w:color w:val="000000"/>
              <w:kern w:val="0"/>
              <w:sz w:val="24"/>
              <w:szCs w:val="24"/>
            </w:rPr>
          </w:pPr>
          <w:r>
            <w:rPr>
              <w:rFonts w:hint="eastAsia"/>
              <w:color w:val="000000"/>
              <w:kern w:val="0"/>
              <w:sz w:val="24"/>
              <w:szCs w:val="24"/>
            </w:rPr>
            <w:t>1、为了防止虚假应标，项目成交结果公示期间，招标人</w:t>
          </w:r>
          <w:r>
            <w:rPr>
              <w:rFonts w:hint="eastAsia"/>
              <w:color w:val="FF0000"/>
              <w:kern w:val="0"/>
              <w:sz w:val="24"/>
              <w:szCs w:val="24"/>
            </w:rPr>
            <w:t>有权要求拟中标的投标人提供所投标产品以供测试</w:t>
          </w:r>
          <w:r>
            <w:rPr>
              <w:rFonts w:hint="eastAsia"/>
              <w:color w:val="000000"/>
              <w:kern w:val="0"/>
              <w:sz w:val="24"/>
              <w:szCs w:val="24"/>
            </w:rPr>
            <w:t>；若测试达不到应答指标，以虚假应标论处。</w:t>
          </w:r>
        </w:p>
        <w:p>
          <w:pPr>
            <w:pStyle w:val="2"/>
            <w:ind w:left="-708" w:leftChars="-337"/>
          </w:pPr>
          <w:r>
            <w:rPr>
              <w:rFonts w:hint="eastAsia"/>
            </w:rPr>
            <w:t>2、投标产品必须是按厂家标准配置的整套全新，具备正规合法经销渠道的，符合国家各项有关质量标准的合格产品。相关部件及服务满足以上各项要求。若产品在运输过程中损坏或擦伤须无偿调换相同产品。</w:t>
          </w:r>
        </w:p>
        <w:p>
          <w:pPr>
            <w:pStyle w:val="2"/>
            <w:ind w:left="-708" w:leftChars="-337"/>
          </w:pPr>
          <w:r>
            <w:rPr>
              <w:rFonts w:hint="eastAsia"/>
            </w:rPr>
            <w:t>3、按厂家规定保修，同时提供产品“三包”服务；定期安排相关人员回访进行质量跟踪；保证提供临床应用和售后技术服务支持方式；保修期后提供终身维修服务及配件供应；其他售后服务按厂家承诺实行。</w:t>
          </w:r>
        </w:p>
        <w:p>
          <w:pPr>
            <w:pStyle w:val="2"/>
            <w:ind w:left="-708" w:leftChars="-337"/>
            <w:rPr>
              <w:color w:val="FF0000"/>
            </w:rPr>
          </w:pPr>
          <w:r>
            <w:rPr>
              <w:rFonts w:hint="eastAsia"/>
            </w:rPr>
            <w:t>4、</w:t>
          </w:r>
          <w:r>
            <w:rPr>
              <w:rFonts w:hint="eastAsia"/>
              <w:color w:val="FF0000"/>
            </w:rPr>
            <w:t>质保期：设备安装完毕通过验收投入使用之日起不少于</w:t>
          </w:r>
          <w:r>
            <w:rPr>
              <w:rFonts w:hint="eastAsia"/>
            </w:rPr>
            <w:t>1</w:t>
          </w:r>
          <w:r>
            <w:rPr>
              <w:rFonts w:hint="eastAsia"/>
              <w:color w:val="FF0000"/>
            </w:rPr>
            <w:t>年。</w:t>
          </w:r>
        </w:p>
        <w:p>
          <w:pPr>
            <w:pStyle w:val="2"/>
            <w:ind w:left="-708" w:leftChars="-337"/>
          </w:pPr>
          <w:r>
            <w:rPr>
              <w:rFonts w:hint="eastAsia"/>
            </w:rPr>
            <w:t>5、</w:t>
          </w:r>
          <w:r>
            <w:rPr>
              <w:rFonts w:hint="eastAsia"/>
              <w:color w:val="FF0000"/>
            </w:rPr>
            <w:t>故障处理</w:t>
          </w:r>
          <w:r>
            <w:rPr>
              <w:rFonts w:hint="eastAsia"/>
            </w:rPr>
            <w:t>：厂家须设有24小时免费服务电话，中标供应商应提供</w:t>
          </w:r>
          <w:r>
            <w:rPr>
              <w:rFonts w:hint="eastAsia"/>
              <w:color w:val="FF0000"/>
            </w:rPr>
            <w:t>常驻广西维保人员</w:t>
          </w:r>
          <w:r>
            <w:rPr>
              <w:rFonts w:hint="eastAsia"/>
            </w:rPr>
            <w:t>名单、联系电话等。质保期内，在使用过程中发现质量问题或故障时，须接到通知后24小时内派工程师到达用户现场及提供常用备件，按国家及行业标准对故障进行及时处理或更换，以保证采购单位的正常使用，所发生的一切费用由成交供应商负责。</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二、交货期要求</w:t>
      </w:r>
    </w:p>
    <w:p>
      <w:pPr>
        <w:widowControl/>
        <w:spacing w:line="360" w:lineRule="auto"/>
        <w:ind w:left="-710" w:leftChars="-338" w:firstLine="480" w:firstLineChars="200"/>
        <w:jc w:val="left"/>
        <w:rPr>
          <w:rFonts w:cs="宋体"/>
          <w:kern w:val="0"/>
          <w:sz w:val="24"/>
          <w:szCs w:val="24"/>
        </w:rPr>
      </w:pPr>
      <w:r>
        <w:rPr>
          <w:rFonts w:hint="eastAsia" w:cs="宋体"/>
          <w:kern w:val="0"/>
          <w:sz w:val="24"/>
          <w:szCs w:val="24"/>
        </w:rPr>
        <w:t>签订合同后，</w:t>
      </w:r>
      <w:r>
        <w:rPr>
          <w:color w:val="FF0000"/>
          <w:kern w:val="0"/>
          <w:sz w:val="24"/>
          <w:szCs w:val="24"/>
          <w:u w:val="single"/>
        </w:rPr>
        <w:t xml:space="preserve">  </w:t>
      </w:r>
      <w:sdt>
        <w:sdtPr>
          <w:rPr>
            <w:color w:val="FF0000"/>
            <w:kern w:val="0"/>
            <w:sz w:val="24"/>
            <w:szCs w:val="24"/>
            <w:u w:val="single"/>
          </w:rPr>
          <w:alias w:val="根据实际情况填写"/>
          <w:tag w:val="根据实际情况填写"/>
          <w:id w:val="445283709"/>
          <w:placeholder>
            <w:docPart w:val="DefaultPlaceholder_-1854013440"/>
          </w:placeholder>
          <w15:color w:val="FF0000"/>
        </w:sdtPr>
        <w:sdtEndPr>
          <w:rPr>
            <w:color w:val="FF0000"/>
            <w:kern w:val="0"/>
            <w:sz w:val="24"/>
            <w:szCs w:val="24"/>
            <w:u w:val="single"/>
          </w:rPr>
        </w:sdtEndPr>
        <w:sdtContent>
          <w:r>
            <w:rPr>
              <w:rFonts w:hint="eastAsia"/>
            </w:rPr>
            <w:t>10</w:t>
          </w:r>
        </w:sdtContent>
      </w:sdt>
      <w:r>
        <w:rPr>
          <w:color w:val="FF0000"/>
          <w:kern w:val="0"/>
          <w:sz w:val="24"/>
          <w:szCs w:val="24"/>
          <w:u w:val="single"/>
        </w:rPr>
        <w:t xml:space="preserve">    </w:t>
      </w:r>
      <w:r>
        <w:rPr>
          <w:rFonts w:hint="eastAsia" w:cs="宋体"/>
          <w:kern w:val="0"/>
          <w:sz w:val="24"/>
          <w:szCs w:val="24"/>
        </w:rPr>
        <w:t>天内仪器设备安装调试结束并交付使用。投标人予以特别注意：如出现未能到期供货的情况，采购人有权单方终止合同的执行，所有的经济损失由逾期供货商单方承担。</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三、交货地点</w:t>
      </w:r>
    </w:p>
    <w:p>
      <w:pPr>
        <w:widowControl/>
        <w:spacing w:line="360" w:lineRule="auto"/>
        <w:ind w:left="-708" w:leftChars="-338" w:hanging="2"/>
        <w:jc w:val="left"/>
        <w:rPr>
          <w:rFonts w:cs="宋体"/>
          <w:kern w:val="0"/>
          <w:sz w:val="24"/>
          <w:szCs w:val="24"/>
        </w:rPr>
      </w:pPr>
      <w:r>
        <w:rPr>
          <w:rFonts w:hint="eastAsia" w:cs="宋体"/>
          <w:kern w:val="0"/>
          <w:sz w:val="24"/>
          <w:szCs w:val="24"/>
        </w:rPr>
        <w:t>交货地点为：广西壮族自治区桂东人民医院</w:t>
      </w:r>
      <w:r>
        <w:rPr>
          <w:kern w:val="0"/>
          <w:sz w:val="24"/>
          <w:szCs w:val="24"/>
        </w:rPr>
        <w:t xml:space="preserve"> </w:t>
      </w:r>
      <w:r>
        <w:rPr>
          <w:kern w:val="0"/>
          <w:sz w:val="24"/>
          <w:szCs w:val="24"/>
          <w:u w:val="single"/>
        </w:rPr>
        <w:t xml:space="preserve"> </w:t>
      </w:r>
      <w:sdt>
        <w:sdtPr>
          <w:rPr>
            <w:kern w:val="0"/>
            <w:sz w:val="24"/>
            <w:szCs w:val="24"/>
            <w:u w:val="single"/>
          </w:rPr>
          <w:alias w:val="根据实际情况填写"/>
          <w:tag w:val="根据实际情况填写"/>
          <w:id w:val="1589662405"/>
          <w:placeholder>
            <w:docPart w:val="DefaultPlaceholder_-1854013440"/>
          </w:placeholder>
          <w15:color w:val="FF0000"/>
        </w:sdtPr>
        <w:sdtEndPr>
          <w:rPr>
            <w:kern w:val="0"/>
            <w:sz w:val="24"/>
            <w:szCs w:val="24"/>
            <w:u w:val="single"/>
          </w:rPr>
        </w:sdtEndPr>
        <w:sdtContent>
          <w:r>
            <w:rPr>
              <w:rFonts w:hint="eastAsia"/>
            </w:rPr>
            <w:t>指定地点</w:t>
          </w:r>
        </w:sdtContent>
      </w:sdt>
      <w:r>
        <w:rPr>
          <w:kern w:val="0"/>
          <w:sz w:val="24"/>
          <w:szCs w:val="24"/>
          <w:u w:val="single"/>
        </w:rPr>
        <w:t xml:space="preserve">     </w:t>
      </w:r>
      <w:r>
        <w:rPr>
          <w:kern w:val="0"/>
          <w:sz w:val="24"/>
          <w:szCs w:val="24"/>
        </w:rPr>
        <w:t xml:space="preserve">         </w:t>
      </w:r>
      <w:r>
        <w:rPr>
          <w:rFonts w:hint="eastAsia" w:cs="宋体"/>
          <w:kern w:val="0"/>
          <w:sz w:val="24"/>
          <w:szCs w:val="24"/>
        </w:rPr>
        <w:t>。</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w:t>
      </w:r>
      <w:sdt>
        <w:sdtPr>
          <w:rPr>
            <w:rFonts w:hint="eastAsia" w:cs="宋体"/>
            <w:kern w:val="0"/>
            <w:sz w:val="24"/>
            <w:szCs w:val="24"/>
          </w:rPr>
          <w:alias w:val="根据实际情况修改"/>
          <w:tag w:val="根据实际情况修改"/>
          <w:id w:val="1199816932"/>
          <w:placeholder>
            <w:docPart w:val="DefaultPlaceholder_-1854013440"/>
          </w:placeholder>
          <w15:color w:val="FF0000"/>
        </w:sdtPr>
        <w:sdtEndPr>
          <w:rPr>
            <w:rFonts w:hint="eastAsia" w:cs="宋体"/>
            <w:color w:val="FF0000"/>
            <w:kern w:val="0"/>
            <w:sz w:val="24"/>
            <w:szCs w:val="24"/>
            <w:u w:val="single"/>
          </w:rPr>
        </w:sdtEndPr>
        <w:sdtContent>
          <w:r>
            <w:rPr>
              <w:rFonts w:cs="宋体"/>
              <w:color w:val="FF0000"/>
              <w:kern w:val="0"/>
              <w:sz w:val="24"/>
              <w:szCs w:val="24"/>
              <w:u w:val="single"/>
            </w:rPr>
            <w:t> </w:t>
          </w:r>
          <w:r>
            <w:rPr>
              <w:rFonts w:hint="eastAsia" w:cs="宋体"/>
              <w:color w:val="FF0000"/>
              <w:kern w:val="0"/>
              <w:sz w:val="24"/>
              <w:szCs w:val="24"/>
              <w:u w:val="single"/>
            </w:rPr>
            <w:t>90</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hint="eastAsia" w:cs="宋体"/>
          <w:kern w:val="0"/>
          <w:sz w:val="24"/>
          <w:szCs w:val="24"/>
        </w:rPr>
        <w:t>，其余</w:t>
      </w:r>
      <w:r>
        <w:rPr>
          <w:rFonts w:cs="宋体"/>
          <w:color w:val="FF0000"/>
          <w:kern w:val="0"/>
          <w:sz w:val="24"/>
          <w:szCs w:val="24"/>
        </w:rPr>
        <w:t> </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525755077"/>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10</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cs="宋体"/>
          <w:kern w:val="0"/>
          <w:sz w:val="24"/>
          <w:szCs w:val="24"/>
        </w:rPr>
        <w:t> </w:t>
      </w:r>
      <w:r>
        <w:rPr>
          <w:rFonts w:hint="eastAsia" w:cs="宋体"/>
          <w:kern w:val="0"/>
          <w:sz w:val="24"/>
          <w:szCs w:val="24"/>
        </w:rPr>
        <w:t>作为质保金，</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762253292"/>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1</w:t>
          </w:r>
        </w:sdtContent>
      </w:sdt>
      <w:r>
        <w:rPr>
          <w:rFonts w:cs="宋体"/>
          <w:color w:val="FF0000"/>
          <w:kern w:val="0"/>
          <w:sz w:val="24"/>
          <w:szCs w:val="24"/>
          <w:u w:val="single"/>
        </w:rPr>
        <w:t xml:space="preserve"> </w:t>
      </w:r>
      <w:r>
        <w:rPr>
          <w:rFonts w:hint="eastAsia" w:cs="宋体"/>
          <w:kern w:val="0"/>
          <w:sz w:val="24"/>
          <w:szCs w:val="24"/>
        </w:rPr>
        <w:t>年（根据项目特点定）内无质量问题后付清（无息）。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五、合同签订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rPr>
            <w:t>10</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六、其他</w:t>
      </w:r>
    </w:p>
    <w:sdt>
      <w:sdtPr>
        <w:alias w:val="可添加特殊要求事项"/>
        <w:tag w:val="可添加特殊要求事项"/>
        <w:id w:val="455912131"/>
        <w:placeholder>
          <w:docPart w:val="DefaultPlaceholder_-1854013440"/>
        </w:placeholder>
        <w:showingPlcHdr/>
        <w15:color w:val="FF0000"/>
      </w:sdtPr>
      <w:sdtContent>
        <w:p>
          <w:pPr>
            <w:pStyle w:val="2"/>
          </w:pPr>
          <w:r>
            <w:rPr>
              <w:rStyle w:val="21"/>
            </w:rPr>
            <w:t>单击或点击此处输入文字。</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七、特别说明</w:t>
      </w:r>
    </w:p>
    <w:sdt>
      <w:sdtPr>
        <w:rPr>
          <w:rFonts w:cs="宋体"/>
          <w:kern w:val="0"/>
          <w:sz w:val="24"/>
          <w:szCs w:val="24"/>
        </w:rPr>
        <w:alias w:val="选填"/>
        <w:tag w:val="选填"/>
        <w:id w:val="50653589"/>
        <w:placeholder>
          <w:docPart w:val="DefaultPlaceholder_-1854013440"/>
        </w:placeholder>
        <w15:color w:val="FF0000"/>
      </w:sdtPr>
      <w:sdtEndPr>
        <w:rPr>
          <w:rFonts w:hint="eastAsia" w:cs="宋体"/>
          <w:kern w:val="0"/>
          <w:sz w:val="24"/>
          <w:szCs w:val="24"/>
        </w:rPr>
      </w:sdtEndPr>
      <w:sdtContent>
        <w:p>
          <w:pPr>
            <w:widowControl/>
            <w:spacing w:line="400" w:lineRule="exact"/>
            <w:ind w:left="-708" w:leftChars="-338" w:hanging="2"/>
            <w:jc w:val="left"/>
            <w:rPr>
              <w:rFonts w:cs="宋体"/>
              <w:kern w:val="0"/>
              <w:sz w:val="24"/>
              <w:szCs w:val="24"/>
            </w:rPr>
          </w:pPr>
          <w:r>
            <w:rPr>
              <w:rFonts w:cs="宋体"/>
              <w:kern w:val="0"/>
              <w:sz w:val="24"/>
              <w:szCs w:val="24"/>
            </w:rPr>
            <w:t>.1</w:t>
          </w: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sdtContent>
    </w:sdt>
    <w:p>
      <w:pPr>
        <w:widowControl/>
        <w:spacing w:line="400" w:lineRule="exact"/>
        <w:ind w:left="-708" w:leftChars="-338" w:hanging="2"/>
        <w:jc w:val="left"/>
        <w:rPr>
          <w:rFonts w:cs="宋体"/>
          <w:kern w:val="0"/>
          <w:sz w:val="24"/>
          <w:szCs w:val="24"/>
        </w:rPr>
      </w:pPr>
      <w:r>
        <w:rPr>
          <w:rFonts w:hint="eastAsia" w:cs="宋体"/>
          <w:kern w:val="0"/>
          <w:sz w:val="24"/>
          <w:szCs w:val="24"/>
        </w:rPr>
        <w:t>2</w:t>
      </w:r>
      <w:r>
        <w:rPr>
          <w:rFonts w:cs="宋体"/>
          <w:kern w:val="0"/>
          <w:sz w:val="24"/>
          <w:szCs w:val="24"/>
        </w:rPr>
        <w:t>…….</w:t>
      </w:r>
      <w:r>
        <w:rPr>
          <w:rFonts w:cs="宋体"/>
          <w:kern w:val="0"/>
          <w:sz w:val="24"/>
          <w:szCs w:val="24"/>
        </w:rPr>
        <w:br w:type="textWrapping" w:clear="all"/>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15:color w:val="FF0000"/>
        </w:sdtPr>
        <w:sdtEndPr>
          <w:rPr>
            <w:rFonts w:hint="eastAsia" w:cs="宋体"/>
            <w:kern w:val="0"/>
            <w:sz w:val="24"/>
            <w:szCs w:val="24"/>
            <w:u w:val="single"/>
          </w:rPr>
        </w:sdtEndPr>
        <w:sdtContent>
          <w:r>
            <w:rPr>
              <w:rFonts w:hint="eastAsia"/>
            </w:rPr>
            <w:t>竞争性谈判</w:t>
          </w:r>
        </w:sdtContent>
      </w:sdt>
      <w:r>
        <w:rPr>
          <w:rFonts w:cs="宋体"/>
          <w:kern w:val="0"/>
          <w:sz w:val="24"/>
          <w:szCs w:val="24"/>
          <w:u w:val="single"/>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p>
      <w:pPr>
        <w:widowControl/>
        <w:numPr>
          <w:ilvl w:val="0"/>
          <w:numId w:val="2"/>
        </w:numPr>
        <w:spacing w:line="360" w:lineRule="auto"/>
        <w:ind w:firstLine="482" w:firstLineChars="200"/>
        <w:jc w:val="left"/>
        <w:rPr>
          <w:rFonts w:cs="宋体"/>
          <w:b/>
          <w:bCs/>
          <w:kern w:val="0"/>
          <w:sz w:val="24"/>
          <w:szCs w:val="24"/>
        </w:rPr>
      </w:pPr>
      <w:r>
        <w:rPr>
          <w:rFonts w:hint="eastAsia" w:cs="宋体"/>
          <w:b/>
          <w:bCs/>
          <w:kern w:val="0"/>
          <w:sz w:val="24"/>
          <w:szCs w:val="24"/>
        </w:rPr>
        <w:t>投标报价分（</w:t>
      </w:r>
      <w:r>
        <w:rPr>
          <w:rFonts w:cs="宋体"/>
          <w:kern w:val="0"/>
          <w:sz w:val="24"/>
          <w:szCs w:val="24"/>
        </w:rPr>
        <w:t>X</w:t>
      </w:r>
      <w:r>
        <w:rPr>
          <w:rFonts w:hint="eastAsia" w:cs="宋体"/>
          <w:b/>
          <w:bCs/>
          <w:kern w:val="0"/>
          <w:sz w:val="24"/>
          <w:szCs w:val="24"/>
        </w:rPr>
        <w:t>分）</w:t>
      </w:r>
    </w:p>
    <w:p>
      <w:pPr>
        <w:widowControl/>
        <w:spacing w:line="360" w:lineRule="auto"/>
        <w:ind w:left="482"/>
        <w:jc w:val="left"/>
        <w:rPr>
          <w:bCs/>
          <w:kern w:val="0"/>
          <w:sz w:val="24"/>
        </w:rPr>
      </w:pPr>
      <w:r>
        <w:rPr>
          <w:b/>
          <w:kern w:val="0"/>
          <w:sz w:val="24"/>
        </w:rPr>
        <w:t>1.1</w:t>
      </w:r>
      <w:r>
        <w:rPr>
          <w:bCs/>
          <w:kern w:val="0"/>
          <w:sz w:val="24"/>
        </w:rPr>
        <w:t>投标报价超过项目预算的</w:t>
      </w:r>
      <w:r>
        <w:rPr>
          <w:rFonts w:hint="eastAsia"/>
          <w:bCs/>
          <w:kern w:val="0"/>
          <w:sz w:val="24"/>
        </w:rPr>
        <w:t>计为0分，列为无效投标</w:t>
      </w:r>
      <w:r>
        <w:rPr>
          <w:bCs/>
          <w:kern w:val="0"/>
          <w:sz w:val="24"/>
        </w:rPr>
        <w:t>。</w:t>
      </w:r>
    </w:p>
    <w:p>
      <w:pPr>
        <w:widowControl/>
        <w:spacing w:line="360" w:lineRule="auto"/>
        <w:ind w:firstLine="482" w:firstLineChars="200"/>
        <w:jc w:val="left"/>
        <w:rPr>
          <w:kern w:val="0"/>
          <w:sz w:val="24"/>
        </w:rPr>
      </w:pPr>
      <w:r>
        <w:rPr>
          <w:b/>
          <w:bCs/>
          <w:kern w:val="0"/>
          <w:sz w:val="24"/>
        </w:rPr>
        <w:t xml:space="preserve">1.2 </w:t>
      </w:r>
      <w:r>
        <w:rPr>
          <w:kern w:val="0"/>
          <w:sz w:val="24"/>
        </w:rPr>
        <w:t>以有效投标中最低的报价为评标基准价，其价格分为满分。</w:t>
      </w:r>
    </w:p>
    <w:p>
      <w:pPr>
        <w:widowControl/>
        <w:spacing w:line="360" w:lineRule="auto"/>
        <w:ind w:firstLine="482" w:firstLineChars="200"/>
        <w:jc w:val="left"/>
        <w:rPr>
          <w:kern w:val="0"/>
          <w:sz w:val="24"/>
        </w:rPr>
      </w:pPr>
      <w:r>
        <w:rPr>
          <w:b/>
          <w:bCs/>
          <w:kern w:val="0"/>
          <w:sz w:val="24"/>
        </w:rPr>
        <w:t xml:space="preserve">1.3 </w:t>
      </w:r>
      <w:r>
        <w:rPr>
          <w:kern w:val="0"/>
          <w:sz w:val="24"/>
        </w:rPr>
        <w:t>各</w:t>
      </w:r>
      <w:r>
        <w:rPr>
          <w:rFonts w:hint="eastAsia"/>
          <w:kern w:val="0"/>
          <w:sz w:val="24"/>
        </w:rPr>
        <w:t>有效</w:t>
      </w:r>
      <w:r>
        <w:rPr>
          <w:kern w:val="0"/>
          <w:sz w:val="24"/>
        </w:rPr>
        <w:t>投标人的投标报价得分按照下列公式计算：</w:t>
      </w:r>
    </w:p>
    <w:p>
      <w:pPr>
        <w:pStyle w:val="2"/>
        <w:ind w:firstLine="480" w:firstLineChars="200"/>
      </w:pPr>
      <w:r>
        <w:t>投标报价得分=（评标基准价÷投标报价）×</w:t>
      </w:r>
      <w:r>
        <w:rPr>
          <w:rFonts w:hint="eastAsia" w:cs="宋体"/>
          <w:color w:val="auto"/>
        </w:rPr>
        <w:t>X</w:t>
      </w:r>
      <w:r>
        <w:t>（计算结果四舍五入，保留两位小数）</w:t>
      </w:r>
    </w:p>
    <w:p>
      <w:pPr>
        <w:pStyle w:val="2"/>
        <w:ind w:firstLine="480" w:firstLineChars="200"/>
      </w:pPr>
      <w:r>
        <w:rPr>
          <w:rFonts w:hint="eastAsia"/>
        </w:rPr>
        <w:t>1.4货物类报价分区间为30-60分</w:t>
      </w:r>
    </w:p>
    <w:p>
      <w:pPr>
        <w:pStyle w:val="2"/>
        <w:ind w:firstLine="480" w:firstLineChars="200"/>
      </w:pPr>
      <w:r>
        <w:rPr>
          <w:rFonts w:hint="eastAsia"/>
        </w:rPr>
        <w:t>1.5服务类报价分区间为10-30分</w:t>
      </w:r>
    </w:p>
    <w:p>
      <w:pPr>
        <w:widowControl/>
        <w:spacing w:line="360" w:lineRule="auto"/>
        <w:ind w:firstLine="482" w:firstLineChars="200"/>
        <w:jc w:val="left"/>
        <w:rPr>
          <w:rFonts w:cs="宋体"/>
          <w:b/>
          <w:bCs/>
          <w:kern w:val="0"/>
          <w:sz w:val="24"/>
          <w:szCs w:val="24"/>
        </w:rPr>
      </w:pPr>
      <w:r>
        <w:rPr>
          <w:b/>
          <w:bCs/>
          <w:kern w:val="0"/>
          <w:sz w:val="24"/>
          <w:szCs w:val="24"/>
        </w:rPr>
        <w:t xml:space="preserve">2. </w:t>
      </w:r>
      <w:r>
        <w:rPr>
          <w:rFonts w:hint="eastAsia" w:cs="宋体"/>
          <w:b/>
          <w:bCs/>
          <w:kern w:val="0"/>
          <w:sz w:val="24"/>
          <w:szCs w:val="24"/>
        </w:rPr>
        <w:t>技术质量分（</w:t>
      </w:r>
      <w:r>
        <w:rPr>
          <w:rFonts w:cs="宋体"/>
          <w:kern w:val="0"/>
          <w:sz w:val="24"/>
          <w:szCs w:val="24"/>
        </w:rPr>
        <w:t>Y</w:t>
      </w:r>
      <w:r>
        <w:rPr>
          <w:rFonts w:hint="eastAsia" w:cs="宋体"/>
          <w:b/>
          <w:bCs/>
          <w:kern w:val="0"/>
          <w:sz w:val="24"/>
          <w:szCs w:val="24"/>
        </w:rPr>
        <w:t>分）</w:t>
      </w:r>
    </w:p>
    <w:p>
      <w:pPr>
        <w:pStyle w:val="2"/>
      </w:pPr>
      <w:r>
        <w:rPr>
          <w:rFonts w:hint="eastAsia"/>
        </w:rPr>
        <w:t xml:space="preserve"> </w:t>
      </w:r>
      <w:r>
        <w:t xml:space="preserve">   </w:t>
      </w:r>
      <w:r>
        <w:rPr>
          <w:rFonts w:hint="eastAsia"/>
        </w:rPr>
        <w:t>2.1考察投标人产品技术参数、性能要求、功能特性等响应及偏离情况</w:t>
      </w:r>
    </w:p>
    <w:p>
      <w:pPr>
        <w:pStyle w:val="2"/>
        <w:ind w:firstLine="480" w:firstLineChars="200"/>
      </w:pPr>
      <w:r>
        <w:rPr>
          <w:rFonts w:hint="eastAsia"/>
        </w:rPr>
        <w:t>2.2区间为20-30分</w:t>
      </w:r>
    </w:p>
    <w:p>
      <w:pPr>
        <w:widowControl/>
        <w:spacing w:line="360" w:lineRule="auto"/>
        <w:ind w:firstLine="482" w:firstLineChars="200"/>
        <w:jc w:val="left"/>
        <w:rPr>
          <w:rFonts w:cs="宋体"/>
          <w:b/>
          <w:bCs/>
          <w:kern w:val="0"/>
          <w:sz w:val="24"/>
          <w:szCs w:val="24"/>
        </w:rPr>
      </w:pPr>
      <w:r>
        <w:rPr>
          <w:b/>
          <w:bCs/>
          <w:kern w:val="0"/>
          <w:sz w:val="24"/>
          <w:szCs w:val="24"/>
        </w:rPr>
        <w:t xml:space="preserve">3. </w:t>
      </w:r>
      <w:r>
        <w:rPr>
          <w:rFonts w:hint="eastAsia" w:cs="宋体"/>
          <w:b/>
          <w:bCs/>
          <w:kern w:val="0"/>
          <w:sz w:val="24"/>
          <w:szCs w:val="24"/>
        </w:rPr>
        <w:t>售后服务分</w:t>
      </w:r>
    </w:p>
    <w:p>
      <w:pPr>
        <w:pStyle w:val="2"/>
        <w:ind w:firstLine="480" w:firstLineChars="200"/>
      </w:pPr>
      <w:r>
        <w:rPr>
          <w:rFonts w:hint="eastAsia"/>
        </w:rPr>
        <w:t>3.1考察投标人的服务方案、售后服务承诺、投入人员、更长保修期等情况</w:t>
      </w:r>
    </w:p>
    <w:p>
      <w:pPr>
        <w:pStyle w:val="2"/>
        <w:ind w:firstLine="480" w:firstLineChars="200"/>
      </w:pPr>
      <w:r>
        <w:rPr>
          <w:rFonts w:hint="eastAsia"/>
        </w:rPr>
        <w:t>3.2区间为10-20分</w:t>
      </w:r>
    </w:p>
    <w:p>
      <w:pPr>
        <w:pStyle w:val="2"/>
        <w:ind w:firstLine="482" w:firstLineChars="200"/>
        <w:rPr>
          <w:b/>
          <w:bCs/>
        </w:rPr>
      </w:pPr>
      <w:r>
        <w:rPr>
          <w:rFonts w:hint="eastAsia"/>
          <w:b/>
          <w:bCs/>
        </w:rPr>
        <w:t>4.履约能力分</w:t>
      </w:r>
    </w:p>
    <w:p>
      <w:pPr>
        <w:pStyle w:val="2"/>
        <w:ind w:firstLine="480" w:firstLineChars="200"/>
      </w:pPr>
      <w:r>
        <w:rPr>
          <w:rFonts w:hint="eastAsia"/>
        </w:rPr>
        <w:t>4.1考察投标人的信誉业绩、相关资质、认证证书等情况4.2</w:t>
      </w:r>
    </w:p>
    <w:p>
      <w:pPr>
        <w:pStyle w:val="2"/>
        <w:ind w:firstLine="480" w:firstLineChars="200"/>
      </w:pPr>
      <w:r>
        <w:rPr>
          <w:rFonts w:hint="eastAsia"/>
        </w:rPr>
        <w:t>4.2区间5-15分</w:t>
      </w:r>
    </w:p>
    <w:p>
      <w:pPr>
        <w:pStyle w:val="2"/>
        <w:ind w:firstLine="482" w:firstLineChars="200"/>
        <w:rPr>
          <w:b/>
          <w:bCs/>
        </w:rPr>
      </w:pPr>
      <w:r>
        <w:rPr>
          <w:rFonts w:hint="eastAsia"/>
          <w:b/>
          <w:bCs/>
        </w:rPr>
        <w:t>5.产品特性分</w:t>
      </w:r>
    </w:p>
    <w:p>
      <w:pPr>
        <w:pStyle w:val="2"/>
        <w:ind w:firstLine="480" w:firstLineChars="200"/>
      </w:pPr>
      <w:r>
        <w:rPr>
          <w:rFonts w:hint="eastAsia"/>
        </w:rPr>
        <w:t>5.1主要考察投标人产品的节能环保认证等情况</w:t>
      </w:r>
    </w:p>
    <w:p>
      <w:pPr>
        <w:pStyle w:val="2"/>
        <w:ind w:firstLine="480" w:firstLineChars="200"/>
      </w:pPr>
      <w:r>
        <w:rPr>
          <w:rFonts w:hint="eastAsia"/>
        </w:rPr>
        <w:t>5.2区间1-3分</w:t>
      </w:r>
    </w:p>
    <w:p>
      <w:pPr>
        <w:pStyle w:val="2"/>
        <w:ind w:firstLine="482" w:firstLineChars="200"/>
        <w:rPr>
          <w:b/>
          <w:bCs/>
        </w:rPr>
      </w:pPr>
      <w:r>
        <w:rPr>
          <w:rFonts w:hint="eastAsia"/>
          <w:b/>
          <w:bCs/>
        </w:rPr>
        <w:t>6.其他分值</w:t>
      </w:r>
    </w:p>
    <w:p>
      <w:pPr>
        <w:pStyle w:val="2"/>
        <w:ind w:firstLine="480" w:firstLineChars="200"/>
      </w:pPr>
      <w:r>
        <w:rPr>
          <w:rFonts w:hint="eastAsia"/>
        </w:rPr>
        <w:t>6.1包括演示、样品或招标人认为需要的其他评分项目</w:t>
      </w:r>
    </w:p>
    <w:p>
      <w:pPr>
        <w:pStyle w:val="2"/>
        <w:ind w:firstLine="480" w:firstLineChars="200"/>
      </w:pPr>
      <w:r>
        <w:rPr>
          <w:rFonts w:hint="eastAsia"/>
        </w:rPr>
        <w:t>6.2区间10-15分</w:t>
      </w:r>
    </w:p>
    <w:p>
      <w:pPr>
        <w:pStyle w:val="2"/>
        <w:ind w:firstLine="480" w:firstLineChars="200"/>
      </w:pPr>
      <w:r>
        <w:rPr>
          <w:rFonts w:hint="eastAsia" w:cs="宋体"/>
        </w:rPr>
        <w:t>附件：评分模板</w:t>
      </w:r>
    </w:p>
    <w:sdt>
      <w:sdtPr>
        <w:rPr>
          <w:rFonts w:hint="eastAsia" w:ascii="宋体" w:hAnsi="宋体" w:cs="宋体"/>
          <w:color w:val="000000"/>
          <w:kern w:val="0"/>
          <w:sz w:val="24"/>
          <w:szCs w:val="24"/>
        </w:rPr>
        <w:id w:val="2068989185"/>
        <w:placeholder>
          <w:docPart w:val="DefaultPlaceholder_-1854013440"/>
        </w:placeholder>
      </w:sdtPr>
      <w:sdtEndPr>
        <w:rPr>
          <w:rFonts w:hint="eastAsia" w:ascii="宋体" w:hAnsi="宋体" w:cs="宋体"/>
          <w:color w:val="000000"/>
          <w:kern w:val="0"/>
          <w:sz w:val="24"/>
          <w:szCs w:val="24"/>
        </w:rPr>
      </w:sdtEndPr>
      <w:sdtContent>
        <w:tbl>
          <w:tblPr>
            <w:tblStyle w:val="9"/>
            <w:tblW w:w="962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409"/>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9" w:type="dxa"/>
                <w:vAlign w:val="center"/>
              </w:tcPr>
              <w:p>
                <w:pPr>
                  <w:spacing w:line="280" w:lineRule="exact"/>
                  <w:rPr>
                    <w:rFonts w:ascii="宋体" w:hAnsi="宋体" w:cs="宋体"/>
                  </w:rPr>
                </w:pPr>
                <w:r>
                  <w:rPr>
                    <w:rFonts w:hint="eastAsia" w:ascii="宋体" w:hAnsi="宋体" w:cs="宋体"/>
                  </w:rPr>
                  <w:t>序号</w:t>
                </w:r>
              </w:p>
            </w:tc>
            <w:tc>
              <w:tcPr>
                <w:tcW w:w="1418" w:type="dxa"/>
                <w:vAlign w:val="center"/>
              </w:tcPr>
              <w:p>
                <w:pPr>
                  <w:spacing w:line="280" w:lineRule="exact"/>
                  <w:rPr>
                    <w:rFonts w:ascii="宋体" w:hAnsi="宋体" w:cs="宋体"/>
                  </w:rPr>
                </w:pPr>
                <w:r>
                  <w:rPr>
                    <w:rFonts w:hint="eastAsia" w:ascii="宋体" w:hAnsi="宋体" w:cs="宋体"/>
                  </w:rPr>
                  <w:t>评分内容</w:t>
                </w:r>
              </w:p>
            </w:tc>
            <w:tc>
              <w:tcPr>
                <w:tcW w:w="6409" w:type="dxa"/>
                <w:vAlign w:val="center"/>
              </w:tcPr>
              <w:p>
                <w:pPr>
                  <w:spacing w:line="280" w:lineRule="exact"/>
                  <w:rPr>
                    <w:rFonts w:ascii="宋体" w:hAnsi="宋体" w:cs="宋体"/>
                  </w:rPr>
                </w:pPr>
                <w:r>
                  <w:rPr>
                    <w:rFonts w:hint="eastAsia" w:ascii="宋体" w:hAnsi="宋体" w:cs="宋体"/>
                  </w:rPr>
                  <w:t>评分标准</w:t>
                </w:r>
              </w:p>
            </w:tc>
            <w:tc>
              <w:tcPr>
                <w:tcW w:w="1088" w:type="dxa"/>
                <w:vAlign w:val="center"/>
              </w:tcPr>
              <w:p>
                <w:pPr>
                  <w:spacing w:line="280" w:lineRule="exact"/>
                  <w:rPr>
                    <w:rFonts w:ascii="宋体" w:hAnsi="宋体" w:cs="宋体"/>
                  </w:rPr>
                </w:pPr>
                <w:r>
                  <w:rPr>
                    <w:rFonts w:hint="eastAsia" w:ascii="宋体" w:hAnsi="宋体" w:cs="宋体"/>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709" w:type="dxa"/>
                <w:vAlign w:val="center"/>
              </w:tcPr>
              <w:p>
                <w:pPr>
                  <w:spacing w:line="280" w:lineRule="exact"/>
                  <w:rPr>
                    <w:rFonts w:ascii="宋体" w:hAnsi="宋体" w:cs="宋体"/>
                  </w:rPr>
                </w:pPr>
                <w:r>
                  <w:rPr>
                    <w:rFonts w:hint="eastAsia" w:ascii="宋体" w:hAnsi="宋体" w:cs="宋体"/>
                  </w:rPr>
                  <w:t>一</w:t>
                </w:r>
              </w:p>
            </w:tc>
            <w:tc>
              <w:tcPr>
                <w:tcW w:w="1418" w:type="dxa"/>
                <w:vAlign w:val="center"/>
              </w:tcPr>
              <w:p>
                <w:pPr>
                  <w:spacing w:line="280" w:lineRule="exact"/>
                  <w:rPr>
                    <w:rFonts w:ascii="宋体" w:hAnsi="宋体" w:cs="宋体"/>
                  </w:rPr>
                </w:pPr>
                <w:r>
                  <w:rPr>
                    <w:rFonts w:hint="eastAsia" w:ascii="宋体" w:hAnsi="宋体" w:cs="宋体"/>
                  </w:rPr>
                  <w:t>投标报价分</w:t>
                </w:r>
              </w:p>
              <w:p>
                <w:pPr>
                  <w:pStyle w:val="2"/>
                </w:pPr>
                <w:r>
                  <w:rPr>
                    <w:rFonts w:hint="eastAsia"/>
                  </w:rPr>
                  <w:t>（50分）</w:t>
                </w:r>
              </w:p>
            </w:tc>
            <w:tc>
              <w:tcPr>
                <w:tcW w:w="6409" w:type="dxa"/>
                <w:vAlign w:val="center"/>
              </w:tcPr>
              <w:p>
                <w:pPr>
                  <w:snapToGrid w:val="0"/>
                  <w:spacing w:line="240" w:lineRule="atLeast"/>
                  <w:rPr>
                    <w:rFonts w:hAnsi="宋体"/>
                    <w:bCs/>
                  </w:rPr>
                </w:pPr>
                <w:r>
                  <w:rPr>
                    <w:rFonts w:hint="eastAsia" w:hAnsi="宋体"/>
                    <w:bCs/>
                  </w:rPr>
                  <w:t>（</w:t>
                </w:r>
                <w:r>
                  <w:rPr>
                    <w:rFonts w:hAnsi="宋体"/>
                    <w:bCs/>
                  </w:rPr>
                  <w:t>1</w:t>
                </w:r>
                <w:r>
                  <w:rPr>
                    <w:rFonts w:hint="eastAsia" w:hAnsi="宋体"/>
                    <w:bCs/>
                  </w:rPr>
                  <w:t>）评标价为投标人的投标报价进行政策性扣除后的价格，评标价只是作为评标时使用。最终中标人的中标金额＝投标报价。</w:t>
                </w:r>
              </w:p>
              <w:p>
                <w:r>
                  <w:rPr>
                    <w:rFonts w:hint="eastAsia"/>
                  </w:rPr>
                  <w:t>对小型和微型企业、监狱企业产品的价格给予 6%的扣除，用扣除后的 价格参与评审（满足国家中小微企业或监狱企业政策的供应商，需要在 招标文件中附声明及相关证明材料）</w:t>
                </w:r>
              </w:p>
              <w:p>
                <w:pPr>
                  <w:pStyle w:val="4"/>
                  <w:spacing w:line="400" w:lineRule="exact"/>
                  <w:ind w:left="241" w:hanging="210" w:hangingChars="100"/>
                  <w:outlineLvl w:val="0"/>
                  <w:rPr>
                    <w:rFonts w:hAnsi="宋体" w:cs="宋体"/>
                  </w:rPr>
                </w:pP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709" w:type="dxa"/>
                <w:vAlign w:val="center"/>
              </w:tcPr>
              <w:p>
                <w:pPr>
                  <w:spacing w:line="280" w:lineRule="exact"/>
                  <w:rPr>
                    <w:rFonts w:ascii="宋体" w:hAnsi="宋体" w:cs="宋体"/>
                  </w:rPr>
                </w:pPr>
                <w:r>
                  <w:rPr>
                    <w:rFonts w:hint="eastAsia" w:ascii="宋体" w:hAnsi="宋体" w:cs="宋体"/>
                  </w:rPr>
                  <w:t>二</w:t>
                </w:r>
              </w:p>
            </w:tc>
            <w:tc>
              <w:tcPr>
                <w:tcW w:w="1418" w:type="dxa"/>
                <w:vAlign w:val="center"/>
              </w:tcPr>
              <w:p>
                <w:pPr>
                  <w:spacing w:line="280" w:lineRule="exact"/>
                  <w:rPr>
                    <w:rFonts w:ascii="宋体" w:hAnsi="宋体" w:cs="宋体"/>
                  </w:rPr>
                </w:pPr>
                <w:r>
                  <w:rPr>
                    <w:rFonts w:hint="eastAsia" w:ascii="宋体" w:hAnsi="宋体" w:cs="宋体"/>
                  </w:rPr>
                  <w:t>技术质量分（</w:t>
                </w:r>
                <w:r>
                  <w:rPr>
                    <w:rFonts w:hint="eastAsia"/>
                  </w:rPr>
                  <w:t>30</w:t>
                </w:r>
                <w:r>
                  <w:rPr>
                    <w:rFonts w:hint="eastAsia" w:ascii="宋体" w:hAnsi="宋体" w:cs="宋体"/>
                  </w:rPr>
                  <w:t>分）</w:t>
                </w:r>
              </w:p>
            </w:tc>
            <w:tc>
              <w:tcPr>
                <w:tcW w:w="6409" w:type="dxa"/>
                <w:vAlign w:val="center"/>
              </w:tcPr>
              <w:p>
                <w:r>
                  <w:rPr>
                    <w:rFonts w:hint="eastAsia" w:ascii="宋体" w:hAnsi="宋体" w:cs="宋体"/>
                  </w:rPr>
                  <w:t>完全符合采购文件技术要求无负偏离得</w:t>
                </w:r>
                <w:r>
                  <w:rPr>
                    <w:rFonts w:hint="eastAsia"/>
                  </w:rPr>
                  <w:t>30</w:t>
                </w:r>
                <w:r>
                  <w:rPr>
                    <w:rFonts w:hint="eastAsia" w:ascii="宋体" w:hAnsi="宋体" w:cs="宋体"/>
                  </w:rPr>
                  <w:t>分。 打★号重要参数不得有负偏离，如有，则废标；</w:t>
                </w:r>
                <w:r>
                  <w:rPr>
                    <w:rFonts w:hint="eastAsia"/>
                  </w:rPr>
                  <w:t xml:space="preserve">标注★号的关键性技术参数须提供该产品制造商出具的技术证明文件 （须由货物生产商或其直属机构盖章）予以佐证，证明文件包括该产品技 术白皮书或第三方检验报告或该产品制造商公开发行的宣传资料。未提供证明文件的视为不响应。 </w:t>
                </w:r>
              </w:p>
              <w:p>
                <w:pPr>
                  <w:rPr>
                    <w:rFonts w:ascii="宋体" w:hAnsi="宋体" w:cs="宋体"/>
                  </w:rPr>
                </w:pPr>
                <w:r>
                  <w:rPr>
                    <w:rFonts w:hint="eastAsia"/>
                  </w:rPr>
                  <w:t xml:space="preserve">说明：复制招标文件技术要求作为实际响应数据或投标响应数据无对应支持文件的，其技术响应将按负偏离处理。 </w:t>
                </w:r>
              </w:p>
              <w:p>
                <w:pPr>
                  <w:spacing w:line="280" w:lineRule="exact"/>
                  <w:rPr>
                    <w:rFonts w:ascii="宋体" w:hAnsi="宋体" w:cs="宋体"/>
                  </w:rPr>
                </w:pPr>
                <w:r>
                  <w:rPr>
                    <w:rFonts w:hint="eastAsia" w:ascii="宋体" w:hAnsi="宋体" w:cs="宋体"/>
                  </w:rPr>
                  <w:t>一般参数有负偏离，一项扣</w:t>
                </w:r>
                <w:r>
                  <w:rPr>
                    <w:rFonts w:hint="eastAsia"/>
                  </w:rPr>
                  <w:t>3</w:t>
                </w:r>
                <w:r>
                  <w:rPr>
                    <w:rFonts w:hint="eastAsia" w:ascii="宋体" w:hAnsi="宋体" w:cs="宋体"/>
                  </w:rPr>
                  <w:t>分</w:t>
                </w:r>
                <w:r>
                  <w:rPr>
                    <w:rFonts w:hint="eastAsia"/>
                  </w:rPr>
                  <w:t>，扣完</w:t>
                </w:r>
                <w:r>
                  <w:rPr>
                    <w:rFonts w:hint="eastAsia" w:ascii="宋体" w:hAnsi="宋体" w:cs="宋体"/>
                  </w:rPr>
                  <w:t>为止。</w:t>
                </w:r>
              </w:p>
            </w:tc>
            <w:tc>
              <w:tcPr>
                <w:tcW w:w="1088" w:type="dxa"/>
                <w:vAlign w:val="center"/>
              </w:tcPr>
              <w:p>
                <w:pPr>
                  <w:tabs>
                    <w:tab w:val="left" w:pos="624"/>
                    <w:tab w:val="left" w:pos="1361"/>
                    <w:tab w:val="left" w:pos="2041"/>
                  </w:tabs>
                  <w:spacing w:after="120"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709" w:type="dxa"/>
                <w:vAlign w:val="center"/>
              </w:tcPr>
              <w:p>
                <w:pPr>
                  <w:spacing w:line="280" w:lineRule="exact"/>
                  <w:rPr>
                    <w:rFonts w:ascii="宋体" w:hAnsi="宋体" w:cs="宋体"/>
                  </w:rPr>
                </w:pPr>
                <w:r>
                  <w:rPr>
                    <w:rFonts w:hint="eastAsia" w:ascii="宋体" w:hAnsi="宋体" w:cs="宋体"/>
                  </w:rPr>
                  <w:t>三</w:t>
                </w:r>
              </w:p>
            </w:tc>
            <w:tc>
              <w:tcPr>
                <w:tcW w:w="1418" w:type="dxa"/>
                <w:vAlign w:val="center"/>
              </w:tcPr>
              <w:p>
                <w:pPr>
                  <w:jc w:val="left"/>
                  <w:rPr>
                    <w:rFonts w:ascii="宋体" w:hAnsi="宋体" w:cs="宋体"/>
                    <w:bCs/>
                    <w:color w:val="000000"/>
                    <w:spacing w:val="10"/>
                    <w:kern w:val="0"/>
                  </w:rPr>
                </w:pPr>
                <w:r>
                  <w:rPr>
                    <w:rFonts w:hint="eastAsia"/>
                    <w:bCs/>
                    <w:color w:val="000000"/>
                  </w:rPr>
                  <w:t>售后服务分（</w:t>
                </w:r>
                <w:r>
                  <w:rPr>
                    <w:rFonts w:hint="eastAsia"/>
                  </w:rPr>
                  <w:t>10</w:t>
                </w:r>
                <w:r>
                  <w:rPr>
                    <w:rFonts w:hint="eastAsia" w:hAnsi="宋体"/>
                    <w:color w:val="000000"/>
                  </w:rPr>
                  <w:t>分</w:t>
                </w:r>
                <w:r>
                  <w:rPr>
                    <w:rFonts w:hint="eastAsia"/>
                    <w:bCs/>
                    <w:color w:val="000000"/>
                  </w:rPr>
                  <w:t>）</w:t>
                </w:r>
              </w:p>
            </w:tc>
            <w:tc>
              <w:tcPr>
                <w:tcW w:w="6409" w:type="dxa"/>
                <w:vAlign w:val="center"/>
              </w:tcPr>
              <w:p>
                <w:pPr>
                  <w:adjustRightInd w:val="0"/>
                  <w:spacing w:line="360" w:lineRule="exact"/>
                  <w:textAlignment w:val="baseline"/>
                  <w:rPr>
                    <w:rFonts w:ascii="宋体" w:hAnsi="宋体" w:cs="宋体"/>
                  </w:rPr>
                </w:pPr>
                <w:r>
                  <w:rPr>
                    <w:rFonts w:hint="eastAsia" w:ascii="宋体" w:hAnsi="宋体" w:cs="宋体"/>
                  </w:rPr>
                  <w:t>1.售后服务方案分。（满分</w:t>
                </w:r>
                <w:r>
                  <w:rPr>
                    <w:rFonts w:hint="eastAsia"/>
                  </w:rPr>
                  <w:t>7</w:t>
                </w:r>
                <w:r>
                  <w:rPr>
                    <w:rFonts w:hint="eastAsia" w:ascii="宋体" w:hAnsi="宋体" w:cs="宋体"/>
                  </w:rPr>
                  <w:t>分）</w:t>
                </w:r>
              </w:p>
              <w:p>
                <w:pPr>
                  <w:adjustRightInd w:val="0"/>
                  <w:spacing w:line="360" w:lineRule="exact"/>
                  <w:textAlignment w:val="baseline"/>
                  <w:rPr>
                    <w:rFonts w:ascii="宋体" w:hAnsi="宋体" w:cs="宋体"/>
                  </w:rPr>
                </w:pPr>
                <w:r>
                  <w:rPr>
                    <w:rFonts w:hint="eastAsia" w:ascii="宋体" w:hAnsi="宋体" w:cs="宋体"/>
                  </w:rPr>
                  <w:t>一档（</w:t>
                </w:r>
                <w:r>
                  <w:rPr>
                    <w:rFonts w:hint="eastAsia"/>
                  </w:rPr>
                  <w:t>0</w:t>
                </w:r>
                <w:r>
                  <w:rPr>
                    <w:rFonts w:hint="eastAsia" w:ascii="宋体" w:hAnsi="宋体" w:cs="宋体"/>
                  </w:rPr>
                  <w:t>分）：不提供售后服务方案的。</w:t>
                </w:r>
              </w:p>
              <w:p>
                <w:pPr>
                  <w:adjustRightInd w:val="0"/>
                  <w:spacing w:line="360" w:lineRule="exact"/>
                  <w:textAlignment w:val="baseline"/>
                  <w:rPr>
                    <w:rFonts w:ascii="宋体" w:hAnsi="宋体" w:cs="宋体"/>
                  </w:rPr>
                </w:pPr>
                <w:r>
                  <w:rPr>
                    <w:rFonts w:hint="eastAsia" w:ascii="宋体" w:hAnsi="宋体" w:cs="宋体"/>
                  </w:rPr>
                  <w:t>二档（</w:t>
                </w:r>
                <w:r>
                  <w:rPr>
                    <w:rFonts w:hint="eastAsia"/>
                  </w:rPr>
                  <w:t>2</w:t>
                </w:r>
                <w:r>
                  <w:rPr>
                    <w:rFonts w:hint="eastAsia" w:ascii="宋体" w:hAnsi="宋体" w:cs="宋体"/>
                  </w:rPr>
                  <w:t>分）：能基本满足招标文件要求，未提出详细的售后服务承诺。</w:t>
                </w:r>
              </w:p>
              <w:p>
                <w:pPr>
                  <w:adjustRightInd w:val="0"/>
                  <w:spacing w:line="360" w:lineRule="exact"/>
                  <w:textAlignment w:val="baseline"/>
                  <w:rPr>
                    <w:rFonts w:ascii="宋体" w:hAnsi="宋体" w:cs="宋体"/>
                  </w:rPr>
                </w:pPr>
                <w:r>
                  <w:rPr>
                    <w:rFonts w:hint="eastAsia" w:ascii="宋体" w:hAnsi="宋体" w:cs="宋体"/>
                  </w:rPr>
                  <w:t>三档（</w:t>
                </w:r>
                <w:r>
                  <w:rPr>
                    <w:rFonts w:hint="eastAsia"/>
                  </w:rPr>
                  <w:t>3</w:t>
                </w:r>
                <w:r>
                  <w:rPr>
                    <w:rFonts w:hint="eastAsia" w:ascii="宋体" w:hAnsi="宋体" w:cs="宋体"/>
                  </w:rPr>
                  <w:t>分）：能基本满足招标文件要求，有提出详细的售后服务承诺。</w:t>
                </w:r>
              </w:p>
              <w:p>
                <w:pPr>
                  <w:adjustRightInd w:val="0"/>
                  <w:spacing w:line="360" w:lineRule="exact"/>
                  <w:textAlignment w:val="baseline"/>
                  <w:rPr>
                    <w:rFonts w:ascii="宋体" w:hAnsi="宋体" w:cs="宋体"/>
                  </w:rPr>
                </w:pPr>
                <w:r>
                  <w:rPr>
                    <w:rFonts w:hint="eastAsia" w:ascii="宋体" w:hAnsi="宋体" w:cs="宋体"/>
                  </w:rPr>
                  <w:t>四档（</w:t>
                </w:r>
                <w:r>
                  <w:rPr>
                    <w:rFonts w:hint="eastAsia"/>
                  </w:rPr>
                  <w:t>7</w:t>
                </w:r>
                <w:r>
                  <w:rPr>
                    <w:rFonts w:hint="eastAsia" w:ascii="宋体" w:hAnsi="宋体" w:cs="宋体"/>
                  </w:rPr>
                  <w:t>分）：售后服务方案较好，有该项目详细的售后服务方案及培训计划，保修期限优于采购文件等，有提供售后服务机构及售后服务人员（提供投标单位或生产厂家售后服务机构地址及联系人、联系方式）。</w:t>
                </w:r>
              </w:p>
              <w:p>
                <w:pPr>
                  <w:adjustRightInd w:val="0"/>
                  <w:spacing w:line="360" w:lineRule="exact"/>
                  <w:ind w:firstLine="420" w:firstLineChars="200"/>
                  <w:textAlignment w:val="baseline"/>
                  <w:rPr>
                    <w:rFonts w:ascii="宋体" w:hAnsi="宋体" w:cs="宋体"/>
                  </w:rPr>
                </w:pPr>
                <w:r>
                  <w:rPr>
                    <w:rFonts w:hint="eastAsia" w:ascii="宋体" w:hAnsi="宋体" w:cs="宋体"/>
                  </w:rPr>
                  <w:t>良好的售后服务方案应承诺定期回访，承诺更短的故障响应时间，即在使用过程中发现质量问题或故障时，须接到通知后24小时内派工程师到达用户现场及提供常用备件，按国家及行业标准对故障进行及时处理，以保证采购单位的正常使用。</w:t>
                </w:r>
              </w:p>
              <w:p>
                <w:pPr>
                  <w:adjustRightInd w:val="0"/>
                  <w:spacing w:line="360" w:lineRule="exact"/>
                  <w:textAlignment w:val="baseline"/>
                  <w:rPr>
                    <w:rFonts w:ascii="宋体" w:hAnsi="宋体" w:cs="宋体"/>
                  </w:rPr>
                </w:pPr>
                <w:r>
                  <w:rPr>
                    <w:rFonts w:hint="eastAsia" w:ascii="宋体" w:hAnsi="宋体" w:cs="宋体"/>
                  </w:rPr>
                  <w:t>2.更长免费保修期得分。（满分</w:t>
                </w:r>
                <w:r>
                  <w:rPr>
                    <w:rFonts w:hint="eastAsia"/>
                  </w:rPr>
                  <w:t>3</w:t>
                </w:r>
                <w:r>
                  <w:rPr>
                    <w:rFonts w:hint="eastAsia" w:ascii="宋体" w:hAnsi="宋体" w:cs="宋体"/>
                  </w:rPr>
                  <w:t>分）</w:t>
                </w:r>
              </w:p>
              <w:p>
                <w:pPr>
                  <w:adjustRightInd w:val="0"/>
                  <w:spacing w:line="360" w:lineRule="exact"/>
                  <w:ind w:firstLine="420" w:firstLineChars="200"/>
                  <w:textAlignment w:val="baseline"/>
                  <w:rPr>
                    <w:rFonts w:ascii="宋体" w:hAnsi="宋体" w:cs="宋体"/>
                  </w:rPr>
                </w:pPr>
                <w:r>
                  <w:rPr>
                    <w:rFonts w:hint="eastAsia" w:ascii="宋体" w:hAnsi="宋体" w:cs="宋体"/>
                  </w:rPr>
                  <w:t>承诺免费保修期长于招标文件要求的，每延长1年加</w:t>
                </w:r>
                <w:r>
                  <w:rPr>
                    <w:rFonts w:hint="eastAsia"/>
                  </w:rPr>
                  <w:t>1</w:t>
                </w:r>
                <w:r>
                  <w:rPr>
                    <w:rFonts w:hint="eastAsia" w:ascii="宋体" w:hAnsi="宋体" w:cs="宋体"/>
                  </w:rPr>
                  <w:t>分，满分</w:t>
                </w:r>
                <w:r>
                  <w:rPr>
                    <w:rFonts w:hint="eastAsia"/>
                  </w:rPr>
                  <w:t>3</w:t>
                </w:r>
                <w:r>
                  <w:rPr>
                    <w:rFonts w:hint="eastAsia" w:ascii="宋体" w:hAnsi="宋体" w:cs="宋体"/>
                  </w:rPr>
                  <w:t>分。（以厂家承诺书原件为准，否则不得分）</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709" w:type="dxa"/>
                <w:vAlign w:val="center"/>
              </w:tcPr>
              <w:p>
                <w:pPr>
                  <w:rPr>
                    <w:rFonts w:hint="eastAsia" w:ascii="宋体" w:hAnsi="宋体" w:cs="宋体"/>
                  </w:rPr>
                </w:pPr>
                <w:r>
                  <w:rPr>
                    <w:rFonts w:hint="eastAsia"/>
                  </w:rPr>
                  <w:t>四</w:t>
                </w:r>
              </w:p>
            </w:tc>
            <w:tc>
              <w:tcPr>
                <w:tcW w:w="1418" w:type="dxa"/>
                <w:vAlign w:val="center"/>
              </w:tcPr>
              <w:p>
                <w:pPr>
                  <w:rPr>
                    <w:rFonts w:hint="eastAsia"/>
                    <w:bCs/>
                    <w:color w:val="000000"/>
                  </w:rPr>
                </w:pPr>
                <w:r>
                  <w:rPr>
                    <w:rFonts w:hint="eastAsia"/>
                  </w:rPr>
                  <w:t>履约能力分（8分）</w:t>
                </w:r>
              </w:p>
            </w:tc>
            <w:tc>
              <w:tcPr>
                <w:tcW w:w="6409" w:type="dxa"/>
                <w:vAlign w:val="center"/>
              </w:tcPr>
              <w:p>
                <w:pPr>
                  <w:adjustRightInd w:val="0"/>
                  <w:spacing w:line="360" w:lineRule="exact"/>
                  <w:textAlignment w:val="baseline"/>
                  <w:rPr>
                    <w:color w:val="000000"/>
                  </w:rPr>
                </w:pPr>
                <w:r>
                  <w:rPr>
                    <w:rFonts w:hint="eastAsia"/>
                  </w:rPr>
                  <w:t>1.竞标人或投标产品3年内完成销售过类似产品的政府采购业绩的一项加1分（满分3分，评标时提供采购合同或中标通知书或中标公告复印件，否则不得分）</w:t>
                </w:r>
              </w:p>
              <w:p>
                <w:pPr>
                  <w:pStyle w:val="2"/>
                </w:pPr>
                <w:r>
                  <w:rPr>
                    <w:rFonts w:hint="eastAsia"/>
                  </w:rPr>
                  <w:t>2. 在与本项目招标书要求的资质往上一级别加2分（满分</w:t>
                </w:r>
                <w:r>
                  <w:t xml:space="preserve">   </w:t>
                </w:r>
                <w:r>
                  <w:rPr>
                    <w:rFonts w:hint="eastAsia"/>
                  </w:rPr>
                  <w:t>1分，评标时提供资质证书复印件，否则不得分）</w:t>
                </w:r>
              </w:p>
              <w:p>
                <w:pPr>
                  <w:pStyle w:val="2"/>
                  <w:rPr>
                    <w:rFonts w:hint="eastAsia" w:ascii="宋体" w:hAnsi="宋体" w:cs="宋体"/>
                  </w:rPr>
                </w:pPr>
                <w:r>
                  <w:rPr>
                    <w:rFonts w:hint="eastAsia"/>
                  </w:rPr>
                  <w:t>3.在与本项目相关邻域取得地市级以上嘉奖的一项加1分（满分3分，评标时提供嘉奖证明复印件，否则不得分）</w:t>
                </w:r>
              </w:p>
            </w:tc>
            <w:tc>
              <w:tcPr>
                <w:tcW w:w="1088"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709" w:type="dxa"/>
                <w:vAlign w:val="center"/>
              </w:tcPr>
              <w:p>
                <w:pPr>
                  <w:rPr>
                    <w:rFonts w:hint="eastAsia" w:ascii="宋体" w:hAnsi="宋体" w:cs="宋体"/>
                  </w:rPr>
                </w:pPr>
                <w:r>
                  <w:rPr>
                    <w:rFonts w:hint="eastAsia"/>
                  </w:rPr>
                  <w:t>五</w:t>
                </w:r>
              </w:p>
            </w:tc>
            <w:tc>
              <w:tcPr>
                <w:tcW w:w="1418" w:type="dxa"/>
                <w:vAlign w:val="center"/>
              </w:tcPr>
              <w:p>
                <w:pPr>
                  <w:jc w:val="left"/>
                  <w:rPr>
                    <w:bCs/>
                    <w:color w:val="000000"/>
                  </w:rPr>
                </w:pPr>
                <w:r>
                  <w:rPr>
                    <w:rFonts w:hint="eastAsia"/>
                  </w:rPr>
                  <w:t>产品特性分</w:t>
                </w:r>
              </w:p>
              <w:p>
                <w:pPr>
                  <w:pStyle w:val="2"/>
                  <w:rPr>
                    <w:rFonts w:hint="eastAsia"/>
                    <w:bCs/>
                    <w:color w:val="000000"/>
                  </w:rPr>
                </w:pPr>
                <w:r>
                  <w:rPr>
                    <w:rFonts w:hint="eastAsia"/>
                  </w:rPr>
                  <w:t>（2分）</w:t>
                </w:r>
              </w:p>
            </w:tc>
            <w:tc>
              <w:tcPr>
                <w:tcW w:w="6409" w:type="dxa"/>
                <w:vAlign w:val="center"/>
              </w:tcPr>
              <w:p>
                <w:pPr>
                  <w:rPr>
                    <w:rFonts w:hint="eastAsia" w:ascii="宋体" w:hAnsi="宋体" w:cs="宋体"/>
                  </w:rPr>
                </w:pPr>
                <w:r>
                  <w:rPr>
                    <w:rFonts w:hint="eastAsia"/>
                  </w:rPr>
                  <w:t>投标产品取得节能环保认证的得分（评标时提供认证证书复印件，否则不得分）</w:t>
                </w:r>
              </w:p>
            </w:tc>
            <w:tc>
              <w:tcPr>
                <w:tcW w:w="1088"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09" w:type="dxa"/>
                <w:vAlign w:val="center"/>
              </w:tcPr>
              <w:p>
                <w:pPr>
                  <w:spacing w:line="280" w:lineRule="exact"/>
                  <w:rPr>
                    <w:rFonts w:hint="eastAsia" w:ascii="宋体" w:hAnsi="宋体" w:cs="宋体"/>
                  </w:rPr>
                </w:pPr>
                <w:r>
                  <w:rPr>
                    <w:rFonts w:hint="eastAsia"/>
                  </w:rPr>
                  <w:t>六</w:t>
                </w:r>
              </w:p>
            </w:tc>
            <w:tc>
              <w:tcPr>
                <w:tcW w:w="1418" w:type="dxa"/>
                <w:vAlign w:val="center"/>
              </w:tcPr>
              <w:p>
                <w:pPr>
                  <w:spacing w:line="280" w:lineRule="exact"/>
                  <w:ind w:firstLine="420" w:firstLineChars="200"/>
                  <w:rPr>
                    <w:rFonts w:ascii="宋体" w:hAnsi="宋体" w:cs="宋体"/>
                  </w:rPr>
                </w:pPr>
                <w:r>
                  <w:rPr>
                    <w:rFonts w:hint="eastAsia" w:ascii="宋体" w:hAnsi="宋体" w:cs="宋体"/>
                  </w:rPr>
                  <w:t>总分</w:t>
                </w:r>
              </w:p>
              <w:p>
                <w:pPr>
                  <w:spacing w:line="280" w:lineRule="exact"/>
                  <w:rPr>
                    <w:rFonts w:ascii="宋体" w:hAnsi="宋体" w:cs="宋体"/>
                  </w:rPr>
                </w:pPr>
                <w:r>
                  <w:rPr>
                    <w:rFonts w:hint="eastAsia" w:ascii="宋体" w:hAnsi="宋体" w:cs="宋体"/>
                  </w:rPr>
                  <w:t xml:space="preserve">（最后得分） </w:t>
                </w:r>
              </w:p>
            </w:tc>
            <w:tc>
              <w:tcPr>
                <w:tcW w:w="7497" w:type="dxa"/>
                <w:gridSpan w:val="2"/>
                <w:vAlign w:val="center"/>
              </w:tcPr>
              <w:p>
                <w:pPr>
                  <w:pStyle w:val="2"/>
                </w:pPr>
                <w:r>
                  <w:rPr>
                    <w:rFonts w:hint="eastAsia"/>
                  </w:rPr>
                  <w:t>100分</w:t>
                </w:r>
              </w:p>
            </w:tc>
          </w:tr>
        </w:tbl>
      </w:sdtContent>
    </w:sdt>
    <w:p>
      <w:pPr>
        <w:pStyle w:val="2"/>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 k" w:date="2021-01-18T15:48:00Z" w:initials="ck">
    <w:p w14:paraId="4A1A7193">
      <w:pPr>
        <w:pStyle w:val="3"/>
      </w:pPr>
      <w:r>
        <w:rPr>
          <w:rFonts w:hint="eastAsia"/>
        </w:rPr>
        <w:t>总清单，具体细节可在（二）技术规格参数中具体列明。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A1A71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abstractNum w:abstractNumId="1">
    <w:nsid w:val="59C0F106"/>
    <w:multiLevelType w:val="singleLevel"/>
    <w:tmpl w:val="59C0F106"/>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 k">
    <w15:presenceInfo w15:providerId="Windows Live" w15:userId="dd1b3a7fea7c4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dit="forms" w:formatting="1" w:enforcement="1" w:cryptProviderType="rsaFull" w:cryptAlgorithmClass="hash" w:cryptAlgorithmType="typeAny" w:cryptAlgorithmSid="4" w:cryptSpinCount="0" w:hash="M4eTI5wFflPYADHdIlxtwajCTTQ=" w:salt="eBeZYZukMy8mOJ1IIlIuV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46291"/>
    <w:rsid w:val="002C7944"/>
    <w:rsid w:val="003A55E1"/>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2943B14"/>
    <w:rsid w:val="08C14DBF"/>
    <w:rsid w:val="0A6F14CB"/>
    <w:rsid w:val="0B2952E1"/>
    <w:rsid w:val="0B3B4058"/>
    <w:rsid w:val="0E79462D"/>
    <w:rsid w:val="0E8434FB"/>
    <w:rsid w:val="0FF24D93"/>
    <w:rsid w:val="1005153E"/>
    <w:rsid w:val="10C97A40"/>
    <w:rsid w:val="12FD4CA5"/>
    <w:rsid w:val="158E260C"/>
    <w:rsid w:val="17D73A51"/>
    <w:rsid w:val="18B656F5"/>
    <w:rsid w:val="1A7A1AC3"/>
    <w:rsid w:val="1FAC2E42"/>
    <w:rsid w:val="2441270F"/>
    <w:rsid w:val="247702CA"/>
    <w:rsid w:val="24A518C7"/>
    <w:rsid w:val="24EC3787"/>
    <w:rsid w:val="2527759A"/>
    <w:rsid w:val="25694C3A"/>
    <w:rsid w:val="28A813FB"/>
    <w:rsid w:val="2B422149"/>
    <w:rsid w:val="2C143051"/>
    <w:rsid w:val="2D19169E"/>
    <w:rsid w:val="2F282280"/>
    <w:rsid w:val="30EF4AE5"/>
    <w:rsid w:val="381D5E4F"/>
    <w:rsid w:val="385725F9"/>
    <w:rsid w:val="3EE05D45"/>
    <w:rsid w:val="3FAE2615"/>
    <w:rsid w:val="409B36EE"/>
    <w:rsid w:val="417C313B"/>
    <w:rsid w:val="43B44519"/>
    <w:rsid w:val="43E75ACC"/>
    <w:rsid w:val="46CA1A05"/>
    <w:rsid w:val="47D574B0"/>
    <w:rsid w:val="49FD5358"/>
    <w:rsid w:val="4B1C0E4D"/>
    <w:rsid w:val="4B614B8E"/>
    <w:rsid w:val="4C73499F"/>
    <w:rsid w:val="4D7D6F25"/>
    <w:rsid w:val="501D45A1"/>
    <w:rsid w:val="51D31A64"/>
    <w:rsid w:val="55371D51"/>
    <w:rsid w:val="5A231BB8"/>
    <w:rsid w:val="5C321F5E"/>
    <w:rsid w:val="5CCB7E21"/>
    <w:rsid w:val="61377A0F"/>
    <w:rsid w:val="64391038"/>
    <w:rsid w:val="661112DF"/>
    <w:rsid w:val="690D28EC"/>
    <w:rsid w:val="6ACD5669"/>
    <w:rsid w:val="6B2C0F9C"/>
    <w:rsid w:val="6BC63E90"/>
    <w:rsid w:val="6D0B2E87"/>
    <w:rsid w:val="6D2C311A"/>
    <w:rsid w:val="6DEB1697"/>
    <w:rsid w:val="6E4611D5"/>
    <w:rsid w:val="6F7F56FD"/>
    <w:rsid w:val="76C40ABE"/>
    <w:rsid w:val="77D02D0B"/>
    <w:rsid w:val="786D5099"/>
    <w:rsid w:val="7BA92A24"/>
    <w:rsid w:val="7DB2286E"/>
    <w:rsid w:val="7DC13272"/>
    <w:rsid w:val="7E0745DE"/>
    <w:rsid w:val="7E902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5"/>
    <w:qFormat/>
    <w:uiPriority w:val="99"/>
    <w:pPr>
      <w:jc w:val="left"/>
    </w:pPr>
  </w:style>
  <w:style w:type="paragraph" w:styleId="4">
    <w:name w:val="Plain Text"/>
    <w:basedOn w:val="1"/>
    <w:link w:val="17"/>
    <w:qFormat/>
    <w:uiPriority w:val="99"/>
    <w:rPr>
      <w:rFonts w:ascii="宋体" w:hAnsi="Courier New"/>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annotation subject"/>
    <w:basedOn w:val="3"/>
    <w:next w:val="3"/>
    <w:link w:val="16"/>
    <w:semiHidden/>
    <w:unhideWhenUsed/>
    <w:qFormat/>
    <w:uiPriority w:val="99"/>
    <w:rPr>
      <w:b/>
      <w:bCs/>
    </w:rPr>
  </w:style>
  <w:style w:type="table" w:styleId="10">
    <w:name w:val="Table Grid"/>
    <w:basedOn w:val="9"/>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semiHidden/>
    <w:qFormat/>
    <w:uiPriority w:val="99"/>
    <w:rPr>
      <w:sz w:val="21"/>
      <w:szCs w:val="21"/>
    </w:rPr>
  </w:style>
  <w:style w:type="paragraph" w:customStyle="1" w:styleId="13">
    <w:name w:val="表格文字"/>
    <w:basedOn w:val="1"/>
    <w:qFormat/>
    <w:uiPriority w:val="0"/>
    <w:pPr>
      <w:spacing w:before="25" w:after="25"/>
      <w:jc w:val="left"/>
    </w:pPr>
    <w:rPr>
      <w:rFonts w:ascii="Calibri" w:hAnsi="Calibri"/>
      <w:bCs/>
      <w:spacing w:val="10"/>
      <w:kern w:val="0"/>
      <w:sz w:val="24"/>
      <w:szCs w:val="20"/>
    </w:rPr>
  </w:style>
  <w:style w:type="character" w:customStyle="1" w:styleId="14">
    <w:name w:val="批注文字 字符"/>
    <w:basedOn w:val="11"/>
    <w:qFormat/>
    <w:uiPriority w:val="99"/>
    <w:rPr>
      <w:rFonts w:ascii="Times New Roman" w:hAnsi="Times New Roman" w:eastAsia="宋体" w:cs="Times New Roman"/>
      <w:szCs w:val="21"/>
    </w:rPr>
  </w:style>
  <w:style w:type="character" w:customStyle="1" w:styleId="15">
    <w:name w:val="批注文字 字符1"/>
    <w:link w:val="3"/>
    <w:semiHidden/>
    <w:qFormat/>
    <w:uiPriority w:val="99"/>
    <w:rPr>
      <w:rFonts w:ascii="Times New Roman" w:hAnsi="Times New Roman" w:eastAsia="宋体" w:cs="Times New Roman"/>
      <w:szCs w:val="21"/>
    </w:rPr>
  </w:style>
  <w:style w:type="character" w:customStyle="1" w:styleId="16">
    <w:name w:val="批注主题 字符"/>
    <w:basedOn w:val="15"/>
    <w:link w:val="8"/>
    <w:semiHidden/>
    <w:qFormat/>
    <w:uiPriority w:val="99"/>
    <w:rPr>
      <w:rFonts w:ascii="Times New Roman" w:hAnsi="Times New Roman" w:eastAsia="宋体" w:cs="Times New Roman"/>
      <w:b/>
      <w:bCs/>
      <w:szCs w:val="21"/>
    </w:rPr>
  </w:style>
  <w:style w:type="character" w:customStyle="1" w:styleId="17">
    <w:name w:val="纯文本 字符"/>
    <w:basedOn w:val="11"/>
    <w:link w:val="4"/>
    <w:qFormat/>
    <w:uiPriority w:val="99"/>
    <w:rPr>
      <w:rFonts w:ascii="宋体" w:hAnsi="Courier New" w:eastAsia="宋体" w:cs="Times New Roman"/>
      <w:szCs w:val="21"/>
    </w:rPr>
  </w:style>
  <w:style w:type="character" w:customStyle="1" w:styleId="18">
    <w:name w:val="fontstyle01"/>
    <w:qFormat/>
    <w:uiPriority w:val="0"/>
    <w:rPr>
      <w:rFonts w:hint="eastAsia" w:ascii="宋体" w:hAnsi="宋体" w:eastAsia="宋体"/>
      <w:color w:val="000000"/>
      <w:sz w:val="24"/>
      <w:szCs w:val="24"/>
    </w:rPr>
  </w:style>
  <w:style w:type="character" w:customStyle="1" w:styleId="19">
    <w:name w:val="页眉 字符"/>
    <w:basedOn w:val="11"/>
    <w:link w:val="6"/>
    <w:qFormat/>
    <w:uiPriority w:val="99"/>
    <w:rPr>
      <w:rFonts w:ascii="Times New Roman" w:hAnsi="Times New Roman" w:eastAsia="宋体" w:cs="Times New Roman"/>
      <w:sz w:val="18"/>
      <w:szCs w:val="18"/>
    </w:rPr>
  </w:style>
  <w:style w:type="character" w:customStyle="1" w:styleId="20">
    <w:name w:val="页脚 字符"/>
    <w:basedOn w:val="11"/>
    <w:link w:val="5"/>
    <w:qFormat/>
    <w:uiPriority w:val="99"/>
    <w:rPr>
      <w:rFonts w:ascii="Times New Roman" w:hAnsi="Times New Roman" w:eastAsia="宋体" w:cs="Times New Roman"/>
      <w:sz w:val="18"/>
      <w:szCs w:val="18"/>
    </w:rPr>
  </w:style>
  <w:style w:type="character" w:styleId="21">
    <w:name w:val="Placeholder Text"/>
    <w:basedOn w:val="11"/>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openxmlformats.org/officeDocument/2006/relationships/glossaryDocument" Target="glossary/document.xml"/><Relationship Id="rId10" Type="http://schemas.microsoft.com/office/2011/relationships/people" Target="peop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2fe68bf9-e570-429b-a8b5-0a9aed96709c}"/>
        <w:style w:val=""/>
        <w:category>
          <w:name w:val="常规"/>
          <w:gallery w:val="placeholder"/>
        </w:category>
        <w:types>
          <w:type w:val="bbPlcHdr"/>
        </w:types>
        <w:behaviors>
          <w:behavior w:val="content"/>
        </w:behaviors>
        <w:description w:val=""/>
        <w:guid w:val="{2fe68bf9-e570-429b-a8b5-0a9aed96709c}"/>
      </w:docPartPr>
      <w:docPartBody>
        <w:p>
          <w:r>
            <w:rPr>
              <w:color w:val="808080"/>
            </w:rPr>
            <w:t>输入要重复的任何内容(包括其他内容控件)。您也可以在表格行周围插入此控件，以便重复部分表格。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5</Pages>
  <Words>550</Words>
  <Characters>3137</Characters>
  <Lines>26</Lines>
  <Paragraphs>7</Paragraphs>
  <TotalTime>19</TotalTime>
  <ScaleCrop>false</ScaleCrop>
  <LinksUpToDate>false</LinksUpToDate>
  <CharactersWithSpaces>3680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chance</cp:lastModifiedBy>
  <cp:lastPrinted>2021-01-18T07:59:00Z</cp:lastPrinted>
  <dcterms:modified xsi:type="dcterms:W3CDTF">2021-09-14T02:18:36Z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663B2278F35E4E1F8859E06D86DCA668</vt:lpwstr>
  </property>
</Properties>
</file>