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2"/>
        <w:ind w:left="-708" w:leftChars="-338" w:hanging="2"/>
        <w:rPr>
          <w:color w:val="FF0000"/>
          <w:sz w:val="21"/>
          <w:szCs w:val="21"/>
        </w:rPr>
      </w:pPr>
      <w:r>
        <w:rPr>
          <w:rFonts w:hint="eastAsia"/>
          <w:color w:val="FF0000"/>
          <w:sz w:val="21"/>
          <w:szCs w:val="21"/>
        </w:rPr>
        <w:t>2、★ 部分为核心参数，不满足视为无效投标。</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12"/>
          <w:color w:val="auto"/>
          <w:kern w:val="2"/>
        </w:rPr>
        <w:commentReference w:id="0"/>
      </w:r>
      <w:r>
        <w:rPr>
          <w:b/>
          <w:bCs/>
        </w:rPr>
        <w:t> </w:t>
      </w:r>
    </w:p>
    <w:tbl>
      <w:tblPr>
        <w:tblStyle w:val="10"/>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2"/>
              <w:jc w:val="both"/>
            </w:pPr>
            <w:r>
              <w:rPr>
                <w:rFonts w:hint="eastAsia"/>
              </w:rPr>
              <w:t>项目名称</w:t>
            </w:r>
          </w:p>
        </w:tc>
        <w:tc>
          <w:tcPr>
            <w:tcW w:w="846" w:type="dxa"/>
          </w:tcPr>
          <w:p>
            <w:pPr>
              <w:pStyle w:val="2"/>
              <w:jc w:val="both"/>
            </w:pPr>
            <w:r>
              <w:rPr>
                <w:rFonts w:hint="eastAsia"/>
              </w:rPr>
              <w:t>数量</w:t>
            </w:r>
          </w:p>
        </w:tc>
        <w:tc>
          <w:tcPr>
            <w:tcW w:w="4394" w:type="dxa"/>
          </w:tcPr>
          <w:p>
            <w:pPr>
              <w:pStyle w:val="2"/>
              <w:jc w:val="both"/>
            </w:pPr>
            <w:r>
              <w:rPr>
                <w:rFonts w:hint="eastAsia"/>
              </w:rPr>
              <w:t>产品用途与说明</w:t>
            </w:r>
          </w:p>
        </w:tc>
        <w:tc>
          <w:tcPr>
            <w:tcW w:w="1701" w:type="dxa"/>
          </w:tcPr>
          <w:p>
            <w:pPr>
              <w:pStyle w:val="2"/>
              <w:jc w:val="both"/>
            </w:pPr>
            <w:r>
              <w:rPr>
                <w:rFonts w:hint="eastAsia"/>
              </w:rPr>
              <w:t>实施地点</w:t>
            </w:r>
          </w:p>
        </w:tc>
      </w:tr>
      <w:sdt>
        <w:sdtPr>
          <w:alias w:val="根据实际情况填写"/>
          <w:tag w:val="根据实际情况填写"/>
          <w:id w:val="-1110810611"/>
          <w:placeholder>
            <w:docPart w:val="DefaultPlaceholder_-1854013440"/>
          </w:placeholder>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2"/>
                  <w:jc w:val="both"/>
                </w:pPr>
                <w:r>
                  <w:rPr>
                    <w:rFonts w:hint="eastAsia" w:ascii="宋体" w:cs="宋体"/>
                    <w:b/>
                    <w:sz w:val="28"/>
                    <w:szCs w:val="28"/>
                  </w:rPr>
                  <w:t>电子健康卡建设改造项目</w:t>
                </w:r>
              </w:p>
              <w:p>
                <w:pPr>
                  <w:pStyle w:val="2"/>
                  <w:jc w:val="both"/>
                </w:pPr>
              </w:p>
            </w:tc>
            <w:tc>
              <w:tcPr>
                <w:tcW w:w="846" w:type="dxa"/>
              </w:tcPr>
              <w:p>
                <w:pPr>
                  <w:pStyle w:val="2"/>
                  <w:jc w:val="both"/>
                </w:pPr>
                <w:r>
                  <w:rPr>
                    <w:rFonts w:hint="eastAsia"/>
                  </w:rPr>
                  <w:t>1</w:t>
                </w:r>
              </w:p>
            </w:tc>
            <w:tc>
              <w:tcPr>
                <w:tcW w:w="4394" w:type="dxa"/>
              </w:tcPr>
              <w:p>
                <w:pPr>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1、按照上级文件所规定的时间节点前完成电子健康卡建设改造工作。</w:t>
                </w:r>
              </w:p>
              <w:p>
                <w:pPr>
                  <w:spacing w:line="40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2、采取与市级卡管平台对接（梧州市）—&gt;市级卡管平台与区级卡管平台对接模式。</w:t>
                </w:r>
              </w:p>
              <w:p>
                <w:pPr>
                  <w:spacing w:line="400" w:lineRule="exact"/>
                  <w:ind w:firstLine="480" w:firstLineChars="200"/>
                  <w:rPr>
                    <w:rFonts w:cs="宋体" w:asciiTheme="minorEastAsia" w:hAnsiTheme="minorEastAsia" w:eastAsiaTheme="minorEastAsia"/>
                    <w:bCs/>
                    <w:kern w:val="0"/>
                    <w:sz w:val="24"/>
                  </w:rPr>
                </w:pPr>
                <w:r>
                  <w:rPr>
                    <w:rFonts w:hint="eastAsia" w:cs="宋体" w:asciiTheme="minorEastAsia" w:hAnsiTheme="minorEastAsia" w:eastAsiaTheme="minorEastAsia"/>
                    <w:kern w:val="0"/>
                    <w:sz w:val="24"/>
                  </w:rPr>
                  <w:t>3、</w:t>
                </w:r>
                <w:r>
                  <w:rPr>
                    <w:rFonts w:hint="eastAsia" w:cs="宋体" w:asciiTheme="minorEastAsia" w:hAnsiTheme="minorEastAsia" w:eastAsiaTheme="minorEastAsia"/>
                    <w:bCs/>
                    <w:kern w:val="0"/>
                    <w:sz w:val="24"/>
                  </w:rPr>
                  <w:t>完成医院HIS\LIS\PACS三大业务系统改造。实现用身份证、社保卡、居民电子健康卡三卡并存、通用，取消发放现有就诊卡。</w:t>
                </w:r>
              </w:p>
              <w:p>
                <w:pPr>
                  <w:pStyle w:val="2"/>
                  <w:jc w:val="both"/>
                </w:pPr>
              </w:p>
            </w:tc>
            <w:tc>
              <w:tcPr>
                <w:tcW w:w="1701" w:type="dxa"/>
              </w:tcPr>
              <w:p>
                <w:pPr>
                  <w:pStyle w:val="2"/>
                  <w:jc w:val="both"/>
                </w:pPr>
                <w:r>
                  <w:rPr>
                    <w:rFonts w:hint="eastAsia"/>
                  </w:rPr>
                  <w:t>广西壮族自治区桂东人民医院</w:t>
                </w:r>
              </w:p>
            </w:tc>
          </w:tr>
        </w:sdtContent>
      </w:sdt>
    </w:tbl>
    <w:p>
      <w:pPr>
        <w:widowControl/>
        <w:spacing w:line="360" w:lineRule="auto"/>
        <w:ind w:left="-708" w:leftChars="-338" w:hanging="2"/>
        <w:jc w:val="left"/>
        <w:rPr>
          <w:rFonts w:cs="宋体"/>
          <w:b/>
          <w:bCs/>
          <w:kern w:val="0"/>
          <w:sz w:val="24"/>
          <w:szCs w:val="24"/>
        </w:rPr>
      </w:pPr>
      <w:r>
        <w:rPr>
          <w:rFonts w:hint="eastAsia" w:cs="宋体"/>
          <w:b/>
          <w:bCs/>
          <w:kern w:val="0"/>
          <w:sz w:val="24"/>
          <w:szCs w:val="24"/>
        </w:rPr>
        <w:t>（二）技术规格参数</w:t>
      </w:r>
    </w:p>
    <w:p>
      <w:pPr>
        <w:pStyle w:val="2"/>
        <w:ind w:left="-708" w:leftChars="-337"/>
      </w:pPr>
      <w:r>
        <w:rPr>
          <w:rFonts w:hint="eastAsia"/>
        </w:rPr>
        <w:t>1.</w:t>
      </w:r>
      <w:commentRangeStart w:id="1"/>
      <w:r>
        <w:rPr>
          <w:rFonts w:hint="eastAsia"/>
        </w:rPr>
        <w:t>主要技术参数：</w:t>
      </w:r>
    </w:p>
    <w:sdt>
      <w:sdtPr>
        <w:rPr>
          <w:color w:val="000000"/>
          <w:kern w:val="0"/>
          <w:sz w:val="24"/>
          <w:szCs w:val="24"/>
        </w:rPr>
        <w:alias w:val="主要技术参数"/>
        <w:tag w:val="主要技术参数"/>
        <w:id w:val="-2079203106"/>
        <w:placeholder>
          <w:docPart w:val="DefaultPlaceholder_-1854013440"/>
        </w:placeholder>
      </w:sdtPr>
      <w:sdtEndPr>
        <w:rPr>
          <w:color w:val="000000"/>
          <w:kern w:val="0"/>
          <w:sz w:val="24"/>
          <w:szCs w:val="24"/>
        </w:rPr>
      </w:sdtEndPr>
      <w:sdtContent>
        <w:p>
          <w:pPr>
            <w:spacing w:line="440" w:lineRule="exact"/>
            <w:ind w:firstLine="480" w:firstLineChars="200"/>
            <w:jc w:val="center"/>
            <w:rPr>
              <w:color w:val="000000"/>
              <w:kern w:val="0"/>
              <w:sz w:val="24"/>
              <w:szCs w:val="24"/>
            </w:rPr>
          </w:pPr>
        </w:p>
        <w:tbl>
          <w:tblPr>
            <w:tblStyle w:val="9"/>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70"/>
            <w:gridCol w:w="5565"/>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1" w:type="dxa"/>
                <w:vAlign w:val="center"/>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w:t>
                </w:r>
                <w:r>
                  <w:rPr>
                    <w:rFonts w:asciiTheme="minorEastAsia" w:hAnsiTheme="minorEastAsia" w:eastAsiaTheme="minorEastAsia"/>
                    <w:b/>
                    <w:sz w:val="24"/>
                    <w:szCs w:val="24"/>
                  </w:rPr>
                  <w:t>号</w:t>
                </w:r>
              </w:p>
            </w:tc>
            <w:tc>
              <w:tcPr>
                <w:tcW w:w="1370" w:type="dxa"/>
                <w:vAlign w:val="center"/>
              </w:tcPr>
              <w:p>
                <w:pPr>
                  <w:spacing w:line="4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货物名称</w:t>
                </w:r>
              </w:p>
            </w:tc>
            <w:tc>
              <w:tcPr>
                <w:tcW w:w="5565" w:type="dxa"/>
                <w:vAlign w:val="center"/>
              </w:tcPr>
              <w:p>
                <w:pPr>
                  <w:spacing w:line="4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技术参数、配置及性能要求</w:t>
                </w:r>
              </w:p>
            </w:tc>
            <w:tc>
              <w:tcPr>
                <w:tcW w:w="708" w:type="dxa"/>
                <w:vAlign w:val="center"/>
              </w:tcPr>
              <w:p>
                <w:pPr>
                  <w:spacing w:line="4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单位</w:t>
                </w:r>
              </w:p>
            </w:tc>
            <w:tc>
              <w:tcPr>
                <w:tcW w:w="709" w:type="dxa"/>
                <w:vAlign w:val="center"/>
              </w:tcPr>
              <w:p>
                <w:pPr>
                  <w:spacing w:line="40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370" w:type="dxa"/>
                <w:vAlign w:val="center"/>
              </w:tcPr>
              <w:p>
                <w:pPr>
                  <w:jc w:val="center"/>
                  <w:rPr>
                    <w:rFonts w:asciiTheme="minorEastAsia" w:hAnsiTheme="minorEastAsia" w:eastAsiaTheme="minorEastAsia"/>
                  </w:rPr>
                </w:pPr>
                <w:r>
                  <w:rPr>
                    <w:rFonts w:asciiTheme="minorEastAsia" w:hAnsiTheme="minorEastAsia" w:eastAsiaTheme="minorEastAsia"/>
                  </w:rPr>
                  <w:t>H</w:t>
                </w:r>
                <w:r>
                  <w:rPr>
                    <w:rFonts w:hint="eastAsia" w:asciiTheme="minorEastAsia" w:hAnsiTheme="minorEastAsia" w:eastAsiaTheme="minorEastAsia"/>
                  </w:rPr>
                  <w:t>is接口费</w:t>
                </w:r>
              </w:p>
            </w:tc>
            <w:tc>
              <w:tcPr>
                <w:tcW w:w="5565" w:type="dxa"/>
                <w:vAlign w:val="center"/>
              </w:tcPr>
              <w:p>
                <w:pPr>
                  <w:jc w:val="center"/>
                  <w:rPr>
                    <w:rFonts w:asciiTheme="minorEastAsia" w:hAnsiTheme="minorEastAsia" w:eastAsiaTheme="minorEastAsia"/>
                    <w:b/>
                    <w:sz w:val="24"/>
                  </w:rPr>
                </w:pPr>
                <w:r>
                  <w:rPr>
                    <w:rFonts w:hint="eastAsia" w:cs="宋体" w:asciiTheme="minorEastAsia" w:hAnsiTheme="minorEastAsia" w:eastAsiaTheme="minorEastAsia"/>
                    <w:sz w:val="24"/>
                  </w:rPr>
                  <w:t>1.办卡处增加发放注册居民电子健康卡功能。2.实现患者用身份证、社保卡、电子健康卡挂号就诊功能。3. 面对患者窗口（挂号、收费处等）使用智能读卡器，兼容居民电子健康卡、身份证、社保卡、社保电子卡。</w:t>
                </w:r>
              </w:p>
            </w:tc>
            <w:tc>
              <w:tcPr>
                <w:tcW w:w="708"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项</w:t>
                </w:r>
              </w:p>
            </w:tc>
            <w:tc>
              <w:tcPr>
                <w:tcW w:w="709"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370" w:type="dxa"/>
                <w:vAlign w:val="center"/>
              </w:tcPr>
              <w:p>
                <w:pPr>
                  <w:jc w:val="center"/>
                  <w:rPr>
                    <w:rFonts w:asciiTheme="minorEastAsia" w:hAnsiTheme="minorEastAsia" w:eastAsiaTheme="minorEastAsia"/>
                  </w:rPr>
                </w:pPr>
                <w:r>
                  <w:rPr>
                    <w:rFonts w:hint="eastAsia" w:asciiTheme="minorEastAsia" w:hAnsiTheme="minorEastAsia" w:eastAsiaTheme="minorEastAsia"/>
                  </w:rPr>
                  <w:t>LIS接口费</w:t>
                </w:r>
              </w:p>
            </w:tc>
            <w:tc>
              <w:tcPr>
                <w:tcW w:w="5565" w:type="dxa"/>
                <w:vAlign w:val="center"/>
              </w:tcPr>
              <w:p>
                <w:pPr>
                  <w:jc w:val="center"/>
                  <w:rPr>
                    <w:rFonts w:asciiTheme="minorEastAsia" w:hAnsiTheme="minorEastAsia" w:eastAsiaTheme="minorEastAsia"/>
                    <w:b/>
                    <w:sz w:val="24"/>
                  </w:rPr>
                </w:pPr>
                <w:r>
                  <w:rPr>
                    <w:rFonts w:hint="eastAsia" w:cs="宋体" w:asciiTheme="minorEastAsia" w:hAnsiTheme="minorEastAsia" w:eastAsiaTheme="minorEastAsia"/>
                    <w:sz w:val="24"/>
                  </w:rPr>
                  <w:t>面对患者窗口（抽血处等）使用智能读卡器，兼容居民电子健康卡、身份证、社保卡、社保电子卡。</w:t>
                </w:r>
              </w:p>
            </w:tc>
            <w:tc>
              <w:tcPr>
                <w:tcW w:w="708"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项</w:t>
                </w:r>
              </w:p>
            </w:tc>
            <w:tc>
              <w:tcPr>
                <w:tcW w:w="709"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370" w:type="dxa"/>
                <w:vAlign w:val="center"/>
              </w:tcPr>
              <w:p>
                <w:pPr>
                  <w:jc w:val="center"/>
                  <w:rPr>
                    <w:rFonts w:asciiTheme="minorEastAsia" w:hAnsiTheme="minorEastAsia" w:eastAsiaTheme="minorEastAsia"/>
                  </w:rPr>
                </w:pPr>
                <w:r>
                  <w:rPr>
                    <w:rFonts w:hint="eastAsia" w:asciiTheme="minorEastAsia" w:hAnsiTheme="minorEastAsia" w:eastAsiaTheme="minorEastAsia"/>
                  </w:rPr>
                  <w:t>PACS接口费</w:t>
                </w:r>
              </w:p>
            </w:tc>
            <w:tc>
              <w:tcPr>
                <w:tcW w:w="5565" w:type="dxa"/>
                <w:vAlign w:val="center"/>
              </w:tcPr>
              <w:p>
                <w:pPr>
                  <w:jc w:val="center"/>
                  <w:rPr>
                    <w:rFonts w:asciiTheme="minorEastAsia" w:hAnsiTheme="minorEastAsia" w:eastAsiaTheme="minorEastAsia"/>
                    <w:b/>
                    <w:sz w:val="24"/>
                  </w:rPr>
                </w:pPr>
                <w:r>
                  <w:rPr>
                    <w:rFonts w:hint="eastAsia" w:cs="宋体" w:asciiTheme="minorEastAsia" w:hAnsiTheme="minorEastAsia" w:eastAsiaTheme="minorEastAsia"/>
                    <w:sz w:val="24"/>
                  </w:rPr>
                  <w:t>面对患者窗口（影像、超声、内镜、病理、心电登记处等）使用智能读卡器，兼容居民电子健康卡、身份证、社保卡、社保电子卡。</w:t>
                </w:r>
              </w:p>
            </w:tc>
            <w:tc>
              <w:tcPr>
                <w:tcW w:w="708"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项</w:t>
                </w:r>
              </w:p>
            </w:tc>
            <w:tc>
              <w:tcPr>
                <w:tcW w:w="709"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370"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rPr>
                  <w:t>智能读卡器</w:t>
                </w:r>
              </w:p>
            </w:tc>
            <w:tc>
              <w:tcPr>
                <w:tcW w:w="5565"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支持1个符合ISO7816标准的SIM卡座。</w:t>
                </w:r>
              </w:p>
              <w:p>
                <w:pPr>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支持读写符合ISO14443 TYPE A/B标准的非接触IC卡，卡槽寿命20万次；</w:t>
                </w:r>
              </w:p>
              <w:p>
                <w:pPr>
                  <w:rPr>
                    <w:rFonts w:cs="宋体" w:asciiTheme="minorEastAsia" w:hAnsiTheme="minorEastAsia" w:eastAsiaTheme="minorEastAsia"/>
                    <w:sz w:val="24"/>
                  </w:rPr>
                </w:pPr>
                <w:r>
                  <w:rPr>
                    <w:rFonts w:hint="eastAsia" w:cs="宋体" w:asciiTheme="minorEastAsia" w:hAnsiTheme="minorEastAsia" w:eastAsiaTheme="minorEastAsia"/>
                    <w:sz w:val="24"/>
                  </w:rPr>
                  <w:t>3.</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内置公安部认可的二代证阅读模块，支持读居民二代身份证信息；</w:t>
                </w:r>
              </w:p>
              <w:p>
                <w:pPr>
                  <w:rPr>
                    <w:rFonts w:cs="宋体" w:asciiTheme="minorEastAsia" w:hAnsiTheme="minorEastAsia" w:eastAsiaTheme="minorEastAsia"/>
                    <w:sz w:val="24"/>
                  </w:rPr>
                </w:pPr>
                <w:r>
                  <w:rPr>
                    <w:rFonts w:hint="eastAsia" w:cs="宋体" w:asciiTheme="minorEastAsia" w:hAnsiTheme="minorEastAsia" w:eastAsiaTheme="minorEastAsia"/>
                    <w:sz w:val="24"/>
                  </w:rPr>
                  <w:t>4.</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操作系统：支持 windows 系统；</w:t>
                </w:r>
              </w:p>
              <w:p>
                <w:pPr>
                  <w:rPr>
                    <w:rFonts w:cs="宋体" w:asciiTheme="minorEastAsia" w:hAnsiTheme="minorEastAsia" w:eastAsiaTheme="minorEastAsia"/>
                    <w:sz w:val="24"/>
                  </w:rPr>
                </w:pPr>
                <w:r>
                  <w:rPr>
                    <w:rFonts w:hint="eastAsia" w:cs="宋体" w:asciiTheme="minorEastAsia" w:hAnsiTheme="minorEastAsia" w:eastAsiaTheme="minorEastAsia"/>
                    <w:sz w:val="24"/>
                  </w:rPr>
                  <w:t>5.</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状态显示：3个LED指示灯；3个补光灯；</w:t>
                </w:r>
              </w:p>
              <w:p>
                <w:pPr>
                  <w:rPr>
                    <w:rFonts w:cs="宋体" w:asciiTheme="minorEastAsia" w:hAnsiTheme="minorEastAsia" w:eastAsiaTheme="minorEastAsia"/>
                    <w:sz w:val="24"/>
                  </w:rPr>
                </w:pPr>
                <w:r>
                  <w:rPr>
                    <w:rFonts w:hint="eastAsia" w:cs="宋体" w:asciiTheme="minorEastAsia" w:hAnsiTheme="minorEastAsia" w:eastAsiaTheme="minorEastAsia"/>
                    <w:sz w:val="24"/>
                  </w:rPr>
                  <w:t>6.</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显示屏：3.5寸 TFT液晶屏，320*240，RGB接口；</w:t>
                </w:r>
              </w:p>
              <w:p>
                <w:pPr>
                  <w:rPr>
                    <w:rFonts w:cs="宋体" w:asciiTheme="minorEastAsia" w:hAnsiTheme="minorEastAsia" w:eastAsiaTheme="minorEastAsia"/>
                    <w:sz w:val="24"/>
                  </w:rPr>
                </w:pPr>
                <w:r>
                  <w:rPr>
                    <w:rFonts w:hint="eastAsia" w:cs="宋体" w:asciiTheme="minorEastAsia" w:hAnsiTheme="minorEastAsia" w:eastAsiaTheme="minorEastAsia"/>
                    <w:sz w:val="24"/>
                  </w:rPr>
                  <w:t>7.</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通讯接口：USB HID或RS232；</w:t>
                </w:r>
              </w:p>
              <w:p>
                <w:pPr>
                  <w:rPr>
                    <w:rFonts w:cs="宋体" w:asciiTheme="minorEastAsia" w:hAnsiTheme="minorEastAsia" w:eastAsiaTheme="minorEastAsia"/>
                    <w:sz w:val="24"/>
                  </w:rPr>
                </w:pPr>
                <w:r>
                  <w:rPr>
                    <w:rFonts w:hint="eastAsia" w:cs="宋体" w:asciiTheme="minorEastAsia" w:hAnsiTheme="minorEastAsia" w:eastAsiaTheme="minorEastAsia"/>
                    <w:sz w:val="24"/>
                  </w:rPr>
                  <w:t>8.</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支持4个PSAM卡座；</w:t>
                </w:r>
              </w:p>
              <w:p>
                <w:pPr>
                  <w:rPr>
                    <w:rFonts w:cs="宋体" w:asciiTheme="minorEastAsia" w:hAnsiTheme="minorEastAsia" w:eastAsiaTheme="minorEastAsia"/>
                    <w:sz w:val="24"/>
                  </w:rPr>
                </w:pPr>
                <w:r>
                  <w:rPr>
                    <w:rFonts w:hint="eastAsia" w:cs="宋体" w:asciiTheme="minorEastAsia" w:hAnsiTheme="minorEastAsia" w:eastAsiaTheme="minorEastAsia"/>
                    <w:sz w:val="24"/>
                  </w:rPr>
                  <w:t>9.</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采用USB口或电源适配器供电，</w:t>
                </w:r>
              </w:p>
              <w:p>
                <w:pPr>
                  <w:rPr>
                    <w:rFonts w:cs="宋体" w:asciiTheme="minorEastAsia" w:hAnsiTheme="minorEastAsia" w:eastAsiaTheme="minorEastAsia"/>
                    <w:sz w:val="24"/>
                  </w:rPr>
                </w:pPr>
                <w:r>
                  <w:rPr>
                    <w:rFonts w:hint="eastAsia" w:cs="宋体" w:asciiTheme="minorEastAsia" w:hAnsiTheme="minorEastAsia" w:eastAsiaTheme="minorEastAsia"/>
                    <w:sz w:val="24"/>
                  </w:rPr>
                  <w:t>10.</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扫码功能：支持一维、二维码扫码；</w:t>
                </w:r>
              </w:p>
              <w:p>
                <w:pPr>
                  <w:rPr>
                    <w:rFonts w:cs="宋体" w:asciiTheme="minorEastAsia" w:hAnsiTheme="minorEastAsia" w:eastAsiaTheme="minorEastAsia"/>
                    <w:sz w:val="24"/>
                  </w:rPr>
                </w:pPr>
                <w:r>
                  <w:rPr>
                    <w:rFonts w:hint="eastAsia" w:cs="宋体" w:asciiTheme="minorEastAsia" w:hAnsiTheme="minorEastAsia" w:eastAsiaTheme="minorEastAsia"/>
                    <w:sz w:val="24"/>
                  </w:rPr>
                  <w:t>11.</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蜂鸣器：支持蜂鸣器；</w:t>
                </w:r>
              </w:p>
              <w:p>
                <w:pPr>
                  <w:rPr>
                    <w:rFonts w:cs="宋体" w:asciiTheme="minorEastAsia" w:hAnsiTheme="minorEastAsia" w:eastAsiaTheme="minorEastAsia"/>
                    <w:sz w:val="24"/>
                  </w:rPr>
                </w:pPr>
                <w:r>
                  <w:rPr>
                    <w:rFonts w:hint="eastAsia" w:cs="宋体" w:asciiTheme="minorEastAsia" w:hAnsiTheme="minorEastAsia" w:eastAsiaTheme="minorEastAsia"/>
                    <w:sz w:val="24"/>
                  </w:rPr>
                  <w:t>12.</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支持内部实时时钟。</w:t>
                </w:r>
              </w:p>
              <w:p>
                <w:pPr>
                  <w:rPr>
                    <w:rFonts w:cs="宋体" w:asciiTheme="minorEastAsia" w:hAnsiTheme="minorEastAsia" w:eastAsiaTheme="minorEastAsia"/>
                    <w:sz w:val="24"/>
                  </w:rPr>
                </w:pPr>
                <w:r>
                  <w:rPr>
                    <w:rFonts w:hint="eastAsia" w:cs="宋体" w:asciiTheme="minorEastAsia" w:hAnsiTheme="minorEastAsia" w:eastAsiaTheme="minorEastAsia"/>
                    <w:sz w:val="24"/>
                  </w:rPr>
                  <w:t>13.</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可以读写符合《电子健康卡技术规范 第3部分：识读终端--V1.8.9》委托方要求；并提供检测报告。</w:t>
                </w:r>
              </w:p>
              <w:p>
                <w:pPr>
                  <w:rPr>
                    <w:rFonts w:cs="宋体" w:asciiTheme="minorEastAsia" w:hAnsiTheme="minorEastAsia" w:eastAsiaTheme="minorEastAsia"/>
                    <w:sz w:val="24"/>
                  </w:rPr>
                </w:pPr>
                <w:r>
                  <w:rPr>
                    <w:rFonts w:hint="eastAsia" w:cs="宋体" w:asciiTheme="minorEastAsia" w:hAnsiTheme="minorEastAsia" w:eastAsiaTheme="minorEastAsia"/>
                    <w:sz w:val="24"/>
                  </w:rPr>
                  <w:t>14.</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读写器具备国家质量监督检验检疫总局颁发的IC卡读写机生产许可证。</w:t>
                </w:r>
              </w:p>
              <w:p>
                <w:pPr>
                  <w:rPr>
                    <w:rFonts w:cs="宋体" w:asciiTheme="minorEastAsia" w:hAnsiTheme="minorEastAsia" w:eastAsiaTheme="minorEastAsia"/>
                    <w:sz w:val="24"/>
                  </w:rPr>
                </w:pPr>
                <w:r>
                  <w:rPr>
                    <w:rFonts w:hint="eastAsia" w:cs="宋体" w:asciiTheme="minorEastAsia" w:hAnsiTheme="minorEastAsia" w:eastAsiaTheme="minorEastAsia"/>
                    <w:sz w:val="24"/>
                  </w:rPr>
                  <w:t>15.</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读卡器需预留外接密码小键盘的接口，支持分离式设计，线缆长度不小于 1.5 米</w:t>
                </w:r>
              </w:p>
              <w:p>
                <w:pPr>
                  <w:rPr>
                    <w:rFonts w:cs="宋体" w:asciiTheme="minorEastAsia" w:hAnsiTheme="minorEastAsia" w:eastAsiaTheme="minorEastAsia"/>
                    <w:sz w:val="24"/>
                  </w:rPr>
                </w:pPr>
                <w:r>
                  <w:rPr>
                    <w:rFonts w:hint="eastAsia" w:cs="宋体" w:asciiTheme="minorEastAsia" w:hAnsiTheme="minorEastAsia" w:eastAsiaTheme="minorEastAsia"/>
                    <w:sz w:val="24"/>
                  </w:rPr>
                  <w:t xml:space="preserve">16.  </w:t>
                </w:r>
                <w:r>
                  <w:rPr>
                    <w:rFonts w:hint="eastAsia" w:asciiTheme="minorEastAsia" w:hAnsiTheme="minorEastAsia" w:eastAsiaTheme="minorEastAsia" w:cstheme="minorEastAsia"/>
                    <w:sz w:val="24"/>
                    <w:szCs w:val="24"/>
                  </w:rPr>
                  <w:t>★</w:t>
                </w:r>
                <w:r>
                  <w:rPr>
                    <w:rFonts w:hint="eastAsia" w:cs="宋体" w:asciiTheme="minorEastAsia" w:hAnsiTheme="minorEastAsia" w:eastAsiaTheme="minorEastAsia"/>
                    <w:sz w:val="24"/>
                  </w:rPr>
                  <w:t>每台读卡器包含有一张医保</w:t>
                </w:r>
                <w:r>
                  <w:rPr>
                    <w:rFonts w:cs="宋体" w:asciiTheme="minorEastAsia" w:hAnsiTheme="minorEastAsia" w:eastAsiaTheme="minorEastAsia"/>
                    <w:sz w:val="24"/>
                  </w:rPr>
                  <w:t>PSAM</w:t>
                </w:r>
                <w:r>
                  <w:rPr>
                    <w:rFonts w:hint="eastAsia" w:cs="宋体" w:asciiTheme="minorEastAsia" w:hAnsiTheme="minorEastAsia" w:eastAsiaTheme="minorEastAsia"/>
                    <w:sz w:val="24"/>
                  </w:rPr>
                  <w:t>卡，兼容可读取梧州市社保卡。</w:t>
                </w:r>
              </w:p>
              <w:p>
                <w:pPr>
                  <w:rPr>
                    <w:rFonts w:cs="宋体" w:asciiTheme="minorEastAsia" w:hAnsiTheme="minorEastAsia" w:eastAsiaTheme="minorEastAsia"/>
                    <w:sz w:val="24"/>
                  </w:rPr>
                </w:pPr>
                <w:r>
                  <w:rPr>
                    <w:rFonts w:hint="eastAsia" w:cs="宋体" w:asciiTheme="minorEastAsia" w:hAnsiTheme="minorEastAsia" w:eastAsiaTheme="minorEastAsia"/>
                    <w:sz w:val="24"/>
                  </w:rPr>
                  <w:t xml:space="preserve">17.  </w:t>
                </w:r>
                <w:r>
                  <w:rPr>
                    <w:rFonts w:hint="eastAsia" w:asciiTheme="minorEastAsia" w:hAnsiTheme="minorEastAsia" w:eastAsiaTheme="minorEastAsia" w:cstheme="minorEastAsia"/>
                    <w:sz w:val="24"/>
                    <w:szCs w:val="24"/>
                  </w:rPr>
                  <w:t>★</w:t>
                </w:r>
                <w:r>
                  <w:rPr>
                    <w:rFonts w:hint="eastAsia" w:cs="宋体" w:asciiTheme="minorEastAsia" w:hAnsiTheme="minorEastAsia" w:eastAsiaTheme="minorEastAsia"/>
                    <w:sz w:val="24"/>
                  </w:rPr>
                  <w:t>设备要求带聚合身份识别，微信支付，支付宝支付，云闪付二维码支付，电子凭证支付，社保卡支付，支付参数配置，日志管理，账单查询，对账报表和退费等功能。</w:t>
                </w:r>
              </w:p>
              <w:p>
                <w:pPr>
                  <w:jc w:val="center"/>
                  <w:rPr>
                    <w:rFonts w:asciiTheme="minorEastAsia" w:hAnsiTheme="minorEastAsia" w:eastAsiaTheme="minorEastAsia"/>
                    <w:b/>
                    <w:sz w:val="24"/>
                  </w:rPr>
                </w:pPr>
              </w:p>
            </w:tc>
            <w:tc>
              <w:tcPr>
                <w:tcW w:w="708"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台</w:t>
                </w:r>
              </w:p>
            </w:tc>
            <w:tc>
              <w:tcPr>
                <w:tcW w:w="709"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55</w:t>
                </w:r>
              </w:p>
            </w:tc>
          </w:tr>
        </w:tbl>
        <w:p>
          <w:pPr>
            <w:spacing w:line="440" w:lineRule="exact"/>
            <w:ind w:firstLine="480" w:firstLineChars="200"/>
            <w:jc w:val="center"/>
            <w:rPr>
              <w:color w:val="000000"/>
              <w:kern w:val="0"/>
              <w:sz w:val="24"/>
              <w:szCs w:val="24"/>
            </w:rPr>
          </w:pPr>
        </w:p>
        <w:p>
          <w:pPr>
            <w:pStyle w:val="2"/>
            <w:ind w:left="-708" w:leftChars="-337"/>
          </w:pPr>
        </w:p>
      </w:sdtContent>
    </w:sdt>
    <w:p>
      <w:pPr>
        <w:pStyle w:val="2"/>
        <w:ind w:left="-708" w:leftChars="-337"/>
      </w:pPr>
      <w:r>
        <w:rPr>
          <w:rFonts w:hint="eastAsia"/>
        </w:rPr>
        <w:t>2.设备及器械配置单</w:t>
      </w:r>
      <w:commentRangeEnd w:id="1"/>
      <w:r>
        <w:rPr>
          <w:rStyle w:val="12"/>
          <w:color w:val="auto"/>
          <w:kern w:val="2"/>
        </w:rPr>
        <w:commentReference w:id="1"/>
      </w:r>
    </w:p>
    <w:sdt>
      <w:sdtPr>
        <w:rPr>
          <w:rFonts w:hint="eastAsia"/>
        </w:rPr>
        <w:id w:val="-2051833582"/>
      </w:sdtPr>
      <w:sdtEndPr>
        <w:rPr>
          <w:rFonts w:hint="default"/>
        </w:rPr>
      </w:sdtEndPr>
      <w:sdtContent>
        <w:sdt>
          <w:sdtPr>
            <w:rPr>
              <w:rFonts w:hint="eastAsia"/>
            </w:rPr>
            <w:id w:val="-2099235471"/>
            <w:placeholder>
              <w:docPart w:val="DefaultPlaceholder_-1854013435"/>
            </w:placeholder>
          </w:sdtPr>
          <w:sdtEndPr>
            <w:rPr>
              <w:rFonts w:hint="default"/>
            </w:rPr>
          </w:sdtEndPr>
          <w:sdtContent>
            <w:tbl>
              <w:tblPr>
                <w:tblStyle w:val="9"/>
                <w:tblW w:w="9781"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6"/>
                <w:gridCol w:w="1744"/>
                <w:gridCol w:w="613"/>
                <w:gridCol w:w="6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926" w:type="dxa"/>
                    <w:vAlign w:val="center"/>
                  </w:tcPr>
                  <w:p>
                    <w:pPr>
                      <w:pStyle w:val="2"/>
                      <w:rPr>
                        <w:b/>
                      </w:rPr>
                    </w:pPr>
                    <w:r>
                      <w:rPr>
                        <w:rFonts w:hint="eastAsia"/>
                        <w:b/>
                      </w:rPr>
                      <w:t>序 号</w:t>
                    </w:r>
                  </w:p>
                </w:tc>
                <w:tc>
                  <w:tcPr>
                    <w:tcW w:w="1744" w:type="dxa"/>
                    <w:tcBorders>
                      <w:left w:val="single" w:color="auto" w:sz="4" w:space="0"/>
                      <w:right w:val="single" w:color="auto" w:sz="4" w:space="0"/>
                    </w:tcBorders>
                    <w:vAlign w:val="center"/>
                  </w:tcPr>
                  <w:p>
                    <w:pPr>
                      <w:pStyle w:val="2"/>
                      <w:rPr>
                        <w:b/>
                      </w:rPr>
                    </w:pPr>
                    <w:r>
                      <w:rPr>
                        <w:rFonts w:hint="eastAsia"/>
                        <w:b/>
                      </w:rPr>
                      <w:t>产品名称</w:t>
                    </w:r>
                  </w:p>
                </w:tc>
                <w:tc>
                  <w:tcPr>
                    <w:tcW w:w="613" w:type="dxa"/>
                    <w:tcBorders>
                      <w:left w:val="single" w:color="auto" w:sz="4" w:space="0"/>
                      <w:right w:val="single" w:color="auto" w:sz="4" w:space="0"/>
                    </w:tcBorders>
                    <w:vAlign w:val="center"/>
                  </w:tcPr>
                  <w:p>
                    <w:pPr>
                      <w:pStyle w:val="2"/>
                      <w:rPr>
                        <w:b/>
                      </w:rPr>
                    </w:pPr>
                    <w:r>
                      <w:rPr>
                        <w:rFonts w:hint="eastAsia"/>
                        <w:b/>
                      </w:rPr>
                      <w:t>数 量</w:t>
                    </w:r>
                  </w:p>
                </w:tc>
                <w:tc>
                  <w:tcPr>
                    <w:tcW w:w="6498" w:type="dxa"/>
                    <w:tcBorders>
                      <w:left w:val="single" w:color="auto" w:sz="4" w:space="0"/>
                      <w:right w:val="single" w:color="auto" w:sz="4" w:space="0"/>
                    </w:tcBorders>
                    <w:vAlign w:val="center"/>
                  </w:tcPr>
                  <w:p>
                    <w:pPr>
                      <w:pStyle w:val="2"/>
                      <w:rPr>
                        <w:b/>
                      </w:rPr>
                    </w:pPr>
                    <w:r>
                      <w:rPr>
                        <w:rFonts w:hint="eastAsia"/>
                        <w:b/>
                      </w:rPr>
                      <w:t>规 格、性能和技术参数</w:t>
                    </w:r>
                  </w:p>
                </w:tc>
              </w:tr>
              <w:sdt>
                <w:sdtPr>
                  <w:rPr>
                    <w:rFonts w:hint="eastAsia"/>
                  </w:rPr>
                  <w:alias w:val="如有需要可填写"/>
                  <w:tag w:val="如有需要可填写"/>
                  <w:id w:val="-1914534722"/>
                  <w:placeholder>
                    <w:docPart w:val="DefaultPlaceholder_-1854013440"/>
                  </w:placeholder>
                </w:sdtPr>
                <w:sdtEndPr>
                  <w:rPr>
                    <w:rFonts w:hint="default"/>
                  </w:rPr>
                </w:sdtEndPr>
                <w:sdtContent>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926" w:type="dxa"/>
                        <w:vAlign w:val="center"/>
                      </w:tcPr>
                      <w:p>
                        <w:pPr>
                          <w:pStyle w:val="2"/>
                        </w:pPr>
                        <w:r>
                          <w:rPr>
                            <w:rFonts w:hint="eastAsia"/>
                          </w:rPr>
                          <w:t>1</w:t>
                        </w:r>
                      </w:p>
                    </w:tc>
                    <w:tc>
                      <w:tcPr>
                        <w:tcW w:w="1744" w:type="dxa"/>
                        <w:tcBorders>
                          <w:left w:val="single" w:color="auto" w:sz="4" w:space="0"/>
                          <w:right w:val="single" w:color="auto" w:sz="4" w:space="0"/>
                        </w:tcBorders>
                        <w:vAlign w:val="center"/>
                      </w:tcPr>
                      <w:p>
                        <w:pPr>
                          <w:pStyle w:val="2"/>
                        </w:pPr>
                      </w:p>
                    </w:tc>
                    <w:tc>
                      <w:tcPr>
                        <w:tcW w:w="613" w:type="dxa"/>
                        <w:tcBorders>
                          <w:left w:val="single" w:color="auto" w:sz="4" w:space="0"/>
                          <w:right w:val="single" w:color="auto" w:sz="4" w:space="0"/>
                        </w:tcBorders>
                        <w:vAlign w:val="center"/>
                      </w:tcPr>
                      <w:p>
                        <w:pPr>
                          <w:pStyle w:val="2"/>
                        </w:pPr>
                      </w:p>
                    </w:tc>
                    <w:tc>
                      <w:tcPr>
                        <w:tcW w:w="6498" w:type="dxa"/>
                        <w:tcBorders>
                          <w:left w:val="single" w:color="auto" w:sz="4" w:space="0"/>
                          <w:right w:val="single" w:color="auto" w:sz="4" w:space="0"/>
                        </w:tcBorders>
                        <w:vAlign w:val="center"/>
                      </w:tcPr>
                      <w:p>
                        <w:pPr>
                          <w:pStyle w:val="2"/>
                        </w:pPr>
                      </w:p>
                    </w:tc>
                  </w:tr>
                </w:sdtContent>
              </w:sdt>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926" w:type="dxa"/>
                    <w:vAlign w:val="center"/>
                  </w:tcPr>
                  <w:p>
                    <w:pPr>
                      <w:pStyle w:val="2"/>
                    </w:pPr>
                    <w:r>
                      <w:rPr>
                        <w:rFonts w:hint="eastAsia"/>
                      </w:rPr>
                      <w:t>2</w:t>
                    </w:r>
                  </w:p>
                </w:tc>
                <w:tc>
                  <w:tcPr>
                    <w:tcW w:w="1744" w:type="dxa"/>
                    <w:tcBorders>
                      <w:left w:val="single" w:color="auto" w:sz="4" w:space="0"/>
                      <w:right w:val="single" w:color="auto" w:sz="4" w:space="0"/>
                    </w:tcBorders>
                    <w:vAlign w:val="center"/>
                  </w:tcPr>
                  <w:p>
                    <w:pPr>
                      <w:pStyle w:val="2"/>
                    </w:pPr>
                  </w:p>
                </w:tc>
                <w:tc>
                  <w:tcPr>
                    <w:tcW w:w="613" w:type="dxa"/>
                    <w:tcBorders>
                      <w:left w:val="single" w:color="auto" w:sz="4" w:space="0"/>
                      <w:right w:val="single" w:color="auto" w:sz="4" w:space="0"/>
                    </w:tcBorders>
                    <w:vAlign w:val="center"/>
                  </w:tcPr>
                  <w:p>
                    <w:pPr>
                      <w:pStyle w:val="2"/>
                    </w:pPr>
                  </w:p>
                </w:tc>
                <w:tc>
                  <w:tcPr>
                    <w:tcW w:w="6498" w:type="dxa"/>
                    <w:tcBorders>
                      <w:left w:val="single" w:color="auto" w:sz="4" w:space="0"/>
                      <w:right w:val="single" w:color="auto" w:sz="4" w:space="0"/>
                    </w:tcBorders>
                    <w:vAlign w:val="center"/>
                  </w:tcPr>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926" w:type="dxa"/>
                    <w:vAlign w:val="center"/>
                  </w:tcPr>
                  <w:p>
                    <w:pPr>
                      <w:pStyle w:val="2"/>
                    </w:pPr>
                    <w:r>
                      <w:rPr>
                        <w:rFonts w:hint="eastAsia"/>
                      </w:rPr>
                      <w:t>2.1</w:t>
                    </w:r>
                  </w:p>
                </w:tc>
                <w:tc>
                  <w:tcPr>
                    <w:tcW w:w="1744" w:type="dxa"/>
                    <w:tcBorders>
                      <w:left w:val="single" w:color="auto" w:sz="4" w:space="0"/>
                      <w:right w:val="single" w:color="auto" w:sz="4" w:space="0"/>
                    </w:tcBorders>
                    <w:vAlign w:val="center"/>
                  </w:tcPr>
                  <w:p>
                    <w:pPr>
                      <w:pStyle w:val="2"/>
                    </w:pPr>
                  </w:p>
                </w:tc>
                <w:tc>
                  <w:tcPr>
                    <w:tcW w:w="613" w:type="dxa"/>
                    <w:tcBorders>
                      <w:left w:val="single" w:color="auto" w:sz="4" w:space="0"/>
                      <w:right w:val="single" w:color="auto" w:sz="4" w:space="0"/>
                    </w:tcBorders>
                    <w:vAlign w:val="center"/>
                  </w:tcPr>
                  <w:p>
                    <w:pPr>
                      <w:pStyle w:val="2"/>
                    </w:pPr>
                  </w:p>
                </w:tc>
                <w:tc>
                  <w:tcPr>
                    <w:tcW w:w="6498" w:type="dxa"/>
                    <w:tcBorders>
                      <w:left w:val="single" w:color="auto" w:sz="4" w:space="0"/>
                      <w:right w:val="single" w:color="auto" w:sz="4" w:space="0"/>
                    </w:tcBorders>
                    <w:vAlign w:val="center"/>
                  </w:tcPr>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926" w:type="dxa"/>
                    <w:vAlign w:val="center"/>
                  </w:tcPr>
                  <w:p>
                    <w:pPr>
                      <w:pStyle w:val="2"/>
                    </w:pPr>
                    <w:r>
                      <w:rPr>
                        <w:rFonts w:hint="eastAsia"/>
                      </w:rPr>
                      <w:t>2.2</w:t>
                    </w:r>
                  </w:p>
                </w:tc>
                <w:tc>
                  <w:tcPr>
                    <w:tcW w:w="1744" w:type="dxa"/>
                    <w:tcBorders>
                      <w:left w:val="single" w:color="auto" w:sz="4" w:space="0"/>
                      <w:right w:val="single" w:color="auto" w:sz="4" w:space="0"/>
                    </w:tcBorders>
                    <w:vAlign w:val="center"/>
                  </w:tcPr>
                  <w:p>
                    <w:pPr>
                      <w:pStyle w:val="2"/>
                    </w:pPr>
                  </w:p>
                </w:tc>
                <w:tc>
                  <w:tcPr>
                    <w:tcW w:w="613" w:type="dxa"/>
                    <w:tcBorders>
                      <w:left w:val="single" w:color="auto" w:sz="4" w:space="0"/>
                      <w:right w:val="single" w:color="auto" w:sz="4" w:space="0"/>
                    </w:tcBorders>
                    <w:vAlign w:val="center"/>
                  </w:tcPr>
                  <w:p>
                    <w:pPr>
                      <w:pStyle w:val="2"/>
                    </w:pPr>
                  </w:p>
                </w:tc>
                <w:tc>
                  <w:tcPr>
                    <w:tcW w:w="6498" w:type="dxa"/>
                    <w:tcBorders>
                      <w:left w:val="single" w:color="auto" w:sz="4" w:space="0"/>
                      <w:right w:val="single" w:color="auto" w:sz="4" w:space="0"/>
                    </w:tcBorders>
                    <w:vAlign w:val="center"/>
                  </w:tcPr>
                  <w:p>
                    <w:pPr>
                      <w:pStyle w:val="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926" w:type="dxa"/>
                    <w:vAlign w:val="center"/>
                  </w:tcPr>
                  <w:p>
                    <w:pPr>
                      <w:pStyle w:val="2"/>
                    </w:pPr>
                    <w:r>
                      <w:t>……</w:t>
                    </w:r>
                  </w:p>
                </w:tc>
                <w:tc>
                  <w:tcPr>
                    <w:tcW w:w="1744" w:type="dxa"/>
                    <w:tcBorders>
                      <w:left w:val="single" w:color="auto" w:sz="4" w:space="0"/>
                      <w:right w:val="single" w:color="auto" w:sz="4" w:space="0"/>
                    </w:tcBorders>
                    <w:vAlign w:val="center"/>
                  </w:tcPr>
                  <w:p>
                    <w:pPr>
                      <w:pStyle w:val="2"/>
                    </w:pPr>
                  </w:p>
                </w:tc>
                <w:tc>
                  <w:tcPr>
                    <w:tcW w:w="613" w:type="dxa"/>
                    <w:tcBorders>
                      <w:left w:val="single" w:color="auto" w:sz="4" w:space="0"/>
                      <w:right w:val="single" w:color="auto" w:sz="4" w:space="0"/>
                    </w:tcBorders>
                    <w:vAlign w:val="center"/>
                  </w:tcPr>
                  <w:p>
                    <w:pPr>
                      <w:pStyle w:val="2"/>
                    </w:pPr>
                  </w:p>
                </w:tc>
                <w:tc>
                  <w:tcPr>
                    <w:tcW w:w="6498" w:type="dxa"/>
                    <w:tcBorders>
                      <w:left w:val="single" w:color="auto" w:sz="4" w:space="0"/>
                      <w:right w:val="single" w:color="auto" w:sz="4" w:space="0"/>
                    </w:tcBorders>
                    <w:vAlign w:val="center"/>
                  </w:tcPr>
                  <w:p>
                    <w:pPr>
                      <w:pStyle w:val="2"/>
                    </w:pPr>
                  </w:p>
                </w:tc>
              </w:tr>
            </w:tbl>
          </w:sdtContent>
        </w:sdt>
      </w:sdtContent>
    </w:sdt>
    <w:p>
      <w:pPr>
        <w:widowControl/>
        <w:spacing w:line="360" w:lineRule="auto"/>
        <w:ind w:left="-708" w:leftChars="-337"/>
        <w:jc w:val="left"/>
        <w:rPr>
          <w:rFonts w:cs="宋体"/>
          <w:b/>
          <w:bCs/>
          <w:color w:val="000000"/>
          <w:kern w:val="0"/>
          <w:sz w:val="24"/>
          <w:szCs w:val="24"/>
        </w:rPr>
      </w:pPr>
      <w:r>
        <w:rPr>
          <w:rFonts w:hint="eastAsia" w:cs="宋体"/>
          <w:b/>
          <w:bCs/>
          <w:color w:val="000000"/>
          <w:kern w:val="0"/>
          <w:sz w:val="24"/>
          <w:szCs w:val="24"/>
        </w:rPr>
        <w:t>（三）基本要求</w:t>
      </w:r>
    </w:p>
    <w:p>
      <w:pPr>
        <w:pStyle w:val="2"/>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rPr>
          <w:color w:val="auto"/>
        </w:rPr>
      </w:pPr>
      <w:r>
        <w:rPr>
          <w:rFonts w:hint="eastAsia"/>
          <w:color w:val="auto"/>
        </w:rPr>
        <w:t>5、投标产品如包括必备的易损易耗备品备件和专用工具，竞标人应提供完整清单。</w:t>
      </w:r>
    </w:p>
    <w:p>
      <w:pPr>
        <w:pStyle w:val="2"/>
        <w:ind w:left="-708" w:leftChars="-337"/>
        <w:rPr>
          <w:rFonts w:cs="宋体"/>
          <w:b/>
          <w:bCs/>
        </w:rPr>
      </w:pPr>
      <w:r>
        <w:rPr>
          <w:rFonts w:hint="eastAsia" w:cs="宋体"/>
          <w:b/>
          <w:bCs/>
        </w:rPr>
        <w:t>（四）商务要求</w:t>
      </w:r>
    </w:p>
    <w:p>
      <w:pPr>
        <w:pStyle w:val="2"/>
        <w:ind w:left="-708" w:leftChars="-337"/>
        <w:rPr>
          <w:rFonts w:cs="宋体"/>
        </w:rPr>
      </w:pPr>
      <w:r>
        <w:rPr>
          <w:rFonts w:hint="eastAsia" w:cs="宋体"/>
        </w:rPr>
        <w:t>1.投标人为独立法人，并具备统一社会信用代码。</w:t>
      </w:r>
    </w:p>
    <w:p>
      <w:pPr>
        <w:pStyle w:val="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DefaultPlaceholder_-1854013440"/>
        </w:placeholder>
      </w:sdtPr>
      <w:sdtEndPr>
        <w:rPr>
          <w:rFonts w:hint="eastAsia" w:cs="Times New Roman"/>
        </w:rPr>
      </w:sdtEndPr>
      <w:sdtContent>
        <w:p>
          <w:pPr>
            <w:pStyle w:val="2"/>
            <w:ind w:left="-708" w:leftChars="-337"/>
          </w:pPr>
        </w:p>
        <w:p>
          <w:pPr>
            <w:pStyle w:val="2"/>
            <w:ind w:left="-708" w:leftChars="-337"/>
          </w:pP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DefaultPlaceholder_-1854013440"/>
        </w:placeholder>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color w:val="000000"/>
              <w:kern w:val="0"/>
              <w:sz w:val="24"/>
              <w:szCs w:val="24"/>
            </w:rPr>
            <w:t>1、为了防止虚假应标，项目成交结果公示期间，招标人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2"/>
            <w:ind w:left="-708" w:leftChars="-337"/>
          </w:pPr>
          <w:r>
            <w:rPr>
              <w:rFonts w:hint="eastAsia"/>
            </w:rPr>
            <w:t>2、投标产品必须是按厂家标准配置的整套全新，具备正规合法经销渠道的，符合国家各项有关质量标准的合格产品。相关部件及服务满足以上各项要求。若产品在运输过程中损坏或擦伤须无偿调换相同产品。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2"/>
            <w:ind w:left="-708" w:leftChars="-337"/>
          </w:pPr>
          <w:r>
            <w:rPr>
              <w:rFonts w:hint="eastAsia"/>
            </w:rPr>
            <w:t>3、按厂家规定保修，同时提供产品“三包”服务；定期安排相关人员回访进行质量跟踪；保证提供临床应用和售后技术服务支持方式；保修期后提供终身维修服务及配件供应；其他售后服务按厂家承诺实行。</w:t>
          </w:r>
        </w:p>
        <w:p>
          <w:pPr>
            <w:pStyle w:val="2"/>
            <w:ind w:left="-708" w:leftChars="-337"/>
            <w:rPr>
              <w:color w:val="FF0000"/>
            </w:rPr>
          </w:pPr>
          <w:r>
            <w:rPr>
              <w:rFonts w:hint="eastAsia"/>
            </w:rPr>
            <w:t>4、</w:t>
          </w:r>
          <w:r>
            <w:rPr>
              <w:rFonts w:hint="eastAsia"/>
              <w:color w:val="FF0000"/>
            </w:rPr>
            <w:t>质保期：设备安装完毕通过验收投入使用之日起不少于1年。</w:t>
          </w:r>
        </w:p>
        <w:p>
          <w:pPr>
            <w:pStyle w:val="2"/>
            <w:ind w:left="-708" w:leftChars="-337"/>
          </w:pPr>
          <w:r>
            <w:rPr>
              <w:rFonts w:hint="eastAsia"/>
            </w:rPr>
            <w:t>5、</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DefaultPlaceholder_-1854013440"/>
          </w:placeholder>
        </w:sdtPr>
        <w:sdtEndPr>
          <w:rPr>
            <w:color w:val="FF0000"/>
            <w:kern w:val="0"/>
            <w:sz w:val="24"/>
            <w:szCs w:val="24"/>
            <w:u w:val="single"/>
          </w:rPr>
        </w:sdtEndPr>
        <w:sdtContent>
          <w:r>
            <w:rPr>
              <w:color w:val="FF0000"/>
              <w:kern w:val="0"/>
              <w:sz w:val="24"/>
              <w:szCs w:val="24"/>
              <w:u w:val="single"/>
            </w:rPr>
            <w:t>30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DefaultPlaceholder_-1854013440"/>
          </w:placeholder>
        </w:sdtPr>
        <w:sdtEndPr>
          <w:rPr>
            <w:kern w:val="0"/>
            <w:sz w:val="24"/>
            <w:szCs w:val="24"/>
            <w:u w:val="single"/>
          </w:rPr>
        </w:sdtEndPr>
        <w:sdtContent>
          <w:r>
            <w:rPr>
              <w:rFonts w:hint="eastAsia"/>
              <w:kern w:val="0"/>
              <w:sz w:val="24"/>
              <w:szCs w:val="24"/>
              <w:u w:val="single"/>
            </w:rPr>
            <w:t>信息科</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DefaultPlaceholder_-1854013440"/>
          </w:placeholder>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kern w:val="0"/>
          <w:sz w:val="24"/>
          <w:szCs w:val="24"/>
        </w:rPr>
        <w:t>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DefaultPlaceholder_-1854013440"/>
        </w:placeholder>
        <w:showingPlcHdr/>
      </w:sdtPr>
      <w:sdtContent>
        <w:p>
          <w:pPr>
            <w:pStyle w:val="2"/>
          </w:pPr>
          <w:r>
            <w:rPr>
              <w:rStyle w:val="21"/>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DefaultPlaceholder_-1854013440"/>
        </w:placeholder>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sdtPr>
        <w:sdtEndPr>
          <w:rPr>
            <w:rFonts w:hint="eastAsia" w:cs="宋体"/>
            <w:kern w:val="0"/>
            <w:sz w:val="24"/>
            <w:szCs w:val="24"/>
            <w:u w:val="single"/>
          </w:rPr>
        </w:sdtEndPr>
        <w:sdtContent>
          <w:r>
            <w:rPr>
              <w:rFonts w:hint="eastAsia" w:cs="宋体"/>
              <w:kern w:val="0"/>
              <w:sz w:val="24"/>
              <w:szCs w:val="24"/>
              <w:u w:val="single"/>
            </w:rPr>
            <w:t>低价中标法</w:t>
          </w:r>
        </w:sdtContent>
      </w:sdt>
      <w:r>
        <w:rPr>
          <w:rFonts w:cs="宋体"/>
          <w:kern w:val="0"/>
          <w:sz w:val="24"/>
          <w:szCs w:val="24"/>
          <w:u w:val="single"/>
        </w:rPr>
        <w:t xml:space="preserve">  </w:t>
      </w:r>
      <w:r>
        <w:rPr>
          <w:rFonts w:hint="eastAsia" w:cs="宋体"/>
          <w:kern w:val="0"/>
          <w:sz w:val="24"/>
          <w:szCs w:val="24"/>
        </w:rPr>
        <w:t>确定中标候选人。</w:t>
      </w:r>
    </w:p>
    <w:p>
      <w:pPr>
        <w:pStyle w:val="2"/>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19AD27A7">
      <w:pPr>
        <w:pStyle w:val="3"/>
      </w:pPr>
      <w:r>
        <w:rPr>
          <w:rFonts w:hint="eastAsia"/>
        </w:rPr>
        <w:t>总清单，具体细节可在（二）技术规格参数中具体列明。</w:t>
      </w:r>
    </w:p>
  </w:comment>
  <w:comment w:id="1" w:author="c k" w:date="2021-01-18T15:45:00Z" w:initials="ck">
    <w:p w14:paraId="48830D8E">
      <w:pPr>
        <w:pStyle w:val="3"/>
      </w:pPr>
      <w:r>
        <w:rPr>
          <w:rFonts w:hint="eastAsia"/>
        </w:rPr>
        <w:t>项目主管部门根据采购项目要求填写，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AD27A7" w15:done="0"/>
  <w15:commentEx w15:paraId="48830D8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revisionView w:markup="0"/>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642EBB7A-05DF-4F7F-990F-180E42AE779D}"/>
    <w:docVar w:name="KY_MEDREF_VERSION" w:val="3"/>
  </w:docVars>
  <w:rsids>
    <w:rsidRoot w:val="004C7EB2"/>
    <w:rsid w:val="00060559"/>
    <w:rsid w:val="00066185"/>
    <w:rsid w:val="00080292"/>
    <w:rsid w:val="0008196D"/>
    <w:rsid w:val="00095D83"/>
    <w:rsid w:val="000A6C18"/>
    <w:rsid w:val="000B7E2D"/>
    <w:rsid w:val="000E1AA6"/>
    <w:rsid w:val="001F4186"/>
    <w:rsid w:val="00204183"/>
    <w:rsid w:val="00241CD6"/>
    <w:rsid w:val="002C7944"/>
    <w:rsid w:val="00370BD2"/>
    <w:rsid w:val="003C3AB5"/>
    <w:rsid w:val="003E7DC1"/>
    <w:rsid w:val="00474079"/>
    <w:rsid w:val="004C7EB2"/>
    <w:rsid w:val="004D08F5"/>
    <w:rsid w:val="004D2825"/>
    <w:rsid w:val="004F17FC"/>
    <w:rsid w:val="004F5A76"/>
    <w:rsid w:val="005007DD"/>
    <w:rsid w:val="00590F0D"/>
    <w:rsid w:val="005C23D6"/>
    <w:rsid w:val="005D491D"/>
    <w:rsid w:val="00654BC6"/>
    <w:rsid w:val="00684BD7"/>
    <w:rsid w:val="00696317"/>
    <w:rsid w:val="006E5543"/>
    <w:rsid w:val="0070504E"/>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BE7FD2"/>
    <w:rsid w:val="00C33384"/>
    <w:rsid w:val="00C762C8"/>
    <w:rsid w:val="00C97AD7"/>
    <w:rsid w:val="00CC2DEE"/>
    <w:rsid w:val="00CD27A2"/>
    <w:rsid w:val="00CF2C71"/>
    <w:rsid w:val="00CF62DA"/>
    <w:rsid w:val="00D2685D"/>
    <w:rsid w:val="00D41CB5"/>
    <w:rsid w:val="00D57065"/>
    <w:rsid w:val="00DB5864"/>
    <w:rsid w:val="00E14108"/>
    <w:rsid w:val="00E72BBE"/>
    <w:rsid w:val="00EB1C9B"/>
    <w:rsid w:val="00ED5546"/>
    <w:rsid w:val="2175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Balloon Text"/>
    <w:basedOn w:val="1"/>
    <w:link w:val="22"/>
    <w:semiHidden/>
    <w:unhideWhenUsed/>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uiPriority w:val="99"/>
    <w:rPr>
      <w:sz w:val="21"/>
      <w:szCs w:val="21"/>
    </w:rPr>
  </w:style>
  <w:style w:type="character" w:customStyle="1" w:styleId="13">
    <w:name w:val="批注文字 字符"/>
    <w:basedOn w:val="11"/>
    <w:qFormat/>
    <w:uiPriority w:val="99"/>
    <w:rPr>
      <w:rFonts w:ascii="Times New Roman" w:hAnsi="Times New Roman" w:eastAsia="宋体" w:cs="Times New Roman"/>
      <w:szCs w:val="21"/>
    </w:rPr>
  </w:style>
  <w:style w:type="character" w:customStyle="1" w:styleId="14">
    <w:name w:val="批注文字 Char"/>
    <w:link w:val="3"/>
    <w:semiHidden/>
    <w:uiPriority w:val="99"/>
    <w:rPr>
      <w:rFonts w:ascii="Times New Roman" w:hAnsi="Times New Roman" w:eastAsia="宋体" w:cs="Times New Roman"/>
      <w:szCs w:val="21"/>
    </w:rPr>
  </w:style>
  <w:style w:type="character" w:customStyle="1" w:styleId="15">
    <w:name w:val="批注主题 Char"/>
    <w:basedOn w:val="14"/>
    <w:link w:val="8"/>
    <w:semiHidden/>
    <w:uiPriority w:val="99"/>
    <w:rPr>
      <w:rFonts w:ascii="Times New Roman" w:hAnsi="Times New Roman" w:eastAsia="宋体" w:cs="Times New Roman"/>
      <w:b/>
      <w:bCs/>
      <w:szCs w:val="21"/>
    </w:rPr>
  </w:style>
  <w:style w:type="character" w:customStyle="1" w:styleId="16">
    <w:name w:val="纯文本 Char"/>
    <w:basedOn w:val="11"/>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Char"/>
    <w:basedOn w:val="11"/>
    <w:link w:val="7"/>
    <w:qFormat/>
    <w:uiPriority w:val="99"/>
    <w:rPr>
      <w:rFonts w:ascii="Times New Roman" w:hAnsi="Times New Roman" w:eastAsia="宋体" w:cs="Times New Roman"/>
      <w:sz w:val="18"/>
      <w:szCs w:val="18"/>
    </w:rPr>
  </w:style>
  <w:style w:type="character" w:customStyle="1" w:styleId="20">
    <w:name w:val="页脚 Char"/>
    <w:basedOn w:val="11"/>
    <w:link w:val="6"/>
    <w:uiPriority w:val="99"/>
    <w:rPr>
      <w:rFonts w:ascii="Times New Roman" w:hAnsi="Times New Roman" w:eastAsia="宋体" w:cs="Times New Roman"/>
      <w:sz w:val="18"/>
      <w:szCs w:val="18"/>
    </w:rPr>
  </w:style>
  <w:style w:type="character" w:styleId="21">
    <w:name w:val="Placeholder Text"/>
    <w:basedOn w:val="11"/>
    <w:semiHidden/>
    <w:qFormat/>
    <w:uiPriority w:val="99"/>
    <w:rPr>
      <w:color w:val="808080"/>
    </w:rPr>
  </w:style>
  <w:style w:type="character" w:customStyle="1" w:styleId="22">
    <w:name w:val="批注框文本 Char"/>
    <w:basedOn w:val="11"/>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0285A"/>
    <w:rsid w:val="00013D5D"/>
    <w:rsid w:val="00102898"/>
    <w:rsid w:val="00123B2E"/>
    <w:rsid w:val="001B2DBA"/>
    <w:rsid w:val="0048475D"/>
    <w:rsid w:val="007311C2"/>
    <w:rsid w:val="0080285A"/>
    <w:rsid w:val="00947DDC"/>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4B7F2-81BB-4CE9-8537-6DD568307FF6}">
  <ds:schemaRefs/>
</ds:datastoreItem>
</file>

<file path=docProps/app.xml><?xml version="1.0" encoding="utf-8"?>
<Properties xmlns="http://schemas.openxmlformats.org/officeDocument/2006/extended-properties" xmlns:vt="http://schemas.openxmlformats.org/officeDocument/2006/docPropsVTypes">
  <Template>Normal.dotm</Template>
  <Pages>7</Pages>
  <Words>644</Words>
  <Characters>3675</Characters>
  <Lines>30</Lines>
  <Paragraphs>8</Paragraphs>
  <TotalTime>10</TotalTime>
  <ScaleCrop>false</ScaleCrop>
  <LinksUpToDate>false</LinksUpToDate>
  <CharactersWithSpaces>4311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2021-08-30T07:07:00Z</dcterms:created>
  <dc:creator>c k</dc:creator>
  <cp:lastModifiedBy>chance</cp:lastModifiedBy>
  <cp:lastPrinted>2021-01-18T07:59:00Z</cp:lastPrinted>
  <dcterms:modified xsi:type="dcterms:W3CDTF">2021-09-24T00:24:35Z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245060A7A741490A8D5E0D62A6D526E9</vt:lpwstr>
  </property>
</Properties>
</file>