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13"/>
        <w:ind w:left="-708" w:leftChars="-338" w:hanging="2"/>
        <w:rPr>
          <w:color w:val="FF0000"/>
          <w:sz w:val="21"/>
          <w:szCs w:val="21"/>
        </w:rPr>
      </w:pPr>
      <w:r>
        <w:rPr>
          <w:rFonts w:hint="eastAsia"/>
          <w:color w:val="FF0000"/>
          <w:sz w:val="21"/>
          <w:szCs w:val="21"/>
        </w:rPr>
        <w:t>2、★ 部分为核心参数，不满足视为无效投标。</w:t>
      </w:r>
    </w:p>
    <w:p>
      <w:pPr>
        <w:pStyle w:val="13"/>
        <w:ind w:left="-708" w:leftChars="-337"/>
        <w:rPr>
          <w:rFonts w:cs="宋体"/>
          <w:b/>
          <w:bCs/>
          <w:sz w:val="28"/>
          <w:szCs w:val="28"/>
        </w:rPr>
      </w:pPr>
      <w:r>
        <w:rPr>
          <w:rFonts w:hint="eastAsia" w:cs="宋体"/>
          <w:b/>
          <w:bCs/>
          <w:sz w:val="28"/>
          <w:szCs w:val="28"/>
        </w:rPr>
        <w:t>一、采购清单、技术规格参数、质量标准和要求</w:t>
      </w:r>
    </w:p>
    <w:p>
      <w:pPr>
        <w:pStyle w:val="13"/>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12"/>
          <w:color w:val="auto"/>
          <w:kern w:val="2"/>
        </w:rPr>
        <w:commentReference w:id="0"/>
      </w:r>
      <w:r>
        <w:rPr>
          <w:b/>
          <w:bCs/>
        </w:rPr>
        <w:t> </w:t>
      </w:r>
    </w:p>
    <w:tbl>
      <w:tblPr>
        <w:tblStyle w:val="9"/>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13"/>
              <w:jc w:val="both"/>
            </w:pPr>
            <w:r>
              <w:rPr>
                <w:rFonts w:hint="eastAsia"/>
              </w:rPr>
              <w:t>项目名称</w:t>
            </w:r>
          </w:p>
        </w:tc>
        <w:tc>
          <w:tcPr>
            <w:tcW w:w="846" w:type="dxa"/>
          </w:tcPr>
          <w:p>
            <w:pPr>
              <w:pStyle w:val="13"/>
              <w:jc w:val="both"/>
            </w:pPr>
            <w:r>
              <w:rPr>
                <w:rFonts w:hint="eastAsia"/>
              </w:rPr>
              <w:t>数量</w:t>
            </w:r>
          </w:p>
        </w:tc>
        <w:tc>
          <w:tcPr>
            <w:tcW w:w="4394" w:type="dxa"/>
          </w:tcPr>
          <w:p>
            <w:pPr>
              <w:pStyle w:val="13"/>
              <w:jc w:val="both"/>
            </w:pPr>
            <w:r>
              <w:rPr>
                <w:rFonts w:hint="eastAsia"/>
              </w:rPr>
              <w:t>产品用途与说明</w:t>
            </w:r>
          </w:p>
        </w:tc>
        <w:tc>
          <w:tcPr>
            <w:tcW w:w="1701" w:type="dxa"/>
          </w:tcPr>
          <w:p>
            <w:pPr>
              <w:pStyle w:val="13"/>
              <w:jc w:val="both"/>
            </w:pPr>
            <w:r>
              <w:rPr>
                <w:rFonts w:hint="eastAsia"/>
              </w:rPr>
              <w:t>实施地点</w:t>
            </w:r>
          </w:p>
        </w:tc>
      </w:tr>
      <w:sdt>
        <w:sdtPr>
          <w:alias w:val="根据实际情况填写"/>
          <w:tag w:val="根据实际情况填写"/>
          <w:id w:val="-1110810611"/>
          <w:placeholder>
            <w:docPart w:val="DefaultPlaceholder_-1854013440"/>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13"/>
                  <w:jc w:val="both"/>
                  <w:rPr>
                    <w:rFonts w:hint="eastAsia"/>
                  </w:rPr>
                </w:pPr>
                <w:r>
                  <w:rPr>
                    <w:rFonts w:hint="eastAsia"/>
                  </w:rPr>
                  <w:t>病人监护仪</w:t>
                </w:r>
              </w:p>
            </w:tc>
            <w:tc>
              <w:tcPr>
                <w:tcW w:w="846" w:type="dxa"/>
              </w:tcPr>
              <w:p>
                <w:pPr>
                  <w:pStyle w:val="13"/>
                  <w:jc w:val="both"/>
                  <w:rPr>
                    <w:rFonts w:hint="eastAsia"/>
                  </w:rPr>
                </w:pPr>
                <w:r>
                  <w:rPr>
                    <w:rFonts w:hint="eastAsia"/>
                  </w:rPr>
                  <w:t>2台</w:t>
                </w:r>
              </w:p>
            </w:tc>
            <w:tc>
              <w:tcPr>
                <w:tcW w:w="4394" w:type="dxa"/>
              </w:tcPr>
              <w:p>
                <w:r>
                  <w:t>麻醉监护仪专门为手术室应用量身定制，具备有优秀的围术期麻醉监测技术，而且提供一套贯穿诱导--麻醉维特--复苏三个阶段的麻醉平衡指示工具，令工作流更加顺畅，帮助麻醉医生及时了解手术病人麻醉状态，合理用药。</w:t>
                </w:r>
              </w:p>
            </w:tc>
            <w:tc>
              <w:tcPr>
                <w:tcW w:w="1701" w:type="dxa"/>
              </w:tcPr>
              <w:p>
                <w:pPr>
                  <w:pStyle w:val="13"/>
                  <w:jc w:val="both"/>
                </w:pPr>
                <w:r>
                  <w:rPr>
                    <w:rFonts w:hint="eastAsia"/>
                  </w:rPr>
                  <w:t>广西桂东人民医院指定地点</w:t>
                </w:r>
              </w:p>
              <w:p>
                <w:pPr>
                  <w:pStyle w:val="13"/>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rPr>
        <w:id w:val="147471302"/>
        <w15:repeatingSection/>
      </w:sdtPr>
      <w:sdtEndPr>
        <w:rPr>
          <w:rFonts w:hint="eastAsia"/>
        </w:rPr>
      </w:sdtEndPr>
      <w:sdtContent>
        <w:sdt>
          <w:sdtPr>
            <w:rPr>
              <w:rFonts w:hint="eastAsia"/>
            </w:rPr>
            <w:id w:val="147452392"/>
            <w:placeholder>
              <w:docPart w:val="{2fe68bf9-e570-429b-a8b5-0a9aed96709c}"/>
            </w:placeholder>
            <w15:repeatingSectionItem/>
          </w:sdtPr>
          <w:sdtEndPr>
            <w:rPr>
              <w:rFonts w:hint="eastAsia"/>
            </w:rPr>
          </w:sdtEndPr>
          <w:sdtContent>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1.模块化插件式监护仪，主机、显示屏和插件槽一体化设计，主机插槽数</w:t>
              </w:r>
              <w:r>
                <w:rPr>
                  <w:rFonts w:hint="default"/>
                </w:rPr>
                <w:t>≥</w:t>
              </w:r>
              <w:r>
                <w:rPr>
                  <w:rFonts w:hint="eastAsia"/>
                </w:rPr>
                <w:t>5个；</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 xml:space="preserve">★2.  </w:t>
              </w:r>
              <w:r>
                <w:rPr>
                  <w:rFonts w:hint="default"/>
                </w:rPr>
                <w:t>≥</w:t>
              </w:r>
              <w:r>
                <w:rPr>
                  <w:rFonts w:hint="eastAsia"/>
                </w:rPr>
                <w:t>15.1寸彩色电容触摸屏，支持多点触摸操作，高分辨率达1</w:t>
              </w:r>
              <w:r>
                <w:t>920</w:t>
              </w:r>
              <w:r>
                <w:rPr>
                  <w:rFonts w:hint="eastAsia"/>
                </w:rPr>
                <w:t xml:space="preserve"> x</w:t>
              </w:r>
              <w:r>
                <w:t xml:space="preserve"> 1080</w:t>
              </w:r>
              <w:r>
                <w:rPr>
                  <w:rFonts w:hint="eastAsia"/>
                </w:rPr>
                <w:t>像素，</w:t>
              </w:r>
              <w:r>
                <w:rPr>
                  <w:rFonts w:hint="default"/>
                </w:rPr>
                <w:t>≥</w:t>
              </w:r>
              <w:r>
                <w:rPr>
                  <w:rFonts w:hint="eastAsia"/>
                </w:rPr>
                <w:t>8通道显示；</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3.内置锂电池，供电时间</w:t>
              </w:r>
              <w:r>
                <w:rPr>
                  <w:rFonts w:hint="default"/>
                </w:rPr>
                <w:t>≥</w:t>
              </w:r>
              <w:r>
                <w:rPr>
                  <w:rFonts w:hint="eastAsia"/>
                </w:rPr>
                <w:t>2小时；</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4.配置</w:t>
              </w:r>
              <w:r>
                <w:rPr>
                  <w:rFonts w:hint="default"/>
                </w:rPr>
                <w:t>≥</w:t>
              </w:r>
              <w:r>
                <w:rPr>
                  <w:rFonts w:hint="eastAsia"/>
                </w:rPr>
                <w:t>4个USB接口，支持连接存储介质、鼠标、键盘、条码扫描枪等USB设备；</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★5.基本功能模块支持心电，呼吸，心率，无创血压，血氧饱和度，脉搏，双通道体温和双通道有创血压的同时监测；</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6.基本功能模块从监护仪拔出后作为一个独立的监护仪支持病人的无缝转移，具有显示屏，屏幕尺寸</w:t>
              </w:r>
              <w:r>
                <w:rPr>
                  <w:rFonts w:hint="default"/>
                </w:rPr>
                <w:t>≥</w:t>
              </w:r>
              <w:r>
                <w:rPr>
                  <w:rFonts w:hint="eastAsia"/>
                </w:rPr>
                <w:t>5英寸，内置锂电池供电不小于4小时，无风扇设计；</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★7.支持3/5导心电监测,支持升级12导心电测量，并在监护仪上完成12导静息分析；</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8.心电电缆配置抗电刀电缆，满足手术过程中电刀环境下患者心电的正常监护；</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9.支持房颤心律失常分析功能，支持不少于20种实时心律失常分析；</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10.提供ST段分析功能，支持在专门的窗口中分组显示心脏前壁，下壁和侧壁的ST实时片段和参考片段。监测ST段抬高或者压低，提供ST报警。</w:t>
              </w:r>
              <w:r>
                <w:t>提供单个，或多个ST值报警，并支持相对的报警限设置</w:t>
              </w:r>
              <w:r>
                <w:rPr>
                  <w:rFonts w:hint="eastAsia"/>
                </w:rPr>
                <w:t>；</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11.提供导联类型自动识别功能，具备智能导联脱落监测功能，导联脱落的情况下仍能保持监护；</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12.</w:t>
              </w:r>
              <w:r>
                <w:t>具有</w:t>
              </w:r>
              <w:r>
                <w:rPr>
                  <w:rFonts w:hint="eastAsia"/>
                </w:rPr>
                <w:t>QT/QTc测量功能，提供QT，QTc和ΔQTc参数值，</w:t>
              </w:r>
              <w:r>
                <w:t>提供QT和QTc模板显示</w:t>
              </w:r>
              <w:r>
                <w:rPr>
                  <w:rFonts w:hint="eastAsia"/>
                </w:rPr>
                <w:t>；；</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13.无创血压</w:t>
              </w:r>
              <w:r>
                <w:t>提供手动、自动间隔、连续</w:t>
              </w:r>
              <w:r>
                <w:rPr>
                  <w:rFonts w:hint="eastAsia"/>
                </w:rPr>
                <w:t>、</w:t>
              </w:r>
              <w:r>
                <w:t>序列</w:t>
              </w:r>
              <w:r>
                <w:rPr>
                  <w:rFonts w:hint="eastAsia"/>
                </w:rPr>
                <w:t>四</w:t>
              </w:r>
              <w:r>
                <w:t>种测量模式</w:t>
              </w:r>
              <w:r>
                <w:rPr>
                  <w:rFonts w:hint="eastAsia"/>
                </w:rPr>
                <w:t>；</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14.血氧监测提供灌注指数（PI）的监测；</w:t>
              </w:r>
            </w:p>
            <w:p>
              <w:pPr>
                <w:numPr>
                  <w:ilvl w:val="0"/>
                  <w:numId w:val="0"/>
                </w:numPr>
                <w:autoSpaceDE w:val="0"/>
                <w:autoSpaceDN w:val="0"/>
                <w:adjustRightInd w:val="0"/>
                <w:spacing w:line="360" w:lineRule="auto"/>
                <w:ind w:leftChars="0"/>
                <w:jc w:val="left"/>
                <w:rPr>
                  <w:rFonts w:asciiTheme="minorEastAsia" w:hAnsiTheme="minorEastAsia"/>
                  <w:sz w:val="24"/>
                  <w:szCs w:val="24"/>
                </w:rPr>
              </w:pPr>
              <w:r>
                <w:rPr>
                  <w:rFonts w:hint="eastAsia"/>
                </w:rPr>
                <w:t>15.支持双通道有创压IBP监测，支持升级8通道有创压监测，提供肺动脉锲压（PAWP）的监测和PPV参数监测。支持4道IBP波形叠加显示；</w:t>
              </w:r>
              <w:r>
                <w:t xml:space="preserve"> </w:t>
              </w:r>
            </w:p>
            <w:p>
              <w:pPr>
                <w:numPr>
                  <w:ilvl w:val="0"/>
                  <w:numId w:val="0"/>
                </w:numPr>
                <w:spacing w:line="360" w:lineRule="auto"/>
                <w:ind w:leftChars="0"/>
                <w:rPr>
                  <w:rFonts w:asciiTheme="minorEastAsia" w:hAnsiTheme="minorEastAsia"/>
                  <w:color w:val="000000" w:themeColor="text1"/>
                  <w:sz w:val="24"/>
                  <w:szCs w:val="24"/>
                  <w14:textFill>
                    <w14:solidFill>
                      <w14:schemeClr w14:val="tx1"/>
                    </w14:solidFill>
                  </w14:textFill>
                </w:rPr>
              </w:pPr>
              <w:r>
                <w:rPr>
                  <w:rFonts w:hint="eastAsia"/>
                </w:rPr>
                <w:t>16.</w:t>
              </w:r>
              <w:r>
                <w:t>大字体界面支持</w:t>
              </w:r>
              <w:r>
                <w:rPr>
                  <w:rFonts w:hint="eastAsia"/>
                </w:rPr>
                <w:t>6个参数的设置和显示，</w:t>
              </w:r>
              <w:r>
                <w:t>具有图形化报警指示功能，看报警信息更容易</w:t>
              </w:r>
              <w:r>
                <w:rPr>
                  <w:rFonts w:hint="eastAsia"/>
                </w:rPr>
                <w:t>，</w:t>
              </w:r>
              <w:r>
                <w:t>所有参数报警限自动设置</w:t>
              </w:r>
              <w:r>
                <w:rPr>
                  <w:rFonts w:hint="eastAsia"/>
                </w:rPr>
                <w:t>；</w:t>
              </w:r>
            </w:p>
            <w:p>
              <w:pPr>
                <w:numPr>
                  <w:ilvl w:val="0"/>
                  <w:numId w:val="0"/>
                </w:numPr>
                <w:spacing w:line="360" w:lineRule="auto"/>
                <w:ind w:leftChars="0"/>
                <w:rPr>
                  <w:rFonts w:asciiTheme="minorEastAsia" w:hAnsiTheme="minorEastAsia"/>
                  <w:color w:val="000000" w:themeColor="text1"/>
                  <w:sz w:val="24"/>
                  <w:szCs w:val="24"/>
                  <w14:textFill>
                    <w14:solidFill>
                      <w14:schemeClr w14:val="tx1"/>
                    </w14:solidFill>
                  </w14:textFill>
                </w:rPr>
              </w:pPr>
              <w:r>
                <w:rPr>
                  <w:rFonts w:hint="eastAsia"/>
                </w:rPr>
                <w:t>17.</w:t>
              </w:r>
              <w:r>
                <w:t>能够设置护理组，一个护理组能够设置6-12</w:t>
              </w:r>
              <w:r>
                <w:rPr>
                  <w:rFonts w:hint="eastAsia"/>
                </w:rPr>
                <w:t>个病人。这些病人之间能够互相进行它床观察；</w:t>
              </w:r>
            </w:p>
            <w:p>
              <w:pPr>
                <w:numPr>
                  <w:ilvl w:val="0"/>
                  <w:numId w:val="0"/>
                </w:numPr>
                <w:spacing w:line="360" w:lineRule="auto"/>
                <w:ind w:leftChars="0"/>
                <w:rPr>
                  <w:rFonts w:asciiTheme="minorEastAsia" w:hAnsiTheme="minorEastAsia"/>
                  <w:color w:val="000000" w:themeColor="text1"/>
                  <w:sz w:val="24"/>
                  <w:szCs w:val="24"/>
                  <w14:textFill>
                    <w14:solidFill>
                      <w14:schemeClr w14:val="tx1"/>
                    </w14:solidFill>
                  </w14:textFill>
                </w:rPr>
              </w:pPr>
              <w:r>
                <w:rPr>
                  <w:rFonts w:hint="eastAsia"/>
                </w:rPr>
                <w:t>18.标配具备血液动力学，药物计算，氧合计算，通气计算和肾功能计算功能；</w:t>
              </w:r>
            </w:p>
            <w:p>
              <w:pPr>
                <w:numPr>
                  <w:ilvl w:val="0"/>
                  <w:numId w:val="0"/>
                </w:numPr>
                <w:spacing w:line="360" w:lineRule="auto"/>
                <w:ind w:leftChars="0"/>
                <w:rPr>
                  <w:rFonts w:asciiTheme="minorEastAsia" w:hAnsiTheme="minorEastAsia"/>
                  <w:color w:val="000000" w:themeColor="text1"/>
                  <w:sz w:val="24"/>
                  <w:szCs w:val="24"/>
                  <w14:textFill>
                    <w14:solidFill>
                      <w14:schemeClr w14:val="tx1"/>
                    </w14:solidFill>
                  </w14:textFill>
                </w:rPr>
              </w:pPr>
              <w:r>
                <w:rPr>
                  <w:rFonts w:hint="eastAsia"/>
                </w:rPr>
                <w:t>19.</w:t>
              </w:r>
              <w:r>
                <w:t>40</w:t>
              </w:r>
              <w:r>
                <w:rPr>
                  <w:rFonts w:hint="eastAsia"/>
                </w:rPr>
                <w:t>个</w:t>
              </w:r>
              <w:r>
                <w:t>及以上</w:t>
              </w:r>
              <w:r>
                <w:rPr>
                  <w:rFonts w:hint="eastAsia"/>
                </w:rPr>
                <w:t>参数的120小时（分辨率1分钟）趋势表、趋势图回顾，4小时（分辨率5秒）趋势表、趋势图回顾。</w:t>
              </w:r>
              <w:r>
                <w:t>1000条事件回顾。每条报警事件至少能够存储</w:t>
              </w:r>
              <w:r>
                <w:rPr>
                  <w:rFonts w:hint="eastAsia"/>
                </w:rPr>
                <w:t>32秒三道相关波形，以及报警触发时所有测量参数值；</w:t>
              </w:r>
            </w:p>
            <w:p>
              <w:pPr>
                <w:numPr>
                  <w:ilvl w:val="0"/>
                  <w:numId w:val="0"/>
                </w:numPr>
                <w:spacing w:line="360" w:lineRule="auto"/>
                <w:ind w:leftChars="0"/>
                <w:rPr>
                  <w:rFonts w:asciiTheme="minorEastAsia" w:hAnsiTheme="minorEastAsia"/>
                  <w:sz w:val="24"/>
                  <w:szCs w:val="24"/>
                </w:rPr>
              </w:pPr>
              <w:r>
                <w:rPr>
                  <w:rFonts w:hint="eastAsia"/>
                </w:rPr>
                <w:t>20.具备大于等于48小时全息波形的存储与回顾功能，</w:t>
              </w:r>
              <w:r>
                <w:rPr>
                  <w:rFonts w:hint="default"/>
                </w:rPr>
                <w:t>≥</w:t>
              </w:r>
              <w:r>
                <w:rPr>
                  <w:rFonts w:hint="eastAsia"/>
                </w:rPr>
                <w:t>120小时（分辨率5分钟）ST片段回顾。</w:t>
              </w:r>
            </w:p>
            <w:p>
              <w:pPr>
                <w:numPr>
                  <w:ilvl w:val="0"/>
                  <w:numId w:val="0"/>
                </w:numPr>
                <w:spacing w:line="360" w:lineRule="auto"/>
                <w:ind w:leftChars="0"/>
                <w:rPr>
                  <w:rFonts w:asciiTheme="minorEastAsia" w:hAnsiTheme="minorEastAsia"/>
                  <w:sz w:val="24"/>
                  <w:szCs w:val="24"/>
                </w:rPr>
              </w:pPr>
              <w:r>
                <w:rPr>
                  <w:rFonts w:hint="eastAsia"/>
                </w:rPr>
                <w:t>21.</w:t>
              </w:r>
              <w:r>
                <w:t>具有在线帮助功能，能够指导用户掌握如何设置参数。具有高级参数指导功能，能够指导用户掌握高级参数的使用方法</w:t>
              </w:r>
              <w:r>
                <w:rPr>
                  <w:rFonts w:hint="eastAsia"/>
                </w:rPr>
                <w:t>；</w:t>
              </w:r>
            </w:p>
            <w:p>
              <w:pPr>
                <w:numPr>
                  <w:ilvl w:val="0"/>
                  <w:numId w:val="0"/>
                </w:numPr>
                <w:spacing w:line="360" w:lineRule="auto"/>
                <w:ind w:leftChars="0"/>
                <w:rPr>
                  <w:rFonts w:asciiTheme="minorEastAsia" w:hAnsiTheme="minorEastAsia"/>
                  <w:sz w:val="24"/>
                  <w:szCs w:val="24"/>
                </w:rPr>
              </w:pPr>
              <w:r>
                <w:rPr>
                  <w:rFonts w:hint="eastAsia"/>
                </w:rPr>
                <w:t>22.工作模式提供：监护模式、待机模式、</w:t>
              </w:r>
              <w:r>
                <w:t>体外循环模式模式、插管模式，夜间模式、隐私模式、演示模式</w:t>
              </w:r>
              <w:r>
                <w:rPr>
                  <w:rFonts w:hint="eastAsia"/>
                </w:rPr>
                <w:t>；</w:t>
              </w:r>
            </w:p>
            <w:p>
              <w:pPr>
                <w:numPr>
                  <w:ilvl w:val="0"/>
                  <w:numId w:val="0"/>
                </w:numPr>
                <w:spacing w:line="360" w:lineRule="auto"/>
                <w:ind w:leftChars="0"/>
                <w:rPr>
                  <w:rFonts w:asciiTheme="minorEastAsia" w:hAnsiTheme="minorEastAsia"/>
                  <w:sz w:val="24"/>
                  <w:szCs w:val="24"/>
                </w:rPr>
              </w:pPr>
              <w:r>
                <w:rPr>
                  <w:rFonts w:hint="eastAsia"/>
                </w:rPr>
                <w:t>23.</w:t>
              </w:r>
              <w:r>
                <w:t>提供</w:t>
              </w:r>
              <w:r>
                <w:rPr>
                  <w:rFonts w:hint="eastAsia"/>
                </w:rPr>
                <w:t>心肌缺血</w:t>
              </w:r>
              <w:r>
                <w:t>评估</w:t>
              </w:r>
              <w:r>
                <w:rPr>
                  <w:rFonts w:hint="eastAsia"/>
                </w:rPr>
                <w:t>工具</w:t>
              </w:r>
              <w:r>
                <w:t>，可以快速查看ST值的变化</w:t>
              </w:r>
              <w:r>
                <w:rPr>
                  <w:rFonts w:hint="eastAsia"/>
                </w:rPr>
                <w:t>；</w:t>
              </w:r>
            </w:p>
            <w:p>
              <w:pPr>
                <w:numPr>
                  <w:ilvl w:val="0"/>
                  <w:numId w:val="0"/>
                </w:numPr>
                <w:spacing w:line="360" w:lineRule="auto"/>
                <w:ind w:leftChars="0"/>
                <w:rPr>
                  <w:rFonts w:asciiTheme="minorEastAsia" w:hAnsiTheme="minorEastAsia"/>
                  <w:sz w:val="24"/>
                  <w:szCs w:val="24"/>
                </w:rPr>
              </w:pPr>
              <w:r>
                <w:rPr>
                  <w:rFonts w:hint="eastAsia"/>
                </w:rPr>
                <w:t>24.具备趋势共存界面、呼吸氧合图界面，大字体显示界面，及标准显示界面等多种显示界面；</w:t>
              </w:r>
            </w:p>
            <w:p>
              <w:pPr>
                <w:jc w:val="both"/>
                <w:rPr>
                  <w:rFonts w:hint="eastAsia" w:asciiTheme="minorEastAsia" w:hAnsiTheme="minorEastAsia"/>
                  <w:b w:val="0"/>
                  <w:bCs/>
                  <w:color w:val="000000" w:themeColor="text1"/>
                  <w:sz w:val="24"/>
                  <w:szCs w:val="24"/>
                  <w14:textFill>
                    <w14:solidFill>
                      <w14:schemeClr w14:val="tx1"/>
                    </w14:solidFill>
                  </w14:textFill>
                </w:rPr>
              </w:pPr>
              <w:r>
                <w:rPr>
                  <w:rFonts w:hint="eastAsia"/>
                </w:rPr>
                <w:t>★25.投标商需承诺无条件提供接入我院在用手术麻醉系统的技术支持服务,并承担接入接口的费用。</w:t>
              </w:r>
            </w:p>
            <w:p>
              <w:pPr>
                <w:jc w:val="both"/>
                <w:rPr>
                  <w:sz w:val="28"/>
                  <w:szCs w:val="28"/>
                </w:rPr>
              </w:pPr>
              <w:r>
                <w:rPr>
                  <w:rFonts w:hint="eastAsia"/>
                </w:rPr>
                <w:t>26.配置要求：</w:t>
              </w:r>
              <w:r>
                <w:t xml:space="preserve">                                 </w:t>
              </w:r>
            </w:p>
            <w:tbl>
              <w:tblPr>
                <w:tblStyle w:val="8"/>
                <w:tblpPr w:leftFromText="180" w:rightFromText="180" w:vertAnchor="text" w:horzAnchor="page" w:tblpX="2094" w:tblpY="240"/>
                <w:tblOverlap w:val="never"/>
                <w:tblW w:w="8459" w:type="dxa"/>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5601"/>
                <w:gridCol w:w="2858"/>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57" w:hRule="atLeast"/>
                  <w:tblCellSpacing w:w="20" w:type="dxa"/>
                </w:trPr>
                <w:tc>
                  <w:tcPr>
                    <w:tcW w:w="5541" w:type="dxa"/>
                    <w:noWrap w:val="0"/>
                    <w:vAlign w:val="top"/>
                  </w:tcPr>
                  <w:p>
                    <w:pPr>
                      <w:spacing w:line="400" w:lineRule="exact"/>
                      <w:ind w:firstLine="420" w:firstLineChars="200"/>
                      <w:rPr>
                        <w:rFonts w:hint="eastAsia" w:ascii="DengXian" w:hAnsi="DengXian" w:eastAsia="DengXian" w:cs="DengXian"/>
                        <w:b/>
                        <w:sz w:val="24"/>
                        <w:lang w:eastAsia="zh-CN"/>
                      </w:rPr>
                    </w:pPr>
                    <w:r>
                      <w:rPr>
                        <w:rFonts w:hint="eastAsia"/>
                      </w:rPr>
                      <w:t>名称</w:t>
                    </w:r>
                  </w:p>
                </w:tc>
                <w:tc>
                  <w:tcPr>
                    <w:tcW w:w="2798" w:type="dxa"/>
                    <w:noWrap w:val="0"/>
                    <w:vAlign w:val="center"/>
                  </w:tcPr>
                  <w:p>
                    <w:pPr>
                      <w:spacing w:line="400" w:lineRule="exact"/>
                      <w:jc w:val="center"/>
                      <w:rPr>
                        <w:rFonts w:ascii="DengXian" w:hAnsi="DengXian" w:eastAsia="DengXian" w:cs="DengXian"/>
                        <w:b/>
                        <w:sz w:val="24"/>
                      </w:rPr>
                    </w:pPr>
                    <w:r>
                      <w:rPr>
                        <w:rFonts w:hint="eastAsia"/>
                      </w:rPr>
                      <w:t>数 量</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65"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BeneVision N15OR主机</w:t>
                    </w:r>
                  </w:p>
                </w:tc>
                <w:tc>
                  <w:tcPr>
                    <w:tcW w:w="2798" w:type="dxa"/>
                    <w:noWrap w:val="0"/>
                    <w:vAlign w:val="center"/>
                  </w:tcPr>
                  <w:p>
                    <w:pPr>
                      <w:spacing w:line="400" w:lineRule="exact"/>
                      <w:jc w:val="center"/>
                      <w:rPr>
                        <w:rFonts w:ascii="DengXian" w:hAnsi="DengXian" w:eastAsia="DengXian" w:cs="DengXian"/>
                        <w:sz w:val="24"/>
                      </w:rPr>
                    </w:pPr>
                    <w:r>
                      <w:rPr>
                        <w:rFonts w:hint="eastAsia"/>
                      </w:rPr>
                      <w:t>1台</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50"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N1模块(带屏幕)</w:t>
                    </w:r>
                  </w:p>
                </w:tc>
                <w:tc>
                  <w:tcPr>
                    <w:tcW w:w="2798" w:type="dxa"/>
                    <w:noWrap w:val="0"/>
                    <w:vAlign w:val="center"/>
                  </w:tcPr>
                  <w:p>
                    <w:pPr>
                      <w:spacing w:line="400" w:lineRule="exact"/>
                      <w:jc w:val="center"/>
                      <w:rPr>
                        <w:rFonts w:ascii="DengXian" w:hAnsi="DengXian" w:eastAsia="DengXian" w:cs="DengXian"/>
                        <w:sz w:val="24"/>
                      </w:rPr>
                    </w:pPr>
                    <w:r>
                      <w:rPr>
                        <w:rFonts w:hint="eastAsia"/>
                      </w:rPr>
                      <w:t>1个</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35"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分体式心电主电缆组件 抗电刀型</w:t>
                    </w:r>
                  </w:p>
                </w:tc>
                <w:tc>
                  <w:tcPr>
                    <w:tcW w:w="2798" w:type="dxa"/>
                    <w:noWrap w:val="0"/>
                    <w:vAlign w:val="center"/>
                  </w:tcPr>
                  <w:p>
                    <w:pPr>
                      <w:spacing w:line="400" w:lineRule="exact"/>
                      <w:jc w:val="center"/>
                      <w:rPr>
                        <w:rFonts w:ascii="DengXian" w:hAnsi="DengXian" w:eastAsia="DengXian" w:cs="DengXian"/>
                        <w:sz w:val="24"/>
                      </w:rPr>
                    </w:pPr>
                    <w:r>
                      <w:rPr>
                        <w:rFonts w:hint="eastAsia"/>
                      </w:rPr>
                      <w:t>1根</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260"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5导分体式导联线组件AHA按扣式</w:t>
                    </w:r>
                  </w:p>
                </w:tc>
                <w:tc>
                  <w:tcPr>
                    <w:tcW w:w="2798" w:type="dxa"/>
                    <w:noWrap w:val="0"/>
                    <w:vAlign w:val="center"/>
                  </w:tcPr>
                  <w:p>
                    <w:pPr>
                      <w:spacing w:line="400" w:lineRule="exact"/>
                      <w:jc w:val="center"/>
                      <w:rPr>
                        <w:rFonts w:ascii="DengXian" w:hAnsi="DengXian" w:eastAsia="DengXian" w:cs="DengXian"/>
                        <w:sz w:val="24"/>
                      </w:rPr>
                    </w:pPr>
                    <w:r>
                      <w:rPr>
                        <w:rFonts w:hint="eastAsia"/>
                      </w:rPr>
                      <w:t>1根</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230"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无内胆成人袖套</w:t>
                    </w:r>
                  </w:p>
                </w:tc>
                <w:tc>
                  <w:tcPr>
                    <w:tcW w:w="2798" w:type="dxa"/>
                    <w:noWrap w:val="0"/>
                    <w:vAlign w:val="center"/>
                  </w:tcPr>
                  <w:p>
                    <w:pPr>
                      <w:spacing w:line="400" w:lineRule="exact"/>
                      <w:jc w:val="center"/>
                      <w:rPr>
                        <w:rFonts w:ascii="DengXian" w:hAnsi="DengXian" w:eastAsia="DengXian" w:cs="DengXian"/>
                        <w:sz w:val="24"/>
                      </w:rPr>
                    </w:pPr>
                    <w:r>
                      <w:rPr>
                        <w:rFonts w:hint="eastAsia"/>
                      </w:rPr>
                      <w:t>1个</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35"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无创血压导气管</w:t>
                    </w:r>
                  </w:p>
                </w:tc>
                <w:tc>
                  <w:tcPr>
                    <w:tcW w:w="2798" w:type="dxa"/>
                    <w:noWrap w:val="0"/>
                    <w:vAlign w:val="center"/>
                  </w:tcPr>
                  <w:p>
                    <w:pPr>
                      <w:spacing w:line="400" w:lineRule="exact"/>
                      <w:jc w:val="center"/>
                      <w:rPr>
                        <w:rFonts w:ascii="DengXian" w:hAnsi="DengXian" w:eastAsia="DengXian" w:cs="DengXian"/>
                        <w:sz w:val="24"/>
                      </w:rPr>
                    </w:pPr>
                    <w:r>
                      <w:rPr>
                        <w:rFonts w:hint="eastAsia"/>
                      </w:rPr>
                      <w:t>1条</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20"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成人软指套血氧探头</w:t>
                    </w:r>
                  </w:p>
                </w:tc>
                <w:tc>
                  <w:tcPr>
                    <w:tcW w:w="2798" w:type="dxa"/>
                    <w:noWrap w:val="0"/>
                    <w:vAlign w:val="center"/>
                  </w:tcPr>
                  <w:p>
                    <w:pPr>
                      <w:spacing w:line="400" w:lineRule="exact"/>
                      <w:jc w:val="center"/>
                      <w:rPr>
                        <w:rFonts w:ascii="DengXian" w:hAnsi="DengXian" w:eastAsia="DengXian" w:cs="DengXian"/>
                        <w:sz w:val="24"/>
                      </w:rPr>
                    </w:pPr>
                    <w:r>
                      <w:rPr>
                        <w:rFonts w:hint="eastAsia"/>
                      </w:rPr>
                      <w:t>1根</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35"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血氧探头主电缆</w:t>
                    </w:r>
                  </w:p>
                </w:tc>
                <w:tc>
                  <w:tcPr>
                    <w:tcW w:w="2798" w:type="dxa"/>
                    <w:noWrap w:val="0"/>
                    <w:vAlign w:val="center"/>
                  </w:tcPr>
                  <w:p>
                    <w:pPr>
                      <w:spacing w:line="400" w:lineRule="exact"/>
                      <w:jc w:val="center"/>
                      <w:rPr>
                        <w:rFonts w:ascii="DengXian" w:hAnsi="DengXian" w:eastAsia="DengXian" w:cs="DengXian"/>
                        <w:sz w:val="24"/>
                      </w:rPr>
                    </w:pPr>
                    <w:r>
                      <w:rPr>
                        <w:rFonts w:hint="eastAsia"/>
                      </w:rPr>
                      <w:t>1根</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275"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心电电极 5片装</w:t>
                    </w:r>
                  </w:p>
                </w:tc>
                <w:tc>
                  <w:tcPr>
                    <w:tcW w:w="2798" w:type="dxa"/>
                    <w:noWrap w:val="0"/>
                    <w:vAlign w:val="center"/>
                  </w:tcPr>
                  <w:p>
                    <w:pPr>
                      <w:spacing w:line="400" w:lineRule="exact"/>
                      <w:jc w:val="center"/>
                      <w:rPr>
                        <w:rFonts w:ascii="DengXian" w:hAnsi="DengXian" w:eastAsia="DengXian" w:cs="DengXian"/>
                        <w:sz w:val="24"/>
                      </w:rPr>
                    </w:pPr>
                    <w:r>
                      <w:rPr>
                        <w:rFonts w:hint="eastAsia"/>
                      </w:rPr>
                      <w:t>1包</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65"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内置麻醉平衡软件</w:t>
                    </w:r>
                  </w:p>
                </w:tc>
                <w:tc>
                  <w:tcPr>
                    <w:tcW w:w="2798" w:type="dxa"/>
                    <w:noWrap w:val="0"/>
                    <w:vAlign w:val="center"/>
                  </w:tcPr>
                  <w:p>
                    <w:pPr>
                      <w:spacing w:line="400" w:lineRule="exact"/>
                      <w:jc w:val="center"/>
                      <w:rPr>
                        <w:rFonts w:ascii="DengXian" w:hAnsi="DengXian" w:eastAsia="DengXian" w:cs="DengXian"/>
                        <w:sz w:val="24"/>
                      </w:rPr>
                    </w:pPr>
                    <w:r>
                      <w:rPr>
                        <w:rFonts w:hint="eastAsia"/>
                      </w:rPr>
                      <w:t>内置</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27" w:hRule="atLeast"/>
                  <w:tblCellSpacing w:w="20" w:type="dxa"/>
                </w:trPr>
                <w:tc>
                  <w:tcPr>
                    <w:tcW w:w="5541" w:type="dxa"/>
                    <w:noWrap w:val="0"/>
                    <w:vAlign w:val="top"/>
                  </w:tcPr>
                  <w:p>
                    <w:pPr>
                      <w:spacing w:line="400" w:lineRule="exact"/>
                      <w:rPr>
                        <w:rFonts w:ascii="DengXian" w:hAnsi="DengXian" w:eastAsia="DengXian" w:cs="DengXian"/>
                        <w:sz w:val="24"/>
                      </w:rPr>
                    </w:pPr>
                    <w:r>
                      <w:rPr>
                        <w:rFonts w:hint="eastAsia"/>
                      </w:rPr>
                      <w:t>锂电池</w:t>
                    </w:r>
                  </w:p>
                </w:tc>
                <w:tc>
                  <w:tcPr>
                    <w:tcW w:w="2798" w:type="dxa"/>
                    <w:noWrap w:val="0"/>
                    <w:vAlign w:val="center"/>
                  </w:tcPr>
                  <w:p>
                    <w:pPr>
                      <w:spacing w:line="400" w:lineRule="exact"/>
                      <w:jc w:val="center"/>
                      <w:rPr>
                        <w:rFonts w:ascii="DengXian" w:hAnsi="DengXian" w:eastAsia="DengXian" w:cs="DengXian"/>
                        <w:sz w:val="24"/>
                      </w:rPr>
                    </w:pPr>
                    <w:r>
                      <w:rPr>
                        <w:rFonts w:hint="eastAsia"/>
                      </w:rPr>
                      <w:t>1块</w:t>
                    </w:r>
                  </w:p>
                </w:tc>
              </w:tr>
            </w:tbl>
            <w:p>
              <w:pPr>
                <w:pStyle w:val="13"/>
              </w:pPr>
            </w:p>
            <w:p>
              <w:pPr>
                <w:pStyle w:val="13"/>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13"/>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13"/>
        <w:ind w:left="-708" w:leftChars="-337"/>
        <w:rPr>
          <w:color w:val="auto"/>
        </w:rPr>
      </w:pPr>
      <w:r>
        <w:rPr>
          <w:rFonts w:hint="eastAsia"/>
          <w:color w:val="auto"/>
        </w:rPr>
        <w:t>2、投标人所投产品参数应同等或优于以上各项参数要求，产品、辅材及生产工艺符合国家相关规范。</w:t>
      </w:r>
    </w:p>
    <w:p>
      <w:pPr>
        <w:pStyle w:val="13"/>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13"/>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13"/>
        <w:ind w:left="-708" w:leftChars="-337"/>
        <w:rPr>
          <w:color w:val="auto"/>
        </w:rPr>
      </w:pPr>
      <w:r>
        <w:rPr>
          <w:rFonts w:hint="eastAsia"/>
          <w:color w:val="auto"/>
        </w:rPr>
        <w:t>5、投标产品如包括必备的易损易耗备品备件和专用工具，竞标人应提供完整清单。</w:t>
      </w:r>
    </w:p>
    <w:p>
      <w:pPr>
        <w:pStyle w:val="13"/>
        <w:ind w:left="-708" w:leftChars="-337"/>
        <w:rPr>
          <w:rFonts w:cs="宋体"/>
          <w:b/>
          <w:bCs/>
        </w:rPr>
      </w:pPr>
      <w:r>
        <w:rPr>
          <w:rFonts w:hint="eastAsia" w:cs="宋体"/>
          <w:b/>
          <w:bCs/>
        </w:rPr>
        <w:t>（四）商务要求</w:t>
      </w:r>
    </w:p>
    <w:p>
      <w:pPr>
        <w:pStyle w:val="13"/>
        <w:ind w:left="-708" w:leftChars="-337"/>
        <w:rPr>
          <w:rFonts w:cs="宋体"/>
        </w:rPr>
      </w:pPr>
      <w:r>
        <w:rPr>
          <w:rFonts w:hint="eastAsia" w:cs="宋体"/>
        </w:rPr>
        <w:t>1.投标人为独立法人，并具备统一社会信用代码。</w:t>
      </w:r>
    </w:p>
    <w:p>
      <w:pPr>
        <w:pStyle w:val="13"/>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3"/>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DefaultPlaceholder_-1854013440"/>
        </w:placeholder>
        <w15:color w:val="FF0000"/>
      </w:sdtPr>
      <w:sdtEndPr>
        <w:rPr>
          <w:rFonts w:hint="eastAsia" w:cs="Times New Roman"/>
        </w:rPr>
      </w:sdtEndPr>
      <w:sdtContent>
        <w:p>
          <w:pPr>
            <w:pStyle w:val="13"/>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13"/>
            <w:ind w:left="-708" w:leftChars="-337"/>
            <w:rPr>
              <w:rFonts w:cs="宋体"/>
              <w:color w:val="auto"/>
            </w:rPr>
          </w:pPr>
          <w:r>
            <w:rPr>
              <w:rFonts w:hint="eastAsia" w:cs="宋体"/>
              <w:color w:val="FF0000"/>
            </w:rPr>
            <w:t>本项目不接收联合体投标</w:t>
          </w:r>
          <w:r>
            <w:rPr>
              <w:rFonts w:hint="eastAsia" w:cs="宋体"/>
              <w:color w:val="auto"/>
            </w:rPr>
            <w:t>。</w:t>
          </w:r>
        </w:p>
        <w:p>
          <w:pPr>
            <w:pStyle w:val="13"/>
          </w:pPr>
          <w:r>
            <w:rPr>
              <w:rFonts w:hint="eastAsia"/>
            </w:rPr>
            <w:t>★5.投标人须投标文件中提供设备配置清单。</w:t>
          </w:r>
        </w:p>
        <w:p>
          <w:pPr>
            <w:pStyle w:val="13"/>
          </w:pPr>
          <w:r>
            <w:rPr>
              <w:rFonts w:hint="eastAsia"/>
            </w:rPr>
            <w:t>★</w:t>
          </w:r>
          <w:r>
            <w:t>6.</w:t>
          </w:r>
          <w:r>
            <w:rPr>
              <w:rFonts w:hint="eastAsia"/>
            </w:rPr>
            <w:t>投标文件中必须提供货物生产厂家针对本项目的售后服务承诺书。</w:t>
          </w: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color w:val="000000"/>
              <w:kern w:val="0"/>
              <w:sz w:val="24"/>
              <w:szCs w:val="24"/>
            </w:rPr>
            <w:t>1、为了防止虚假应标，项目成交结果公示期间，招标人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13"/>
            <w:ind w:left="-708" w:leftChars="-337"/>
          </w:pPr>
          <w:r>
            <w:rPr>
              <w:rFonts w:hint="eastAsia"/>
            </w:rPr>
            <w:t>2、投标产品必须是按厂家标准配置的整套全新，具备正规合法经销渠道的，符合国家各项有关质量标准的合格产品。相关部件及服务满足以上各项要求。若产品在运输过程中损坏或擦伤须无偿调换相同产品。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13"/>
            <w:ind w:left="-708" w:leftChars="-337"/>
          </w:pPr>
          <w:r>
            <w:rPr>
              <w:rFonts w:hint="eastAsia"/>
            </w:rPr>
            <w:t>3、按厂家规定保修，同时提供产品“三包”服务；定期安排相关人员回访进行质量跟踪；保证提供临床应用和售后技术服务支持方式；保修期后提供终身维修服务及配件供应；其他售后服务按厂家承诺实行。</w:t>
          </w:r>
        </w:p>
        <w:p>
          <w:pPr>
            <w:pStyle w:val="13"/>
          </w:pPr>
          <w:r>
            <w:rPr>
              <w:rFonts w:hint="eastAsia"/>
            </w:rPr>
            <w:t>4、</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23"/>
            <w:ind w:firstLine="0" w:firstLineChars="0"/>
            <w:rPr>
              <w:rFonts w:hint="eastAsia"/>
            </w:rPr>
          </w:pPr>
          <w:r>
            <w:rPr>
              <w:rFonts w:hint="eastAsia"/>
            </w:rPr>
            <w:t>★5</w:t>
          </w:r>
          <w:r>
            <w:t>.</w:t>
          </w:r>
          <w:r>
            <w:rPr>
              <w:rFonts w:hint="eastAsia"/>
            </w:rPr>
            <w:t>保修期内发生故障的设备如无法在24小时内修复，则应免费提供备用设备以保证系统的连续稳定运行，并在5个工作日内修复故障设备或更换新设备，5个工作日内不能解决的，由中标人提供替代设备，保障系统正常运行，在无相同型号的同种设备时，则应免费更换同类设备中较高型号的产品。</w:t>
          </w:r>
        </w:p>
        <w:p>
          <w:pPr>
            <w:pStyle w:val="23"/>
            <w:ind w:firstLine="0" w:firstLineChars="0"/>
            <w:rPr>
              <w:rFonts w:hint="eastAsia"/>
            </w:rPr>
          </w:pPr>
          <w:r>
            <w:rPr>
              <w:rFonts w:hint="eastAsia"/>
            </w:rPr>
            <w:t>★6.设备质保期至少3年</w:t>
          </w:r>
        </w:p>
        <w:p>
          <w:pPr>
            <w:pStyle w:val="13"/>
            <w:ind w:left="-708" w:leftChars="-337"/>
          </w:pP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15:color w:val="FF0000"/>
        </w:sdtPr>
        <w:sdtEndPr>
          <w:rPr>
            <w:color w:val="FF0000"/>
            <w:kern w:val="0"/>
            <w:sz w:val="24"/>
            <w:szCs w:val="24"/>
            <w:u w:val="single"/>
          </w:rPr>
        </w:sdtEndPr>
        <w:sdtContent>
          <w:r>
            <w:rPr>
              <w:rFonts w:hint="eastAsia"/>
            </w:rPr>
            <w:t>5</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Content>
        <w:p>
          <w:pPr>
            <w:pStyle w:val="13"/>
          </w:pPr>
          <w:r>
            <w:rPr>
              <w:rStyle w:val="22"/>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kern w:val="0"/>
            <w:sz w:val="24"/>
            <w:szCs w:val="24"/>
            <w:u w:val="single"/>
          </w:rPr>
        </w:sdtEndPr>
        <w:sdtContent>
          <w:r>
            <w:rPr>
              <w:rFonts w:hint="eastAsia"/>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2"/>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13"/>
        <w:ind w:firstLine="480" w:firstLineChars="200"/>
      </w:pPr>
      <w:r>
        <w:t>投标报价得分=（评标基准价÷投标报价）×</w:t>
      </w:r>
      <w:r>
        <w:rPr>
          <w:rFonts w:hint="eastAsia" w:cs="宋体"/>
          <w:color w:val="auto"/>
        </w:rPr>
        <w:t>X</w:t>
      </w:r>
      <w:r>
        <w:t>（计算结果四舍五入，保留两位小数）</w:t>
      </w:r>
    </w:p>
    <w:p>
      <w:pPr>
        <w:pStyle w:val="13"/>
        <w:ind w:firstLine="480" w:firstLineChars="200"/>
      </w:pPr>
      <w:r>
        <w:rPr>
          <w:rFonts w:hint="eastAsia"/>
        </w:rPr>
        <w:t>1.4货物类报价分区间为30-60分</w:t>
      </w:r>
    </w:p>
    <w:p>
      <w:pPr>
        <w:pStyle w:val="13"/>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13"/>
      </w:pPr>
      <w:r>
        <w:rPr>
          <w:rFonts w:hint="eastAsia"/>
        </w:rPr>
        <w:t xml:space="preserve"> </w:t>
      </w:r>
      <w:r>
        <w:t xml:space="preserve">   </w:t>
      </w:r>
      <w:r>
        <w:rPr>
          <w:rFonts w:hint="eastAsia"/>
        </w:rPr>
        <w:t>2.1考察投标人产品技术参数、性能要求、功能特性等响应及偏离情况</w:t>
      </w:r>
    </w:p>
    <w:p>
      <w:pPr>
        <w:pStyle w:val="13"/>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13"/>
        <w:ind w:firstLine="480" w:firstLineChars="200"/>
      </w:pPr>
      <w:r>
        <w:rPr>
          <w:rFonts w:hint="eastAsia"/>
        </w:rPr>
        <w:t>3.1考察投标人的服务方案、售后服务承诺、投入人员、更长保修期等情况</w:t>
      </w:r>
    </w:p>
    <w:p>
      <w:pPr>
        <w:pStyle w:val="13"/>
        <w:ind w:firstLine="480" w:firstLineChars="200"/>
      </w:pPr>
      <w:r>
        <w:rPr>
          <w:rFonts w:hint="eastAsia"/>
        </w:rPr>
        <w:t>3.2区间为10-20分</w:t>
      </w:r>
    </w:p>
    <w:p>
      <w:pPr>
        <w:pStyle w:val="13"/>
        <w:ind w:firstLine="482" w:firstLineChars="200"/>
        <w:rPr>
          <w:b/>
          <w:bCs/>
        </w:rPr>
      </w:pPr>
      <w:r>
        <w:rPr>
          <w:rFonts w:hint="eastAsia"/>
          <w:b/>
          <w:bCs/>
        </w:rPr>
        <w:t>4.履约能力分</w:t>
      </w:r>
    </w:p>
    <w:p>
      <w:pPr>
        <w:pStyle w:val="13"/>
        <w:ind w:firstLine="480" w:firstLineChars="200"/>
      </w:pPr>
      <w:r>
        <w:rPr>
          <w:rFonts w:hint="eastAsia"/>
        </w:rPr>
        <w:t>4.1考察投标人的信誉业绩、相关资质、认证证书等情况4.2</w:t>
      </w:r>
    </w:p>
    <w:p>
      <w:pPr>
        <w:pStyle w:val="13"/>
        <w:ind w:firstLine="480" w:firstLineChars="200"/>
      </w:pPr>
      <w:r>
        <w:rPr>
          <w:rFonts w:hint="eastAsia"/>
        </w:rPr>
        <w:t>4.2区间5-15分</w:t>
      </w:r>
    </w:p>
    <w:p>
      <w:pPr>
        <w:pStyle w:val="13"/>
        <w:ind w:firstLine="482" w:firstLineChars="200"/>
        <w:rPr>
          <w:b/>
          <w:bCs/>
        </w:rPr>
      </w:pPr>
      <w:r>
        <w:rPr>
          <w:rFonts w:hint="eastAsia"/>
          <w:b/>
          <w:bCs/>
        </w:rPr>
        <w:t>5.产品特性分</w:t>
      </w:r>
    </w:p>
    <w:p>
      <w:pPr>
        <w:pStyle w:val="13"/>
        <w:ind w:firstLine="480" w:firstLineChars="200"/>
      </w:pPr>
      <w:r>
        <w:rPr>
          <w:rFonts w:hint="eastAsia"/>
        </w:rPr>
        <w:t>5.1主要考察投标人产品的节能环保认证等情况</w:t>
      </w:r>
    </w:p>
    <w:p>
      <w:pPr>
        <w:pStyle w:val="13"/>
        <w:ind w:firstLine="480" w:firstLineChars="200"/>
      </w:pPr>
      <w:r>
        <w:rPr>
          <w:rFonts w:hint="eastAsia"/>
        </w:rPr>
        <w:t>5.2区间1-3分</w:t>
      </w:r>
    </w:p>
    <w:p>
      <w:pPr>
        <w:pStyle w:val="13"/>
        <w:ind w:firstLine="482" w:firstLineChars="200"/>
        <w:rPr>
          <w:b/>
          <w:bCs/>
        </w:rPr>
      </w:pPr>
      <w:r>
        <w:rPr>
          <w:rFonts w:hint="eastAsia"/>
          <w:b/>
          <w:bCs/>
        </w:rPr>
        <w:t>6.其他分值</w:t>
      </w:r>
    </w:p>
    <w:p>
      <w:pPr>
        <w:pStyle w:val="13"/>
        <w:ind w:firstLine="480" w:firstLineChars="200"/>
      </w:pPr>
      <w:r>
        <w:rPr>
          <w:rFonts w:hint="eastAsia"/>
        </w:rPr>
        <w:t>6.1包括演示、样品或招标人认为需要的其他评分项目</w:t>
      </w:r>
    </w:p>
    <w:p>
      <w:pPr>
        <w:pStyle w:val="13"/>
        <w:ind w:firstLine="480" w:firstLineChars="200"/>
      </w:pPr>
      <w:r>
        <w:rPr>
          <w:rFonts w:hint="eastAsia"/>
        </w:rPr>
        <w:t>6.2区间10-15分</w:t>
      </w:r>
    </w:p>
    <w:p>
      <w:pPr>
        <w:pStyle w:val="13"/>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efaultPlaceholder_-1854013440"/>
        </w:placeholder>
      </w:sdtPr>
      <w:sdtEndPr>
        <w:rPr>
          <w:rFonts w:hint="eastAsia" w:ascii="宋体" w:hAnsi="宋体" w:cs="宋体"/>
          <w:color w:val="000000"/>
          <w:kern w:val="0"/>
          <w:sz w:val="24"/>
          <w:szCs w:val="24"/>
        </w:rPr>
      </w:sdtEndPr>
      <w:sdtContent>
        <w:tbl>
          <w:tblPr>
            <w:tblStyle w:val="8"/>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9" w:type="dxa"/>
                <w:vAlign w:val="center"/>
              </w:tcPr>
              <w:p>
                <w:pPr>
                  <w:spacing w:line="280" w:lineRule="exact"/>
                  <w:rPr>
                    <w:rFonts w:ascii="宋体" w:hAnsi="宋体" w:cs="宋体"/>
                  </w:rPr>
                </w:pPr>
                <w:r>
                  <w:rPr>
                    <w:rFonts w:hint="eastAsia" w:ascii="宋体" w:hAnsi="宋体" w:cs="宋体"/>
                  </w:rPr>
                  <w:t>序号</w:t>
                </w:r>
              </w:p>
            </w:tc>
            <w:tc>
              <w:tcPr>
                <w:tcW w:w="1418" w:type="dxa"/>
                <w:vAlign w:val="center"/>
              </w:tcPr>
              <w:p>
                <w:pPr>
                  <w:spacing w:line="280" w:lineRule="exact"/>
                  <w:rPr>
                    <w:rFonts w:ascii="宋体" w:hAnsi="宋体" w:cs="宋体"/>
                  </w:rPr>
                </w:pPr>
                <w:r>
                  <w:rPr>
                    <w:rFonts w:hint="eastAsia" w:ascii="宋体" w:hAnsi="宋体" w:cs="宋体"/>
                  </w:rPr>
                  <w:t>评分内容</w:t>
                </w:r>
              </w:p>
            </w:tc>
            <w:tc>
              <w:tcPr>
                <w:tcW w:w="6409" w:type="dxa"/>
                <w:vAlign w:val="center"/>
              </w:tcPr>
              <w:p>
                <w:pPr>
                  <w:spacing w:line="280" w:lineRule="exact"/>
                  <w:rPr>
                    <w:rFonts w:ascii="宋体" w:hAnsi="宋体" w:cs="宋体"/>
                  </w:rPr>
                </w:pPr>
                <w:r>
                  <w:rPr>
                    <w:rFonts w:hint="eastAsia" w:ascii="宋体" w:hAnsi="宋体" w:cs="宋体"/>
                  </w:rPr>
                  <w:t>评分标准</w:t>
                </w:r>
              </w:p>
            </w:tc>
            <w:tc>
              <w:tcPr>
                <w:tcW w:w="1088" w:type="dxa"/>
                <w:vAlign w:val="center"/>
              </w:tcPr>
              <w:p>
                <w:pPr>
                  <w:spacing w:line="280" w:lineRule="exact"/>
                  <w:rPr>
                    <w:rFonts w:ascii="宋体" w:hAnsi="宋体" w:cs="宋体"/>
                  </w:rPr>
                </w:pPr>
                <w:r>
                  <w:rPr>
                    <w:rFonts w:hint="eastAsia" w:ascii="宋体" w:hAnsi="宋体" w:cs="宋体"/>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Align w:val="center"/>
              </w:tcPr>
              <w:p>
                <w:pPr>
                  <w:spacing w:line="280" w:lineRule="exact"/>
                  <w:rPr>
                    <w:rFonts w:ascii="宋体" w:hAnsi="宋体" w:cs="宋体"/>
                  </w:rPr>
                </w:pPr>
                <w:r>
                  <w:rPr>
                    <w:rFonts w:hint="eastAsia" w:ascii="宋体" w:hAnsi="宋体" w:cs="宋体"/>
                  </w:rPr>
                  <w:t>一</w:t>
                </w:r>
              </w:p>
            </w:tc>
            <w:tc>
              <w:tcPr>
                <w:tcW w:w="1418" w:type="dxa"/>
                <w:vAlign w:val="center"/>
              </w:tcPr>
              <w:p>
                <w:pPr>
                  <w:spacing w:line="280" w:lineRule="exact"/>
                  <w:rPr>
                    <w:rFonts w:ascii="宋体" w:hAnsi="宋体" w:cs="宋体"/>
                  </w:rPr>
                </w:pPr>
                <w:r>
                  <w:rPr>
                    <w:rFonts w:hint="eastAsia" w:ascii="宋体" w:hAnsi="宋体" w:cs="宋体"/>
                  </w:rPr>
                  <w:t>投标报价分</w:t>
                </w:r>
              </w:p>
              <w:p>
                <w:pPr>
                  <w:pStyle w:val="13"/>
                </w:pPr>
                <w:r>
                  <w:rPr>
                    <w:rFonts w:hint="eastAsia"/>
                  </w:rPr>
                  <w:t>（50分）</w:t>
                </w:r>
              </w:p>
            </w:tc>
            <w:tc>
              <w:tcPr>
                <w:tcW w:w="6409" w:type="dxa"/>
                <w:vAlign w:val="center"/>
              </w:tcPr>
              <w:p>
                <w:pPr>
                  <w:snapToGrid w:val="0"/>
                  <w:spacing w:line="240" w:lineRule="atLeast"/>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pPr>
                  <w:pStyle w:val="4"/>
                  <w:spacing w:line="400" w:lineRule="exact"/>
                  <w:outlineLvl w:val="0"/>
                  <w:rPr>
                    <w:rFonts w:ascii="新宋体" w:hAnsi="新宋体" w:eastAsia="新宋体" w:cs="新宋体"/>
                    <w:color w:val="000000"/>
                  </w:rPr>
                </w:pPr>
                <w:r>
                  <w:rPr>
                    <w:rFonts w:hint="eastAsia" w:hAnsi="宋体"/>
                    <w:bCs/>
                  </w:rPr>
                  <w:t>（2）</w:t>
                </w:r>
                <w:r>
                  <w:rPr>
                    <w:rStyle w:val="19"/>
                    <w:rFonts w:hint="default" w:ascii="新宋体" w:hAnsi="新宋体" w:eastAsia="新宋体" w:cs="新宋体"/>
                  </w:rPr>
                  <w:t>价格分应当采用低价优先法计算，即满足磋商</w:t>
                </w:r>
                <w:bookmarkStart w:id="0" w:name="_Toc3729"/>
                <w:bookmarkStart w:id="1" w:name="_Toc24090"/>
                <w:r>
                  <w:rPr>
                    <w:rStyle w:val="19"/>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pPr>
                  <w:pStyle w:val="4"/>
                  <w:spacing w:line="400" w:lineRule="exact"/>
                  <w:ind w:left="241" w:hanging="241" w:hangingChars="100"/>
                  <w:outlineLvl w:val="0"/>
                  <w:rPr>
                    <w:rFonts w:hAnsi="宋体" w:cs="宋体"/>
                  </w:rPr>
                </w:pPr>
                <w:bookmarkStart w:id="2" w:name="_Toc19127"/>
                <w:bookmarkStart w:id="3" w:name="_Toc18720"/>
                <w:r>
                  <w:rPr>
                    <w:rStyle w:val="19"/>
                    <w:rFonts w:hint="default" w:ascii="新宋体" w:hAnsi="新宋体" w:eastAsia="新宋体" w:cs="新宋体"/>
                    <w:b/>
                  </w:rPr>
                  <w:t>磋商报价得分=（评标基准价/磋商报价）×</w:t>
                </w:r>
                <w:bookmarkEnd w:id="2"/>
                <w:bookmarkEnd w:id="3"/>
                <w:r>
                  <w:rPr>
                    <w:rStyle w:val="19"/>
                    <w:rFonts w:hint="default" w:ascii="新宋体" w:hAnsi="新宋体" w:eastAsia="新宋体" w:cs="新宋体"/>
                    <w:b/>
                    <w:highlight w:val="yellow"/>
                  </w:rPr>
                  <w:t>投标报价分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09" w:type="dxa"/>
                <w:vAlign w:val="center"/>
              </w:tcPr>
              <w:p>
                <w:pPr>
                  <w:spacing w:line="280" w:lineRule="exact"/>
                  <w:rPr>
                    <w:rFonts w:ascii="宋体" w:hAnsi="宋体" w:cs="宋体"/>
                  </w:rPr>
                </w:pPr>
                <w:r>
                  <w:rPr>
                    <w:rFonts w:hint="eastAsia" w:ascii="宋体" w:hAnsi="宋体" w:cs="宋体"/>
                  </w:rPr>
                  <w:t>二</w:t>
                </w:r>
              </w:p>
            </w:tc>
            <w:tc>
              <w:tcPr>
                <w:tcW w:w="1418" w:type="dxa"/>
                <w:vAlign w:val="center"/>
              </w:tcPr>
              <w:p>
                <w:pPr>
                  <w:spacing w:line="280" w:lineRule="exact"/>
                  <w:rPr>
                    <w:rFonts w:ascii="宋体" w:hAnsi="宋体" w:cs="宋体"/>
                  </w:rPr>
                </w:pPr>
                <w:r>
                  <w:rPr>
                    <w:rFonts w:hint="eastAsia" w:ascii="宋体" w:hAnsi="宋体" w:cs="宋体"/>
                  </w:rPr>
                  <w:t>技术指标和配置分（</w:t>
                </w:r>
                <w:r>
                  <w:rPr>
                    <w:rFonts w:hint="eastAsia"/>
                  </w:rPr>
                  <w:t>25</w:t>
                </w:r>
                <w:r>
                  <w:rPr>
                    <w:rFonts w:ascii="宋体" w:hAnsi="宋体" w:cs="宋体"/>
                    <w:color w:val="FF0000"/>
                    <w:u w:val="single"/>
                  </w:rPr>
                  <w:t xml:space="preserve"> </w:t>
                </w:r>
                <w:r>
                  <w:rPr>
                    <w:rFonts w:hint="eastAsia" w:ascii="宋体" w:hAnsi="宋体" w:cs="宋体"/>
                  </w:rPr>
                  <w:t>分）</w:t>
                </w:r>
              </w:p>
            </w:tc>
            <w:tc>
              <w:tcPr>
                <w:tcW w:w="6409" w:type="dxa"/>
                <w:vAlign w:val="center"/>
              </w:tcPr>
              <w:p>
                <w:r>
                  <w:rPr>
                    <w:rFonts w:hint="eastAsia"/>
                  </w:rPr>
                  <w:t>1.</w:t>
                </w:r>
                <w:r>
                  <w:t>基本分 满足采购文件基本要求的,得10分。不打 </w:t>
                </w:r>
                <w:r>
                  <w:rPr>
                    <w:rFonts w:hint="eastAsia"/>
                  </w:rPr>
                  <w:t>★</w:t>
                </w:r>
                <w:r>
                  <w:t>号的参数, 如果负偏离或没有明确响应,每个地方扣2分。</w:t>
                </w:r>
              </w:p>
              <w:p>
                <w:r>
                  <w:rPr>
                    <w:rFonts w:hint="eastAsia"/>
                  </w:rPr>
                  <w:t>2.</w:t>
                </w:r>
                <w:r>
                  <w:t>品牌分 对投标人提供的货物的品牌从其信誉度、市场占有率等 各方面综合进行评审。</w:t>
                </w:r>
              </w:p>
              <w:p>
                <w:r>
                  <w:t> 一档(1-3分):一般品牌(同一品牌,应同一分 值)。划分依据:投标产品在国内、国际有一定的知名 度,有一定的市场占有率和相应的销售服务体系; </w:t>
                </w:r>
              </w:p>
              <w:p>
                <w:r>
                  <w:t>二档(3-6分):同行认可品牌(同一品牌,应同 一分值)。划分依据:投标产品在国内、国际有一定的 知名度,有较高的市场占有率并有较完善的销售服务体 系; </w:t>
                </w:r>
              </w:p>
              <w:p>
                <w:r>
                  <w:t>三档(7-9分):著名品牌(同一品牌,应同一分 值)。划分依据:投标产品属于国内、国际普遍认同的 著名品牌,有很高的知名度,有很高的市场占有率并有 完善的销售服务体系。</w:t>
                </w:r>
              </w:p>
              <w:p>
                <w:pPr>
                  <w:pStyle w:val="2"/>
                  <w:rPr>
                    <w:rFonts w:hint="eastAsia"/>
                  </w:rPr>
                </w:pPr>
                <w:r>
                  <w:t>设备性能分 打 </w:t>
                </w:r>
                <w:r>
                  <w:rPr>
                    <w:rFonts w:hint="eastAsia"/>
                  </w:rPr>
                  <w:t>★</w:t>
                </w:r>
                <w:r>
                  <w:t>号的技术参数及配置优于招标文件且评标时 被评标委员会接受的,每提升一项加2分,满分6分。</w:t>
                </w:r>
              </w:p>
            </w:tc>
            <w:tc>
              <w:tcPr>
                <w:tcW w:w="1088" w:type="dxa"/>
                <w:vAlign w:val="center"/>
              </w:tcPr>
              <w:p>
                <w:pPr>
                  <w:tabs>
                    <w:tab w:val="left" w:pos="624"/>
                    <w:tab w:val="left" w:pos="1361"/>
                    <w:tab w:val="left" w:pos="2041"/>
                  </w:tabs>
                  <w:spacing w:after="120"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三</w:t>
                </w:r>
              </w:p>
            </w:tc>
            <w:tc>
              <w:tcPr>
                <w:tcW w:w="1418" w:type="dxa"/>
                <w:vAlign w:val="center"/>
              </w:tcPr>
              <w:p>
                <w:pPr>
                  <w:jc w:val="left"/>
                  <w:rPr>
                    <w:rFonts w:ascii="宋体" w:hAnsi="宋体" w:cs="宋体"/>
                    <w:bCs/>
                    <w:color w:val="000000"/>
                    <w:spacing w:val="10"/>
                    <w:kern w:val="0"/>
                  </w:rPr>
                </w:pPr>
                <w:r>
                  <w:rPr>
                    <w:rFonts w:hint="eastAsia"/>
                    <w:bCs/>
                    <w:color w:val="000000"/>
                  </w:rPr>
                  <w:t>售后服务分（</w:t>
                </w:r>
                <w:r>
                  <w:rPr>
                    <w:rFonts w:hint="eastAsia"/>
                  </w:rPr>
                  <w:t>16</w:t>
                </w:r>
                <w:r>
                  <w:rPr>
                    <w:rFonts w:hint="eastAsia" w:hAnsi="宋体"/>
                    <w:color w:val="000000"/>
                  </w:rPr>
                  <w:t>分</w:t>
                </w:r>
                <w:r>
                  <w:rPr>
                    <w:rFonts w:hint="eastAsia"/>
                    <w:bCs/>
                    <w:color w:val="000000"/>
                  </w:rPr>
                  <w:t>）</w:t>
                </w:r>
              </w:p>
            </w:tc>
            <w:tc>
              <w:tcPr>
                <w:tcW w:w="6409" w:type="dxa"/>
                <w:vAlign w:val="center"/>
              </w:tcPr>
              <w:p>
                <w:pPr>
                  <w:adjustRightInd w:val="0"/>
                  <w:spacing w:line="360" w:lineRule="exact"/>
                  <w:ind w:firstLine="420" w:firstLineChars="200"/>
                  <w:textAlignment w:val="baseline"/>
                  <w:rPr>
                    <w:rFonts w:hint="eastAsia" w:ascii="宋体" w:hAnsi="宋体" w:cs="宋体"/>
                  </w:rPr>
                </w:pPr>
                <w:r>
                  <w:rPr>
                    <w:rFonts w:hint="eastAsia"/>
                  </w:rPr>
                  <w:t>1.</w:t>
                </w:r>
                <w:r>
                  <w:t xml:space="preserve">针对安装要求及方案、实现功能要求的解决方案、材质、结构 以及设备特定的技术要求。 一档:一般,1-3分 二档:良好,4-6分 三档:优秀,7-8分 </w:t>
                </w:r>
                <w:r>
                  <w:rPr>
                    <w:rFonts w:ascii="宋体" w:hAnsi="宋体" w:eastAsia="宋体" w:cs="宋体"/>
                    <w:sz w:val="24"/>
                    <w:szCs w:val="24"/>
                  </w:rPr>
                  <w:br w:type="textWrapping"/>
                </w:r>
                <w:r>
                  <w:rPr>
                    <w:rFonts w:hint="eastAsia"/>
                  </w:rPr>
                  <w:t>2.</w:t>
                </w:r>
                <w:r>
                  <w:t xml:space="preserve">承诺更长质保期 在满足基本保修期后,免费保修期每延长半年增加1分(以设备生产厂 家承诺复印件为准),满分4分; </w:t>
                </w:r>
                <w:r>
                  <w:rPr>
                    <w:rFonts w:ascii="宋体" w:hAnsi="宋体" w:eastAsia="宋体" w:cs="宋体"/>
                    <w:sz w:val="24"/>
                    <w:szCs w:val="24"/>
                  </w:rPr>
                  <w:br w:type="textWrapping"/>
                </w:r>
                <w:r>
                  <w:rPr>
                    <w:rFonts w:hint="eastAsia"/>
                  </w:rPr>
                  <w:t>3.</w:t>
                </w:r>
                <w:r>
                  <w:t xml:space="preserve">投标产品厂商有效的供货证明书或售后服务保证书原件,未能 提供的或提供不完整的得0分,完整提供的得2分。 </w:t>
                </w:r>
                <w:r>
                  <w:rPr>
                    <w:rFonts w:ascii="宋体" w:hAnsi="宋体" w:eastAsia="宋体" w:cs="宋体"/>
                    <w:sz w:val="24"/>
                    <w:szCs w:val="24"/>
                  </w:rPr>
                  <w:br w:type="textWrapping"/>
                </w:r>
                <w:r>
                  <w:rPr>
                    <w:rFonts w:hint="eastAsia"/>
                  </w:rPr>
                  <w:t>4.</w:t>
                </w:r>
                <w:r>
                  <w:t>本地化服务(满分2分) 投标人或投标产品生产厂家在广西区内设置售后服务办事机构 的,以提供资质证明复印件并列出联系人、联系电话、办公地址为准 (如提供虚假材料,中标无效),每增加一个,加1分</w:t>
                </w:r>
                <w:r>
                  <w:rPr>
                    <w:rFonts w:hint="eastAsia"/>
                  </w:rPr>
                  <w:t>,</w:t>
                </w:r>
                <w:r>
                  <w:t>满分2分</w:t>
                </w:r>
                <w:r>
                  <w:rPr>
                    <w:rFonts w:hint="eastAsia"/>
                  </w:rPr>
                  <w:t>.</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ascii="宋体" w:hAnsi="宋体" w:cs="宋体"/>
                  </w:rPr>
                </w:pPr>
                <w:r>
                  <w:rPr>
                    <w:rFonts w:hint="eastAsia"/>
                  </w:rPr>
                  <w:t>五</w:t>
                </w:r>
              </w:p>
            </w:tc>
            <w:tc>
              <w:tcPr>
                <w:tcW w:w="1418" w:type="dxa"/>
                <w:vAlign w:val="center"/>
              </w:tcPr>
              <w:p>
                <w:r>
                  <w:rPr>
                    <w:rFonts w:hint="eastAsia"/>
                  </w:rPr>
                  <w:t>信誉分(5分）</w:t>
                </w:r>
              </w:p>
              <w:p>
                <w:pPr>
                  <w:rPr>
                    <w:bCs/>
                    <w:color w:val="000000"/>
                  </w:rPr>
                </w:pPr>
              </w:p>
            </w:tc>
            <w:tc>
              <w:tcPr>
                <w:tcW w:w="6409" w:type="dxa"/>
                <w:vAlign w:val="center"/>
              </w:tcPr>
              <w:p>
                <w:pPr>
                  <w:rPr>
                    <w:color w:val="000000"/>
                  </w:rPr>
                </w:pPr>
                <w:r>
                  <w:rPr>
                    <w:rFonts w:hint="eastAsia"/>
                  </w:rPr>
                  <w:t>1.</w:t>
                </w:r>
                <w:r>
                  <w:t>投标人通过1509000系列国际质量体系认证或者投标品牌的生 产企业通过1S09000系列国际质量体系认证。(以提供相应的认 证证书复印件为准)</w:t>
                </w:r>
                <w:r>
                  <w:rPr>
                    <w:rFonts w:hint="eastAsia"/>
                  </w:rPr>
                  <w:t>:</w:t>
                </w:r>
                <w:r>
                  <w:t xml:space="preserve"> 1.5</w:t>
                </w:r>
                <w:r>
                  <w:rPr>
                    <w:rFonts w:hint="eastAsia"/>
                  </w:rPr>
                  <w:t>分</w:t>
                </w:r>
                <w:r>
                  <w:rPr>
                    <w:rFonts w:ascii="宋体" w:hAnsi="宋体" w:eastAsia="宋体" w:cs="宋体"/>
                    <w:sz w:val="24"/>
                    <w:szCs w:val="24"/>
                  </w:rPr>
                  <w:br w:type="textWrapping"/>
                </w:r>
                <w:r>
                  <w:rPr>
                    <w:rFonts w:hint="eastAsia"/>
                  </w:rPr>
                  <w:t>2.</w:t>
                </w:r>
                <w:r>
                  <w:t xml:space="preserve">投标人通过SA8000社会道德责任标准,投标产品获得 CE、 FDA 及SFDM权威机构认证的(以提供相应的认证书复印件为准) </w:t>
                </w:r>
                <w:r>
                  <w:rPr>
                    <w:rFonts w:hint="eastAsia"/>
                  </w:rPr>
                  <w:t>：</w:t>
                </w:r>
                <w:r>
                  <w:t xml:space="preserve">2 </w:t>
                </w:r>
                <w:r>
                  <w:rPr>
                    <w:rFonts w:hint="eastAsia"/>
                  </w:rPr>
                  <w:t>分</w:t>
                </w:r>
                <w:r>
                  <w:rPr>
                    <w:rFonts w:ascii="宋体" w:hAnsi="宋体" w:eastAsia="宋体" w:cs="宋体"/>
                    <w:sz w:val="24"/>
                    <w:szCs w:val="24"/>
                  </w:rPr>
                  <w:br w:type="textWrapping"/>
                </w:r>
                <w:r>
                  <w:rPr>
                    <w:rFonts w:hint="eastAsia"/>
                  </w:rPr>
                  <w:t>3.</w:t>
                </w:r>
                <w:r>
                  <w:t>信誉奖分 投标人201</w:t>
                </w:r>
                <w:r>
                  <w:rPr>
                    <w:rFonts w:hint="eastAsia"/>
                  </w:rPr>
                  <w:t>8</w:t>
                </w:r>
                <w:r>
                  <w:t xml:space="preserve">年以来获得重合同守信用先进企业、纳税大户等与 企业生产经营相关的奖项。(获得市一级奖项每一项0.5分,获得省 级以上奖项每一项为1分,如同时具备市、省级以上奖项的,以省级 以上为准) </w:t>
                </w:r>
                <w:r>
                  <w:rPr>
                    <w:rFonts w:hint="eastAsia"/>
                  </w:rPr>
                  <w:t>：</w:t>
                </w:r>
                <w:r>
                  <w:t>1.5</w:t>
                </w:r>
                <w:r>
                  <w:rPr>
                    <w:rFonts w:hint="eastAsia"/>
                  </w:rPr>
                  <w:t>分</w:t>
                </w:r>
                <w:r>
                  <w:t xml:space="preserve"> </w:t>
                </w:r>
                <w:r>
                  <w:rPr>
                    <w:rFonts w:hint="eastAsia"/>
                  </w:rPr>
                  <w:t>。</w:t>
                </w:r>
              </w:p>
            </w:tc>
            <w:tc>
              <w:tcPr>
                <w:tcW w:w="108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ascii="宋体" w:hAnsi="宋体" w:cs="宋体"/>
                  </w:rPr>
                </w:pPr>
                <w:r>
                  <w:rPr>
                    <w:rFonts w:hint="eastAsia"/>
                  </w:rPr>
                  <w:t>六</w:t>
                </w:r>
              </w:p>
            </w:tc>
            <w:tc>
              <w:tcPr>
                <w:tcW w:w="1418" w:type="dxa"/>
                <w:vAlign w:val="center"/>
              </w:tcPr>
              <w:p>
                <w:pPr>
                  <w:jc w:val="left"/>
                  <w:rPr>
                    <w:bCs/>
                    <w:color w:val="000000"/>
                  </w:rPr>
                </w:pPr>
                <w:r>
                  <w:rPr>
                    <w:rFonts w:hint="eastAsia"/>
                  </w:rPr>
                  <w:t>产品特性分</w:t>
                </w:r>
              </w:p>
              <w:p>
                <w:pPr>
                  <w:pStyle w:val="13"/>
                  <w:rPr>
                    <w:bCs/>
                  </w:rPr>
                </w:pPr>
                <w:r>
                  <w:rPr>
                    <w:rFonts w:hint="eastAsia"/>
                  </w:rPr>
                  <w:t>（2分）</w:t>
                </w:r>
              </w:p>
            </w:tc>
            <w:tc>
              <w:tcPr>
                <w:tcW w:w="6409" w:type="dxa"/>
                <w:vAlign w:val="center"/>
              </w:tcPr>
              <w:p>
                <w:r>
                  <w:rPr>
                    <w:rFonts w:hint="eastAsia"/>
                  </w:rPr>
                  <w:t xml:space="preserve">①投标产品被认定为节能产品的得 </w:t>
                </w:r>
                <w:r>
                  <w:t xml:space="preserve">1 </w:t>
                </w:r>
                <w:r>
                  <w:rPr>
                    <w:rFonts w:hint="eastAsia"/>
                  </w:rPr>
                  <w:t xml:space="preserve">分； </w:t>
                </w:r>
              </w:p>
              <w:p>
                <w:r>
                  <w:rPr>
                    <w:rFonts w:hint="eastAsia"/>
                  </w:rPr>
                  <w:t xml:space="preserve">②投标产品被认定为环保产品的得 </w:t>
                </w:r>
                <w:r>
                  <w:t xml:space="preserve">1 </w:t>
                </w:r>
                <w:r>
                  <w:rPr>
                    <w:rFonts w:hint="eastAsia"/>
                  </w:rPr>
                  <w:t xml:space="preserve">分。 </w:t>
                </w:r>
              </w:p>
              <w:p>
                <w:pPr>
                  <w:rPr>
                    <w:color w:val="000000"/>
                  </w:rPr>
                </w:pPr>
                <w:r>
                  <w:rPr>
                    <w:rFonts w:hint="eastAsia"/>
                  </w:rPr>
                  <w:t>须提供有效的认证证书和相应《节能产品政府采购清单》《环境标志产品政府采购清单》。《节能产品政府采购清单》中的产品有效时间，以国家节能产品认证证书有效截止日期为准，超过认证证书有效截止日期的自动失效。《环境标志产品政府采购清单》中的产品有效时间，以中国环境标志产品认证证书有效截止日期为准，超过认证证书有效截止日期的自动失效</w:t>
                </w:r>
              </w:p>
            </w:tc>
            <w:tc>
              <w:tcPr>
                <w:tcW w:w="1088" w:type="dxa"/>
                <w:vAlign w:val="center"/>
              </w:tcPr>
              <w:p>
                <w:pPr>
                  <w:pStyle w:val="13"/>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hint="eastAsia"/>
                  </w:rPr>
                </w:pPr>
                <w:r>
                  <w:rPr>
                    <w:rFonts w:hint="eastAsia"/>
                  </w:rPr>
                  <w:t>七</w:t>
                </w:r>
              </w:p>
            </w:tc>
            <w:tc>
              <w:tcPr>
                <w:tcW w:w="1418" w:type="dxa"/>
                <w:vAlign w:val="center"/>
              </w:tcPr>
              <w:p>
                <w:pPr>
                  <w:pStyle w:val="13"/>
                  <w:rPr>
                    <w:rFonts w:hint="eastAsia"/>
                  </w:rPr>
                </w:pPr>
                <w:r>
                  <w:t>业绩分(2 分)</w:t>
                </w:r>
              </w:p>
            </w:tc>
            <w:tc>
              <w:tcPr>
                <w:tcW w:w="6409" w:type="dxa"/>
                <w:vAlign w:val="center"/>
              </w:tcPr>
              <w:p>
                <w:pPr>
                  <w:rPr>
                    <w:rFonts w:hint="eastAsia"/>
                  </w:rPr>
                </w:pPr>
                <w:r>
                  <w:t>以投标产品近两年</w:t>
                </w:r>
                <w:r>
                  <w:rPr>
                    <w:rFonts w:hint="eastAsia"/>
                  </w:rPr>
                  <w:t>(以招标公告发布日往前2年内）</w:t>
                </w:r>
                <w:bookmarkStart w:id="4" w:name="_GoBack"/>
                <w:bookmarkEnd w:id="4"/>
                <w:r>
                  <w:t>的销售业绩计算,销售金额在十万以下的得 0.2分;销售金额在十万元以上五十万以下的得0.5分,在五十万元 以上两百万以下的得1分:在两百万以上三百五十万元以下的得1.5 分;在三百五十万以上的得2分,没有销售业绩的不得分。(满分2</w:t>
                </w:r>
                <w:r>
                  <w:rPr>
                    <w:rFonts w:hint="eastAsia"/>
                  </w:rPr>
                  <w:t>)</w:t>
                </w:r>
              </w:p>
            </w:tc>
            <w:tc>
              <w:tcPr>
                <w:tcW w:w="1088" w:type="dxa"/>
                <w:vAlign w:val="center"/>
              </w:tcPr>
              <w:p>
                <w:pPr>
                  <w:pStyle w:val="13"/>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pPr>
                  <w:spacing w:line="280" w:lineRule="exact"/>
                  <w:rPr>
                    <w:rFonts w:ascii="宋体" w:hAnsi="宋体" w:cs="宋体"/>
                  </w:rPr>
                </w:pPr>
                <w:r>
                  <w:rPr>
                    <w:rFonts w:hint="eastAsia" w:ascii="宋体" w:hAnsi="宋体" w:cs="宋体"/>
                  </w:rPr>
                  <w:t>七</w:t>
                </w:r>
              </w:p>
            </w:tc>
            <w:tc>
              <w:tcPr>
                <w:tcW w:w="1418" w:type="dxa"/>
                <w:vAlign w:val="center"/>
              </w:tcPr>
              <w:p>
                <w:pPr>
                  <w:spacing w:line="280" w:lineRule="exact"/>
                  <w:ind w:firstLine="420" w:firstLineChars="200"/>
                  <w:rPr>
                    <w:rFonts w:ascii="宋体" w:hAnsi="宋体" w:cs="宋体"/>
                  </w:rPr>
                </w:pPr>
                <w:r>
                  <w:rPr>
                    <w:rFonts w:hint="eastAsia" w:ascii="宋体" w:hAnsi="宋体" w:cs="宋体"/>
                  </w:rPr>
                  <w:t>总分</w:t>
                </w:r>
              </w:p>
              <w:p>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pPr>
                  <w:pStyle w:val="13"/>
                </w:pPr>
              </w:p>
            </w:tc>
          </w:tr>
        </w:tbl>
      </w:sdtContent>
    </w:sdt>
    <w:p>
      <w:pPr>
        <w:pStyle w:val="13"/>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645E194B">
      <w:pPr>
        <w:pStyle w:val="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5E19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59C0F106"/>
    <w:multiLevelType w:val="singleLevel"/>
    <w:tmpl w:val="59C0F106"/>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1" w:cryptProviderType="rsaFull" w:cryptAlgorithmClass="hash" w:cryptAlgorithmType="typeAny" w:cryptAlgorithmSid="4" w:cryptSpinCount="0" w:hash="M4eTI5wFflPYADHdIlxtwajCTTQ=" w:salt="eBeZYZukMy8mOJ1IIlIuV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66185"/>
    <w:rsid w:val="00075912"/>
    <w:rsid w:val="00080292"/>
    <w:rsid w:val="0008196D"/>
    <w:rsid w:val="00095D83"/>
    <w:rsid w:val="000A6C18"/>
    <w:rsid w:val="000B7E2D"/>
    <w:rsid w:val="000D0D5C"/>
    <w:rsid w:val="000E1AA6"/>
    <w:rsid w:val="00144350"/>
    <w:rsid w:val="0018220D"/>
    <w:rsid w:val="001A1262"/>
    <w:rsid w:val="00204183"/>
    <w:rsid w:val="00241CD6"/>
    <w:rsid w:val="002C4941"/>
    <w:rsid w:val="002C7944"/>
    <w:rsid w:val="002D7C09"/>
    <w:rsid w:val="003C3AB5"/>
    <w:rsid w:val="003E7DC1"/>
    <w:rsid w:val="00474079"/>
    <w:rsid w:val="004C7EB2"/>
    <w:rsid w:val="004D08F5"/>
    <w:rsid w:val="004D2825"/>
    <w:rsid w:val="004F5A76"/>
    <w:rsid w:val="005007DD"/>
    <w:rsid w:val="0050328F"/>
    <w:rsid w:val="005C24E9"/>
    <w:rsid w:val="005D491D"/>
    <w:rsid w:val="00654BC6"/>
    <w:rsid w:val="00684BD7"/>
    <w:rsid w:val="006A4EDF"/>
    <w:rsid w:val="006E3F4E"/>
    <w:rsid w:val="006E5543"/>
    <w:rsid w:val="00707A97"/>
    <w:rsid w:val="007733A9"/>
    <w:rsid w:val="007814EA"/>
    <w:rsid w:val="007A5910"/>
    <w:rsid w:val="007C7BCD"/>
    <w:rsid w:val="007F6F70"/>
    <w:rsid w:val="00825B15"/>
    <w:rsid w:val="008553F8"/>
    <w:rsid w:val="00883158"/>
    <w:rsid w:val="008A5DC5"/>
    <w:rsid w:val="008D3A6F"/>
    <w:rsid w:val="009530DC"/>
    <w:rsid w:val="009B2CED"/>
    <w:rsid w:val="009E1DFD"/>
    <w:rsid w:val="00A20E50"/>
    <w:rsid w:val="00A2105C"/>
    <w:rsid w:val="00A44D5C"/>
    <w:rsid w:val="00A83F43"/>
    <w:rsid w:val="00AC0EA5"/>
    <w:rsid w:val="00B8409A"/>
    <w:rsid w:val="00BA3521"/>
    <w:rsid w:val="00C17E4D"/>
    <w:rsid w:val="00C273A8"/>
    <w:rsid w:val="00C33384"/>
    <w:rsid w:val="00C762C8"/>
    <w:rsid w:val="00C97AD7"/>
    <w:rsid w:val="00CC2DEE"/>
    <w:rsid w:val="00CD27A2"/>
    <w:rsid w:val="00D112B3"/>
    <w:rsid w:val="00D2685D"/>
    <w:rsid w:val="00D41CB5"/>
    <w:rsid w:val="00D57065"/>
    <w:rsid w:val="00DB5864"/>
    <w:rsid w:val="00E14108"/>
    <w:rsid w:val="00E72BBE"/>
    <w:rsid w:val="00EB1C9B"/>
    <w:rsid w:val="00ED5546"/>
    <w:rsid w:val="00EF3B23"/>
    <w:rsid w:val="00F026EE"/>
    <w:rsid w:val="01502F4D"/>
    <w:rsid w:val="06332ABC"/>
    <w:rsid w:val="08851C3B"/>
    <w:rsid w:val="0A454172"/>
    <w:rsid w:val="0BA26918"/>
    <w:rsid w:val="0CFF1356"/>
    <w:rsid w:val="0DFD62F2"/>
    <w:rsid w:val="0E9D0547"/>
    <w:rsid w:val="0ECA221D"/>
    <w:rsid w:val="10C97A40"/>
    <w:rsid w:val="12524114"/>
    <w:rsid w:val="13E3596B"/>
    <w:rsid w:val="141C15CB"/>
    <w:rsid w:val="14876C67"/>
    <w:rsid w:val="187B6D4B"/>
    <w:rsid w:val="19CC2F96"/>
    <w:rsid w:val="19EE0FA7"/>
    <w:rsid w:val="1A430400"/>
    <w:rsid w:val="1AD6532F"/>
    <w:rsid w:val="1B1B0C5C"/>
    <w:rsid w:val="1B217D47"/>
    <w:rsid w:val="1B870431"/>
    <w:rsid w:val="1DBA3F3A"/>
    <w:rsid w:val="1DD206AD"/>
    <w:rsid w:val="1E65717F"/>
    <w:rsid w:val="1FA237E5"/>
    <w:rsid w:val="1FC0538C"/>
    <w:rsid w:val="219F229E"/>
    <w:rsid w:val="21CE7D2D"/>
    <w:rsid w:val="21DE7DF0"/>
    <w:rsid w:val="223B2252"/>
    <w:rsid w:val="231B2A37"/>
    <w:rsid w:val="235D1714"/>
    <w:rsid w:val="24B10AB9"/>
    <w:rsid w:val="26000F12"/>
    <w:rsid w:val="271C36E1"/>
    <w:rsid w:val="276F6289"/>
    <w:rsid w:val="288D2AF5"/>
    <w:rsid w:val="2A323CBA"/>
    <w:rsid w:val="2B7614BF"/>
    <w:rsid w:val="2CCD5420"/>
    <w:rsid w:val="2F05307C"/>
    <w:rsid w:val="30F560B4"/>
    <w:rsid w:val="33334022"/>
    <w:rsid w:val="333B59C9"/>
    <w:rsid w:val="3609269D"/>
    <w:rsid w:val="36CD3B93"/>
    <w:rsid w:val="38BD19C6"/>
    <w:rsid w:val="38CF7F93"/>
    <w:rsid w:val="39AF5DAD"/>
    <w:rsid w:val="3A2F3B71"/>
    <w:rsid w:val="3A8D5699"/>
    <w:rsid w:val="3B2F305C"/>
    <w:rsid w:val="3D3757E6"/>
    <w:rsid w:val="44230B0F"/>
    <w:rsid w:val="44A06341"/>
    <w:rsid w:val="45CC0CD0"/>
    <w:rsid w:val="48CD47AE"/>
    <w:rsid w:val="49AE6898"/>
    <w:rsid w:val="4B09169D"/>
    <w:rsid w:val="53E14ED2"/>
    <w:rsid w:val="53F76DC9"/>
    <w:rsid w:val="579F4F93"/>
    <w:rsid w:val="57F573A8"/>
    <w:rsid w:val="587F2434"/>
    <w:rsid w:val="59074517"/>
    <w:rsid w:val="5A7A5DB1"/>
    <w:rsid w:val="5AA22498"/>
    <w:rsid w:val="5ACE03EA"/>
    <w:rsid w:val="5EB56AC7"/>
    <w:rsid w:val="600A23FF"/>
    <w:rsid w:val="609A2E75"/>
    <w:rsid w:val="60AA7120"/>
    <w:rsid w:val="63225762"/>
    <w:rsid w:val="6A18387F"/>
    <w:rsid w:val="6ACD10FD"/>
    <w:rsid w:val="6BF44486"/>
    <w:rsid w:val="6C0C3D0E"/>
    <w:rsid w:val="6EF945CA"/>
    <w:rsid w:val="6F84702B"/>
    <w:rsid w:val="71306F00"/>
    <w:rsid w:val="71626E45"/>
    <w:rsid w:val="72731A23"/>
    <w:rsid w:val="72BD07A5"/>
    <w:rsid w:val="73CB5C73"/>
    <w:rsid w:val="7479265B"/>
    <w:rsid w:val="759C4195"/>
    <w:rsid w:val="75C87554"/>
    <w:rsid w:val="76710414"/>
    <w:rsid w:val="76C83716"/>
    <w:rsid w:val="797230A8"/>
    <w:rsid w:val="7B4E6257"/>
    <w:rsid w:val="7D030D0A"/>
    <w:rsid w:val="7D0E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link w:val="15"/>
    <w:qFormat/>
    <w:uiPriority w:val="99"/>
    <w:pPr>
      <w:jc w:val="left"/>
    </w:pPr>
  </w:style>
  <w:style w:type="paragraph" w:styleId="4">
    <w:name w:val="Plain Text"/>
    <w:basedOn w:val="1"/>
    <w:link w:val="17"/>
    <w:qFormat/>
    <w:uiPriority w:val="99"/>
    <w:rPr>
      <w:rFonts w:ascii="宋体" w:hAnsi="Courier New"/>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Calibri" w:hAnsi="Calibri" w:eastAsia="宋体" w:cs="Times New Roman"/>
    </w:r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批注文字 字符"/>
    <w:basedOn w:val="10"/>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 w:type="character" w:customStyle="1" w:styleId="17">
    <w:name w:val="纯文本 字符"/>
    <w:basedOn w:val="10"/>
    <w:link w:val="4"/>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0"/>
    <w:link w:val="6"/>
    <w:qFormat/>
    <w:uiPriority w:val="99"/>
    <w:rPr>
      <w:rFonts w:ascii="Times New Roman" w:hAnsi="Times New Roman" w:eastAsia="宋体" w:cs="Times New Roman"/>
      <w:sz w:val="18"/>
      <w:szCs w:val="18"/>
    </w:rPr>
  </w:style>
  <w:style w:type="character" w:customStyle="1" w:styleId="21">
    <w:name w:val="页脚 字符"/>
    <w:basedOn w:val="10"/>
    <w:link w:val="5"/>
    <w:qFormat/>
    <w:uiPriority w:val="99"/>
    <w:rPr>
      <w:rFonts w:ascii="Times New Roman" w:hAnsi="Times New Roman" w:eastAsia="宋体" w:cs="Times New Roman"/>
      <w:sz w:val="18"/>
      <w:szCs w:val="18"/>
    </w:rPr>
  </w:style>
  <w:style w:type="character" w:styleId="22">
    <w:name w:val="Placeholder Text"/>
    <w:basedOn w:val="10"/>
    <w:semiHidden/>
    <w:qFormat/>
    <w:uiPriority w:val="99"/>
    <w:rPr>
      <w:color w:val="808080"/>
    </w:rPr>
  </w:style>
  <w:style w:type="paragraph" w:styleId="2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2A1777"/>
    <w:rsid w:val="0048475D"/>
    <w:rsid w:val="007311C2"/>
    <w:rsid w:val="0080285A"/>
    <w:rsid w:val="00993CBF"/>
    <w:rsid w:val="00AF6897"/>
    <w:rsid w:val="00F20EC3"/>
    <w:rsid w:val="00F224DE"/>
    <w:rsid w:val="00FF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6</Pages>
  <Words>608</Words>
  <Characters>3471</Characters>
  <Lines>28</Lines>
  <Paragraphs>8</Paragraphs>
  <TotalTime>0</TotalTime>
  <ScaleCrop>false</ScaleCrop>
  <LinksUpToDate>false</LinksUpToDate>
  <CharactersWithSpaces>4071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2021-11-05T09:28:12Z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BC6B623858AD4EF6B8932C9852D63447</vt:lpwstr>
  </property>
</Properties>
</file>