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1"/>
          <w:color w:val="auto"/>
          <w:kern w:val="2"/>
        </w:rPr>
        <w:commentReference w:id="0"/>
      </w:r>
      <w:r>
        <w:rPr>
          <w:b/>
          <w:bCs/>
        </w:rPr>
        <w:t> </w:t>
      </w:r>
    </w:p>
    <w:tbl>
      <w:tblPr>
        <w:tblStyle w:val="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pPr>
                <w:r>
                  <w:rPr>
                    <w:rFonts w:hint="eastAsia"/>
                  </w:rPr>
                  <w:t>平衡功能训练检测系统</w:t>
                </w:r>
              </w:p>
            </w:tc>
            <w:tc>
              <w:tcPr>
                <w:tcW w:w="846" w:type="dxa"/>
              </w:tcPr>
              <w:p>
                <w:pPr>
                  <w:pStyle w:val="2"/>
                  <w:jc w:val="both"/>
                </w:pPr>
                <w:r>
                  <w:rPr>
                    <w:rFonts w:hint="eastAsia"/>
                  </w:rPr>
                  <w:t>1台</w:t>
                </w:r>
              </w:p>
            </w:tc>
            <w:tc>
              <w:tcPr>
                <w:tcW w:w="4394" w:type="dxa"/>
              </w:tcPr>
              <w:p>
                <w:pPr>
                  <w:pStyle w:val="2"/>
                  <w:jc w:val="both"/>
                </w:pPr>
                <w:r>
                  <w:rPr>
                    <w:rFonts w:hint="eastAsia"/>
                  </w:rPr>
                  <w:t>用于评估及训练人体平衡能力</w:t>
                </w:r>
              </w:p>
            </w:tc>
            <w:tc>
              <w:tcPr>
                <w:tcW w:w="1701" w:type="dxa"/>
              </w:tcPr>
              <w:p>
                <w:pPr>
                  <w:pStyle w:val="2"/>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rPr>
        <w:id w:val="147471302"/>
        <w15:repeatingSection/>
      </w:sdtPr>
      <w:sdtEndPr>
        <w:rPr>
          <w:rFonts w:hint="eastAsia"/>
          <w:color w:val="000000"/>
          <w:kern w:val="0"/>
          <w:sz w:val="24"/>
          <w:szCs w:val="24"/>
        </w:rPr>
      </w:sdtEndPr>
      <w:sdtContent>
        <w:sdt>
          <w:sdtPr>
            <w:rPr>
              <w:rFonts w:hint="eastAsia"/>
            </w:rPr>
            <w:id w:val="147471276"/>
            <w:placeholder>
              <w:docPart w:val="{2fe68bf9-e570-429b-a8b5-0a9aed96709c}"/>
            </w:placeholder>
            <w15:repeatingSectionItem/>
          </w:sdtPr>
          <w:sdtEndPr>
            <w:rPr>
              <w:rFonts w:hint="eastAsia"/>
              <w:color w:val="000000"/>
              <w:kern w:val="0"/>
              <w:sz w:val="24"/>
              <w:szCs w:val="24"/>
            </w:rPr>
          </w:sdtEndPr>
          <w:sdtContent>
            <w:p>
              <w:pPr>
                <w:rPr>
                  <w:rFonts w:hint="eastAsia"/>
                </w:rPr>
              </w:pPr>
              <w:r>
                <w:rPr>
                  <w:rFonts w:hint="eastAsia"/>
                </w:rPr>
                <w:t>1.产品组成：站位平衡、坐位平衡、手握位平衡三部位评估与训练功能；</w:t>
              </w:r>
            </w:p>
            <w:p>
              <w:pPr>
                <w:rPr>
                  <w:rFonts w:hint="eastAsia"/>
                </w:rPr>
              </w:pPr>
              <w:r>
                <w:rPr>
                  <w:rFonts w:hint="eastAsia"/>
                </w:rPr>
                <w:t>★2.电脑主机需配Ietel i3或以上系统计算机处理器,屏液晶显示器≥42寸，配支架；配备激光打印机；平衡功能检测与训练系统分析软件。</w:t>
              </w:r>
            </w:p>
            <w:p>
              <w:pPr>
                <w:rPr>
                  <w:rFonts w:hint="eastAsia"/>
                </w:rPr>
              </w:pPr>
              <w:r>
                <w:rPr>
                  <w:rFonts w:hint="eastAsia"/>
                </w:rPr>
                <w:t>3.功能特点：站位8传感器、坐位4传感器、手握位4传感器精准数据测量；可进行站位、坐位、手握位检测评估与训练。</w:t>
              </w:r>
            </w:p>
            <w:p>
              <w:pPr>
                <w:rPr>
                  <w:rFonts w:hint="eastAsia"/>
                </w:rPr>
              </w:pPr>
              <w:r>
                <w:rPr>
                  <w:rFonts w:hint="eastAsia"/>
                </w:rPr>
                <w:t>4.系统至少具备有以下六大模块组成：使用指导模块、病历管理模块、平衡检测模块、游戏训练模块、系统设置模和检测报告模块。</w:t>
              </w:r>
            </w:p>
            <w:p>
              <w:pPr>
                <w:rPr>
                  <w:rFonts w:hint="eastAsia"/>
                </w:rPr>
              </w:pPr>
              <w:r>
                <w:rPr>
                  <w:rFonts w:hint="eastAsia"/>
                </w:rPr>
                <w:t>★5.系统软件评估功能涵盖双脚站立、左脚站立、右脚站立、坐位、左手握位、右手握位六种姿势评估，每种姿势在评估结束后自动保存评估报告，且评估报告可打印。</w:t>
              </w:r>
            </w:p>
            <w:p>
              <w:pPr>
                <w:rPr>
                  <w:rFonts w:hint="eastAsia"/>
                </w:rPr>
              </w:pPr>
              <w:r>
                <w:rPr>
                  <w:rFonts w:hint="eastAsia"/>
                </w:rPr>
                <w:t>6.评估报告包括：病人基础信息、重心轨迹图、检测部位的前后、左右、左前后、左内外、右前后、右内外等平衡状态技术指标。</w:t>
              </w:r>
            </w:p>
            <w:p>
              <w:pPr>
                <w:rPr>
                  <w:rFonts w:hint="eastAsia"/>
                </w:rPr>
              </w:pPr>
              <w:r>
                <w:rPr>
                  <w:rFonts w:hint="eastAsia"/>
                </w:rPr>
                <w:t>7.系统软件平衡训练包括：系统可根据平衡评估结果的不同程度直接导入个性化平衡康复训练，通过互动游戏模式的实时变化，不断调整患者的重心平衡来逐步进行身体平衡康复练习，既增加康复训练的趣味性又有效提高患者康复的积极性，每种游戏训练都能通过得分值来增加患者的治疗信心。</w:t>
              </w:r>
            </w:p>
            <w:p>
              <w:pPr>
                <w:rPr>
                  <w:rFonts w:hint="eastAsia"/>
                </w:rPr>
              </w:pPr>
              <w:r>
                <w:rPr>
                  <w:rFonts w:hint="eastAsia"/>
                </w:rPr>
                <w:t>★7</w:t>
              </w:r>
              <w:r>
                <w:t>.1</w:t>
              </w:r>
              <w:r>
                <w:rPr>
                  <w:rFonts w:hint="eastAsia"/>
                </w:rPr>
                <w:t>三种平衡训练姿势：坐位训练、站位训练、手握位训练。</w:t>
              </w:r>
            </w:p>
            <w:p>
              <w:pPr>
                <w:rPr>
                  <w:rFonts w:hint="eastAsia"/>
                </w:rPr>
              </w:pPr>
              <w:r>
                <w:t>7.2</w:t>
              </w:r>
              <w:r>
                <w:rPr>
                  <w:rFonts w:hint="eastAsia"/>
                </w:rPr>
                <w:t>四种游戏训练模式：急速狂飙、太空大战、疯狂小球、水果大挪移。</w:t>
              </w:r>
            </w:p>
            <w:p>
              <w:pPr>
                <w:rPr>
                  <w:rFonts w:hint="eastAsia"/>
                </w:rPr>
              </w:pPr>
              <w:r>
                <w:t>7.3</w:t>
              </w:r>
              <w:r>
                <w:rPr>
                  <w:rFonts w:hint="eastAsia"/>
                </w:rPr>
                <w:t>三种平衡训练档次：简单；中等；困难。</w:t>
              </w:r>
            </w:p>
            <w:p>
              <w:pPr>
                <w:rPr>
                  <w:rFonts w:hint="eastAsia"/>
                </w:rPr>
              </w:pPr>
              <w:r>
                <w:t>7.4</w:t>
              </w:r>
              <w:r>
                <w:rPr>
                  <w:rFonts w:hint="eastAsia"/>
                </w:rPr>
                <w:t>多种平衡训练方向：前、后平衡训练，左、右平衡训练等</w:t>
              </w:r>
            </w:p>
            <w:p>
              <w:pPr>
                <w:rPr>
                  <w:rFonts w:hint="eastAsia"/>
                </w:rPr>
              </w:pPr>
              <w:r>
                <w:rPr>
                  <w:rFonts w:hint="eastAsia"/>
                </w:rPr>
                <w:t>8.病例管理模块：患者信息（患者病历号、姓名、性别、年龄、电话、病史等）、检测日期、医院名称、检查人姓名等。</w:t>
              </w:r>
            </w:p>
            <w:p>
              <w:pPr>
                <w:rPr>
                  <w:rFonts w:hint="eastAsia"/>
                </w:rPr>
              </w:pPr>
              <w:r>
                <w:rPr>
                  <w:rFonts w:hint="eastAsia"/>
                </w:rPr>
                <w:t>9.平衡功能评估与训练系统的患者信息、评估数据、训练数据均可拷贝储存。</w:t>
              </w:r>
            </w:p>
            <w:p>
              <w:pPr>
                <w:rPr>
                  <w:rFonts w:hint="eastAsia"/>
                </w:rPr>
              </w:pPr>
              <w:r>
                <w:rPr>
                  <w:rFonts w:hint="eastAsia"/>
                </w:rPr>
                <w:t>10.</w:t>
              </w:r>
              <w:r>
                <w:t>具有电子信息产品监督检验院出具的产品检验报告。</w:t>
              </w:r>
            </w:p>
            <w:p>
              <w:pPr>
                <w:rPr>
                  <w:rFonts w:hint="eastAsia"/>
                </w:rPr>
              </w:pPr>
              <w:r>
                <w:rPr>
                  <w:rFonts w:hint="eastAsia"/>
                </w:rPr>
                <w:t>11.</w:t>
              </w:r>
              <w:r>
                <w:t>具有中华人民共和国版权局出具的计算机软件著作权证书。</w:t>
              </w:r>
            </w:p>
            <w:p>
              <w:pPr>
                <w:pStyle w:val="2"/>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2"/>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2"/>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2"/>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2"/>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2"/>
            <w:ind w:left="-708" w:leftChars="-337"/>
            <w:rPr>
              <w:color w:val="FF0000"/>
            </w:rPr>
          </w:pPr>
          <w:r>
            <w:rPr>
              <w:rFonts w:hint="eastAsia"/>
            </w:rPr>
            <w:t>4、</w:t>
          </w:r>
          <w:r>
            <w:rPr>
              <w:rFonts w:hint="eastAsia"/>
              <w:color w:val="FF0000"/>
            </w:rPr>
            <w:t>质保期：设备安装完毕通过验收投入使用之日起不少于1年。</w:t>
          </w:r>
        </w:p>
        <w:p>
          <w:pPr>
            <w:pStyle w:val="2"/>
            <w:ind w:left="-708" w:leftChars="-337"/>
          </w:pPr>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2"/>
          </w:pPr>
          <w:r>
            <w:rPr>
              <w:rStyle w:val="2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4.1考察投标人的信誉业绩、相关资质、认证证书等情况4.2</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eastAsia" w:ascii="宋体" w:hAnsi="宋体" w:cs="宋体"/>
          <w:color w:val="000000"/>
          <w:kern w:val="0"/>
          <w:sz w:val="24"/>
          <w:szCs w:val="24"/>
        </w:rPr>
      </w:sdtEndPr>
      <w:sdtContent>
        <w:tbl>
          <w:tblPr>
            <w:tblStyle w:val="8"/>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（30分）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bCs/>
                  </w:rPr>
                  <w:t>（2）</w:t>
                </w:r>
                <w:r>
                  <w:rPr>
                    <w:rStyle w:val="17"/>
                    <w:rFonts w:hint="default" w:ascii="新宋体" w:hAnsi="新宋体" w:eastAsia="新宋体" w:cs="新宋体"/>
                  </w:rPr>
                  <w:t>价格分应当采用低价优先法计算，即满足磋商</w:t>
                </w:r>
                <w:bookmarkStart w:id="0" w:name="_Toc3729"/>
                <w:bookmarkStart w:id="1" w:name="_Toc24090"/>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spacing w:line="400" w:lineRule="exact"/>
                  <w:ind w:left="241" w:hanging="241" w:hangingChars="100"/>
                  <w:outlineLvl w:val="0"/>
                  <w:rPr>
                    <w:rFonts w:hAnsi="宋体" w:cs="宋体"/>
                  </w:rPr>
                </w:pPr>
                <w:bookmarkStart w:id="2" w:name="_Toc18720"/>
                <w:bookmarkStart w:id="3" w:name="_Toc19127"/>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技术质量分（</w:t>
                </w:r>
                <w:r>
                  <w:rPr>
                    <w:rFonts w:hint="eastAsia"/>
                  </w:rPr>
                  <w:t>45</w:t>
                </w:r>
                <w:r>
                  <w:rPr>
                    <w:rFonts w:hint="eastAsia" w:ascii="宋体" w:hAnsi="宋体" w:cs="宋体"/>
                  </w:rPr>
                  <w:t>分）</w:t>
                </w:r>
              </w:p>
            </w:tc>
            <w:tc>
              <w:tcPr>
                <w:tcW w:w="6409" w:type="dxa"/>
                <w:vAlign w:val="center"/>
              </w:tcPr>
              <w:p>
                <w:pPr>
                  <w:spacing w:line="280" w:lineRule="exact"/>
                  <w:rPr>
                    <w:rFonts w:hint="eastAsia"/>
                  </w:rPr>
                </w:pPr>
                <w:r>
                  <w:rPr>
                    <w:rFonts w:hint="eastAsia"/>
                  </w:rPr>
                  <w:t>1.基本分：30分</w:t>
                </w:r>
              </w:p>
              <w:p>
                <w:pPr>
                  <w:spacing w:line="280" w:lineRule="exact"/>
                </w:pPr>
                <w:r>
                  <w:t>打★号重要参数不得有负偏离，如有，则废标；投标产品参数完全符合招标文件要求的得30分，</w:t>
                </w:r>
                <w:bookmarkStart w:id="4" w:name="_GoBack"/>
                <w:bookmarkEnd w:id="4"/>
                <w:r>
                  <w:t>一般参数有负偏离或漏项的每项扣3分，最多扣完本项分值。</w:t>
                </w:r>
              </w:p>
              <w:p>
                <w:pPr>
                  <w:pStyle w:val="2"/>
                  <w:rPr>
                    <w:sz w:val="21"/>
                    <w:szCs w:val="21"/>
                  </w:rPr>
                </w:pPr>
                <w:r>
                  <w:rPr>
                    <w:rFonts w:hint="eastAsia"/>
                  </w:rPr>
                  <w:t>2.</w:t>
                </w:r>
                <w:r>
                  <w:t>货物性能分： 15分</w:t>
                </w:r>
              </w:p>
              <w:p>
                <w:pPr>
                  <w:pStyle w:val="2"/>
                  <w:rPr>
                    <w:sz w:val="21"/>
                    <w:szCs w:val="21"/>
                  </w:rPr>
                </w:pPr>
                <w:r>
                  <w:t>投标产品参数符合招标文件要求，无正偏离项，也无负偏离项的，得5分；</w:t>
                </w:r>
              </w:p>
              <w:p>
                <w:pPr>
                  <w:pStyle w:val="2"/>
                  <w:rPr>
                    <w:sz w:val="21"/>
                    <w:szCs w:val="21"/>
                  </w:rPr>
                </w:pPr>
                <w:r>
                  <w:t>投标产品参数符合招标文件要求，无负偏离项，有1-3项参数为正偏离项的得10分</w:t>
                </w:r>
              </w:p>
              <w:p>
                <w:pPr>
                  <w:pStyle w:val="2"/>
                  <w:rPr>
                    <w:sz w:val="21"/>
                    <w:szCs w:val="21"/>
                  </w:rPr>
                </w:pPr>
                <w:r>
                  <w:t>投标产品参数符合招标文件要求，无负偏离项，有4项或以上项参数为正偏离项的得15分；</w:t>
                </w:r>
              </w:p>
              <w:p>
                <w:pPr>
                  <w:rPr>
                    <w:rFonts w:hint="eastAsia"/>
                  </w:rPr>
                </w:pPr>
                <w:r>
                  <w:t>所有参数有优于招标文件参数要求的，投标人须要</w:t>
                </w:r>
                <w:r>
                  <w:rPr>
                    <w:rFonts w:hint="eastAsia"/>
                  </w:rPr>
                  <w:t>在</w:t>
                </w:r>
                <w:r>
                  <w:t>投标文件中提供投标产品的彩页或第三方检测机构出具的检测报告复印件或生产厂家出具的盖章证明文件复印件（注：国产产品必须由生产厂家出具，进口产品可由生产厂家或国内总代理商出具）等证明材料作为佐证，否则评标委员会有权不予认可。</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rPr>
                  <w:t>1</w:t>
                </w:r>
                <w:r>
                  <w:t>5</w:t>
                </w:r>
                <w:r>
                  <w:rPr>
                    <w:rFonts w:hint="eastAsia" w:hAnsi="宋体"/>
                    <w:color w:val="000000"/>
                  </w:rPr>
                  <w:t>分</w:t>
                </w:r>
                <w:r>
                  <w:rPr>
                    <w:rFonts w:hint="eastAsia"/>
                    <w:bCs/>
                    <w:color w:val="000000"/>
                  </w:rPr>
                  <w:t>）</w:t>
                </w:r>
              </w:p>
            </w:tc>
            <w:tc>
              <w:tcPr>
                <w:tcW w:w="6409" w:type="dxa"/>
                <w:vAlign w:val="center"/>
              </w:tcPr>
              <w:p>
                <w:pPr>
                  <w:adjustRightInd w:val="0"/>
                  <w:spacing w:line="360" w:lineRule="exact"/>
                  <w:textAlignment w:val="baseline"/>
                  <w:rPr>
                    <w:rFonts w:ascii="宋体" w:hAnsi="宋体" w:cs="宋体"/>
                  </w:rPr>
                </w:pPr>
                <w:r>
                  <w:rPr>
                    <w:rFonts w:hint="eastAsia" w:ascii="宋体" w:hAnsi="宋体" w:cs="宋体"/>
                  </w:rPr>
                  <w:t>1.售后服务方案分。（满分</w:t>
                </w:r>
                <w:r>
                  <w:t>12</w:t>
                </w:r>
                <w:r>
                  <w:rPr>
                    <w:rFonts w:hint="eastAsia" w:ascii="宋体" w:hAnsi="宋体" w:cs="宋体"/>
                  </w:rPr>
                  <w:t>分）</w:t>
                </w:r>
              </w:p>
              <w:p>
                <w:pPr>
                  <w:adjustRightInd w:val="0"/>
                  <w:spacing w:line="360" w:lineRule="exact"/>
                  <w:textAlignment w:val="baseline"/>
                  <w:rPr>
                    <w:rFonts w:ascii="宋体" w:hAnsi="宋体" w:cs="宋体"/>
                  </w:rPr>
                </w:pPr>
                <w:r>
                  <w:rPr>
                    <w:rFonts w:hint="eastAsia" w:ascii="宋体" w:hAnsi="宋体" w:cs="宋体"/>
                  </w:rPr>
                  <w:t>一档（</w:t>
                </w:r>
                <w:r>
                  <w:t>0</w:t>
                </w:r>
                <w:r>
                  <w:rPr>
                    <w:rFonts w:hint="eastAsia" w:ascii="宋体" w:hAnsi="宋体" w:cs="宋体"/>
                  </w:rPr>
                  <w:t>分）：不提供售后服务方案的。</w:t>
                </w:r>
              </w:p>
              <w:p>
                <w:pPr>
                  <w:adjustRightInd w:val="0"/>
                  <w:spacing w:line="360" w:lineRule="exact"/>
                  <w:textAlignment w:val="baseline"/>
                  <w:rPr>
                    <w:rFonts w:ascii="宋体" w:hAnsi="宋体" w:cs="宋体"/>
                  </w:rPr>
                </w:pPr>
                <w:r>
                  <w:rPr>
                    <w:rFonts w:hint="eastAsia" w:ascii="宋体" w:hAnsi="宋体" w:cs="宋体"/>
                  </w:rPr>
                  <w:t>二档（</w:t>
                </w:r>
                <w:r>
                  <w:t>4</w:t>
                </w:r>
                <w:r>
                  <w:rPr>
                    <w:rFonts w:hint="eastAsia" w:ascii="宋体" w:hAnsi="宋体" w:cs="宋体"/>
                  </w:rPr>
                  <w:t>分）：能基本满足招标文件要求，未提出详细的售后服务承诺。</w:t>
                </w:r>
              </w:p>
              <w:p>
                <w:pPr>
                  <w:adjustRightInd w:val="0"/>
                  <w:spacing w:line="360" w:lineRule="exact"/>
                  <w:textAlignment w:val="baseline"/>
                  <w:rPr>
                    <w:rFonts w:ascii="宋体" w:hAnsi="宋体" w:cs="宋体"/>
                  </w:rPr>
                </w:pPr>
                <w:r>
                  <w:rPr>
                    <w:rFonts w:hint="eastAsia" w:ascii="宋体" w:hAnsi="宋体" w:cs="宋体"/>
                  </w:rPr>
                  <w:t>三档（</w:t>
                </w:r>
                <w:r>
                  <w:t>8</w:t>
                </w:r>
                <w:r>
                  <w:rPr>
                    <w:rFonts w:hint="eastAsia" w:ascii="宋体" w:hAnsi="宋体" w:cs="宋体"/>
                  </w:rPr>
                  <w:t>分）：能基本满足招标文件要求，有提出详细的售后服务承诺。</w:t>
                </w:r>
              </w:p>
              <w:p>
                <w:pPr>
                  <w:rPr>
                    <w:rFonts w:ascii="宋体" w:hAnsi="宋体" w:cs="宋体"/>
                  </w:rPr>
                </w:pPr>
                <w:r>
                  <w:rPr>
                    <w:rFonts w:hint="eastAsia" w:ascii="宋体" w:hAnsi="宋体" w:cs="宋体"/>
                  </w:rPr>
                  <w:t>四档（</w:t>
                </w:r>
                <w:r>
                  <w:rPr>
                    <w:rFonts w:hint="eastAsia"/>
                  </w:rPr>
                  <w:t>1</w:t>
                </w:r>
                <w:r>
                  <w:t>2</w:t>
                </w:r>
                <w:r>
                  <w:rPr>
                    <w:rFonts w:hint="eastAsia" w:ascii="宋体" w:hAnsi="宋体" w:cs="宋体"/>
                  </w:rPr>
                  <w:t>分）：售后服务方案较好，有该项目详细的售后服务方案及培训计划，</w:t>
                </w:r>
                <w:r>
                  <w:rPr>
                    <w:rFonts w:hint="eastAsia"/>
                  </w:rPr>
                  <w:t>有提供设立在广西的生产厂家售后服务机构或厂家授权代理售后服务点（提供营业执照或投标单位或生产厂家授权售后服务点的证明、售后服务机构负责人、联系方式、机构地址及联系人、联系方式、生产厂家售后服务机构或厂家授权代理售后服务点人员（有且人员达到3人或以上）。</w:t>
                </w:r>
              </w:p>
              <w:p>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pPr>
                  <w:adjustRightInd w:val="0"/>
                  <w:spacing w:line="360" w:lineRule="exact"/>
                  <w:textAlignment w:val="baseline"/>
                  <w:rPr>
                    <w:rFonts w:ascii="宋体" w:hAnsi="宋体" w:cs="宋体"/>
                  </w:rPr>
                </w:pPr>
                <w:r>
                  <w:rPr>
                    <w:rFonts w:hint="eastAsia" w:ascii="宋体" w:hAnsi="宋体" w:cs="宋体"/>
                  </w:rPr>
                  <w:t>2.更长免费保修期得分。（满分</w:t>
                </w:r>
                <w:r>
                  <w:t>3</w:t>
                </w:r>
                <w:r>
                  <w:rPr>
                    <w:rFonts w:hint="eastAsia" w:ascii="宋体" w:hAnsi="宋体" w:cs="宋体"/>
                  </w:rPr>
                  <w:t>分）</w:t>
                </w:r>
              </w:p>
              <w:p>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承诺免费保修期长于招标文件要求的，每延长1年加</w:t>
                </w:r>
                <w:r>
                  <w:t>1</w:t>
                </w:r>
                <w:r>
                  <w:rPr>
                    <w:rFonts w:hint="eastAsia" w:ascii="宋体" w:hAnsi="宋体" w:cs="宋体"/>
                  </w:rPr>
                  <w:t>分，满分</w:t>
                </w:r>
                <w:r>
                  <w:t>3</w:t>
                </w:r>
                <w:r>
                  <w:rPr>
                    <w:rFonts w:hint="eastAsia" w:ascii="宋体" w:hAnsi="宋体" w:cs="宋体"/>
                  </w:rPr>
                  <w:t>分。（以出具的承诺书原件为准，否则不得分）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四</w:t>
                </w:r>
              </w:p>
            </w:tc>
            <w:tc>
              <w:tcPr>
                <w:tcW w:w="1418" w:type="dxa"/>
                <w:vAlign w:val="center"/>
              </w:tcPr>
              <w:p>
                <w:pPr>
                  <w:jc w:val="left"/>
                  <w:rPr>
                    <w:bCs/>
                    <w:color w:val="000000"/>
                  </w:rPr>
                </w:pPr>
                <w:r>
                  <w:rPr>
                    <w:rFonts w:hint="eastAsia"/>
                  </w:rPr>
                  <w:t>业绩</w:t>
                </w:r>
                <w:r>
                  <w:rPr>
                    <w:rFonts w:hint="eastAsia"/>
                    <w:bCs/>
                    <w:color w:val="000000"/>
                  </w:rPr>
                  <w:t>分（</w:t>
                </w:r>
                <w:r>
                  <w:rPr>
                    <w:rFonts w:hint="eastAsia"/>
                  </w:rPr>
                  <w:t>6</w:t>
                </w:r>
                <w:r>
                  <w:rPr>
                    <w:rFonts w:hint="eastAsia"/>
                    <w:bCs/>
                    <w:color w:val="000000"/>
                  </w:rPr>
                  <w:t>分）</w:t>
                </w:r>
              </w:p>
            </w:tc>
            <w:tc>
              <w:tcPr>
                <w:tcW w:w="6409" w:type="dxa"/>
                <w:vAlign w:val="center"/>
              </w:tcPr>
              <w:p>
                <w:pPr>
                  <w:adjustRightInd w:val="0"/>
                  <w:spacing w:line="360" w:lineRule="exact"/>
                  <w:textAlignment w:val="baseline"/>
                  <w:rPr>
                    <w:color w:val="000000"/>
                  </w:rPr>
                </w:pPr>
                <w:r>
                  <w:rPr>
                    <w:rFonts w:hint="eastAsia"/>
                  </w:rPr>
                  <w:t>1.竞标人或投标产品3年内完成销售过类似产品的政府采购业绩的一项加1分（满分4分，评标时提供采购合同或中标通知书或中标公告复印件，否则不得分）</w:t>
                </w:r>
              </w:p>
              <w:p>
                <w:pPr>
                  <w:adjustRightInd w:val="0"/>
                  <w:spacing w:line="360" w:lineRule="exact"/>
                  <w:textAlignment w:val="baseline"/>
                  <w:rPr>
                    <w:color w:val="000000"/>
                  </w:rPr>
                </w:pPr>
                <w:r>
                  <w:rPr>
                    <w:rFonts w:hint="eastAsia"/>
                  </w:rPr>
                  <w:t>2. 投标人或投标产品的生产厂家在近3年来获得与企业生产经营相关的荣誉的，每项0.5分，满分2分（须提供证书复印件）</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ascii="宋体" w:hAnsi="宋体" w:cs="宋体"/>
                  </w:rPr>
                  <w:t>五</w:t>
                </w:r>
              </w:p>
            </w:tc>
            <w:tc>
              <w:tcPr>
                <w:tcW w:w="1418" w:type="dxa"/>
                <w:vAlign w:val="center"/>
              </w:tcPr>
              <w:p>
                <w:pPr>
                  <w:jc w:val="left"/>
                  <w:rPr>
                    <w:bCs/>
                    <w:color w:val="000000"/>
                  </w:rPr>
                </w:pPr>
                <w:r>
                  <w:rPr>
                    <w:rFonts w:hint="eastAsia"/>
                  </w:rPr>
                  <w:t>产品特性分</w:t>
                </w:r>
              </w:p>
              <w:p>
                <w:pPr>
                  <w:pStyle w:val="2"/>
                </w:pPr>
                <w:r>
                  <w:rPr>
                    <w:rFonts w:hint="eastAsia"/>
                  </w:rPr>
                  <w:t>（2分）</w:t>
                </w:r>
              </w:p>
            </w:tc>
            <w:tc>
              <w:tcPr>
                <w:tcW w:w="6409" w:type="dxa"/>
                <w:vAlign w:val="center"/>
              </w:tcPr>
              <w:p>
                <w:r>
                  <w:rPr>
                    <w:rFonts w:hint="eastAsia"/>
                  </w:rPr>
                  <w:t xml:space="preserve">①投标产品被认定为节能产品的得 </w:t>
                </w:r>
                <w:r>
                  <w:t xml:space="preserve">1 </w:t>
                </w:r>
                <w:r>
                  <w:rPr>
                    <w:rFonts w:hint="eastAsia"/>
                  </w:rPr>
                  <w:t xml:space="preserve">分； </w:t>
                </w:r>
              </w:p>
              <w:p>
                <w:r>
                  <w:rPr>
                    <w:rFonts w:hint="eastAsia"/>
                  </w:rPr>
                  <w:t xml:space="preserve">②投标产品被认定为环保产品的得 </w:t>
                </w:r>
                <w:r>
                  <w:t xml:space="preserve">1 </w:t>
                </w:r>
                <w:r>
                  <w:rPr>
                    <w:rFonts w:hint="eastAsia"/>
                  </w:rPr>
                  <w:t xml:space="preserve">分。 </w:t>
                </w:r>
              </w:p>
              <w:p>
                <w:r>
                  <w:rPr>
                    <w:rFonts w:hint="eastAsia"/>
                  </w:rPr>
                  <w:t>须提供有效的认证证书和相应《节能产品政府采购清单》、《环境标志产品政府采购清单》。《节能产品政府采购清单》中的产品有效时间，以国家节能产品认证证书有效截止日期为准，超过认证证书有效期的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hint="eastAsia" w:ascii="宋体" w:hAnsi="宋体" w:cs="宋体"/>
                  </w:rPr>
                </w:pPr>
                <w:r>
                  <w:rPr>
                    <w:rFonts w:hint="eastAsia"/>
                  </w:rPr>
                  <w:t>六</w:t>
                </w:r>
              </w:p>
            </w:tc>
            <w:tc>
              <w:tcPr>
                <w:tcW w:w="1418" w:type="dxa"/>
                <w:vAlign w:val="center"/>
              </w:tcPr>
              <w:p>
                <w:r>
                  <w:rPr>
                    <w:rFonts w:hint="eastAsia"/>
                  </w:rPr>
                  <w:t>信誉(2分）</w:t>
                </w:r>
              </w:p>
              <w:p>
                <w:pPr>
                  <w:rPr>
                    <w:bCs/>
                    <w:color w:val="000000"/>
                  </w:rPr>
                </w:pPr>
              </w:p>
            </w:tc>
            <w:tc>
              <w:tcPr>
                <w:tcW w:w="6409" w:type="dxa"/>
                <w:vAlign w:val="center"/>
              </w:tcPr>
              <w:p>
                <w:r>
                  <w:rPr>
                    <w:rFonts w:hint="eastAsia"/>
                  </w:rPr>
                  <w:t xml:space="preserve">①生产厂家获得 </w:t>
                </w:r>
                <w:r>
                  <w:rPr>
                    <w:rFonts w:hint="default"/>
                  </w:rPr>
                  <w:t xml:space="preserve">ISO13485 </w:t>
                </w:r>
                <w:r>
                  <w:rPr>
                    <w:rFonts w:hint="eastAsia"/>
                  </w:rPr>
                  <w:t xml:space="preserve">质量管理体系认证。 </w:t>
                </w:r>
              </w:p>
              <w:p>
                <w:r>
                  <w:rPr>
                    <w:rFonts w:hint="eastAsia"/>
                  </w:rPr>
                  <w:t xml:space="preserve">②投标产品获得 </w:t>
                </w:r>
                <w:r>
                  <w:rPr>
                    <w:rFonts w:hint="default"/>
                  </w:rPr>
                  <w:t xml:space="preserve">CE </w:t>
                </w:r>
                <w:r>
                  <w:rPr>
                    <w:rFonts w:hint="eastAsia"/>
                  </w:rPr>
                  <w:t xml:space="preserve">认证证书。 </w:t>
                </w:r>
              </w:p>
              <w:p>
                <w:pPr>
                  <w:rPr>
                    <w:rFonts w:hint="eastAsia"/>
                  </w:rPr>
                </w:pPr>
                <w:r>
                  <w:rPr>
                    <w:rFonts w:hint="eastAsia"/>
                  </w:rPr>
                  <w:t xml:space="preserve">③投标产品获得 </w:t>
                </w:r>
                <w:r>
                  <w:rPr>
                    <w:rFonts w:hint="default"/>
                  </w:rPr>
                  <w:t xml:space="preserve">FDA </w:t>
                </w:r>
                <w:r>
                  <w:rPr>
                    <w:rFonts w:hint="eastAsia"/>
                  </w:rPr>
                  <w:t xml:space="preserve">认证证书。 </w:t>
                </w:r>
              </w:p>
              <w:p>
                <w:pPr>
                  <w:rPr>
                    <w:rFonts w:hint="eastAsia"/>
                  </w:rPr>
                </w:pPr>
                <w:r>
                  <w:fldChar w:fldCharType="begin"/>
                </w:r>
                <w:r>
                  <w:instrText xml:space="preserve"> = 4 \* GB3 \* MERGEFORMAT </w:instrText>
                </w:r>
                <w:r>
                  <w:fldChar w:fldCharType="separate"/>
                </w:r>
                <w:r>
                  <w:t>④</w:t>
                </w:r>
                <w:r>
                  <w:fldChar w:fldCharType="end"/>
                </w:r>
                <w:r>
                  <w:rPr>
                    <w:rFonts w:hint="eastAsia"/>
                  </w:rPr>
                  <w:t>取得ISO9001质量认证。</w:t>
                </w:r>
              </w:p>
              <w:p>
                <w:pPr>
                  <w:rPr>
                    <w:color w:val="000000"/>
                  </w:rPr>
                </w:pPr>
                <w:r>
                  <w:rPr>
                    <w:rFonts w:hint="eastAsia"/>
                  </w:rPr>
                  <w:t>以上4项每项0.5分，均须提供相应有效认证证书复印件才有效。</w:t>
                </w:r>
              </w:p>
            </w:tc>
            <w:tc>
              <w:tcPr>
                <w:tcW w:w="1088"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rPr>
                    <w:rFonts w:ascii="宋体" w:hAnsi="宋体" w:cs="宋体"/>
                  </w:rPr>
                </w:pPr>
                <w:r>
                  <w:rPr>
                    <w:rFonts w:hint="eastAsia" w:ascii="宋体" w:hAnsi="宋体" w:cs="宋体"/>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43F7E4D">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43F7E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166A2"/>
    <w:rsid w:val="00204183"/>
    <w:rsid w:val="00241CD6"/>
    <w:rsid w:val="002C7944"/>
    <w:rsid w:val="00357988"/>
    <w:rsid w:val="003C3AB5"/>
    <w:rsid w:val="003E7DC1"/>
    <w:rsid w:val="00474079"/>
    <w:rsid w:val="004C7EB2"/>
    <w:rsid w:val="004D08F5"/>
    <w:rsid w:val="004D2825"/>
    <w:rsid w:val="004F5A76"/>
    <w:rsid w:val="005007DD"/>
    <w:rsid w:val="005D491D"/>
    <w:rsid w:val="00654BC6"/>
    <w:rsid w:val="00684BD7"/>
    <w:rsid w:val="006C44E8"/>
    <w:rsid w:val="006E5543"/>
    <w:rsid w:val="0070725E"/>
    <w:rsid w:val="00707A97"/>
    <w:rsid w:val="00775059"/>
    <w:rsid w:val="007814EA"/>
    <w:rsid w:val="007A5910"/>
    <w:rsid w:val="007F6F70"/>
    <w:rsid w:val="00825B15"/>
    <w:rsid w:val="008553F8"/>
    <w:rsid w:val="008A204B"/>
    <w:rsid w:val="008A5DC5"/>
    <w:rsid w:val="008D3A6F"/>
    <w:rsid w:val="009530DC"/>
    <w:rsid w:val="009C2C05"/>
    <w:rsid w:val="00A2105C"/>
    <w:rsid w:val="00A44D5C"/>
    <w:rsid w:val="00A55A59"/>
    <w:rsid w:val="00A83F43"/>
    <w:rsid w:val="00AC0EA5"/>
    <w:rsid w:val="00B8409A"/>
    <w:rsid w:val="00BA3521"/>
    <w:rsid w:val="00C33384"/>
    <w:rsid w:val="00C762C8"/>
    <w:rsid w:val="00C97AD7"/>
    <w:rsid w:val="00CC2DEE"/>
    <w:rsid w:val="00CD27A2"/>
    <w:rsid w:val="00D2685D"/>
    <w:rsid w:val="00D41CB5"/>
    <w:rsid w:val="00D57065"/>
    <w:rsid w:val="00DB5864"/>
    <w:rsid w:val="00DE7D8E"/>
    <w:rsid w:val="00E14108"/>
    <w:rsid w:val="00E72BBE"/>
    <w:rsid w:val="00EB1C9B"/>
    <w:rsid w:val="00ED5546"/>
    <w:rsid w:val="026F27D1"/>
    <w:rsid w:val="0AA97F0C"/>
    <w:rsid w:val="0BA77A36"/>
    <w:rsid w:val="10C97A40"/>
    <w:rsid w:val="12FE1340"/>
    <w:rsid w:val="1A5E61B6"/>
    <w:rsid w:val="440A61BA"/>
    <w:rsid w:val="45925788"/>
    <w:rsid w:val="4BB74895"/>
    <w:rsid w:val="57F8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630942"/>
    <w:rsid w:val="007311C2"/>
    <w:rsid w:val="0080285A"/>
    <w:rsid w:val="009323CE"/>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6</Pages>
  <Words>634</Words>
  <Characters>3617</Characters>
  <Lines>30</Lines>
  <Paragraphs>8</Paragraphs>
  <TotalTime>3</TotalTime>
  <ScaleCrop>false</ScaleCrop>
  <LinksUpToDate>false</LinksUpToDate>
  <CharactersWithSpaces>4243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2021-10-07T02:28:36Z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BC6B623858AD4EF6B8932C9852D63447</vt:lpwstr>
  </property>
</Properties>
</file>