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widowControl/>
        <w:spacing w:line="360" w:lineRule="auto"/>
        <w:ind w:left="-708" w:leftChars="-338" w:hanging="2"/>
        <w:jc w:val="left"/>
        <w:rPr>
          <w:rFonts w:cs="宋体"/>
          <w:kern w:val="0"/>
        </w:rPr>
      </w:pPr>
      <w:r>
        <w:rPr>
          <w:rFonts w:hint="eastAsia" w:cs="宋体"/>
          <w:kern w:val="0"/>
        </w:rPr>
        <w:t>1、本一览表中如涉及有品牌型号、技术参数及其性能（配置），仅起参考作用，竞标人可选用其他品牌型号替代，但这些替代的品牌型号要实质上相当于或优于参考品牌型号及其技术参数性能（配置）要求，同时在投标文件中标明明细。</w:t>
      </w:r>
    </w:p>
    <w:p>
      <w:pPr>
        <w:pStyle w:val="2"/>
        <w:ind w:left="-708" w:leftChars="-338" w:hanging="2"/>
        <w:rPr>
          <w:color w:val="FF0000"/>
          <w:sz w:val="21"/>
          <w:szCs w:val="21"/>
        </w:rPr>
      </w:pPr>
      <w:r>
        <w:rPr>
          <w:rFonts w:hint="eastAsia"/>
          <w:color w:val="FF0000"/>
          <w:sz w:val="21"/>
          <w:szCs w:val="21"/>
        </w:rPr>
        <w:t>2、★ 部分为核心参数，不满足视为无效投标。</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color w:val="FF0000"/>
          <w:sz w:val="21"/>
          <w:szCs w:val="21"/>
        </w:rPr>
      </w:pPr>
      <w:r>
        <w:rPr>
          <w:rFonts w:hint="eastAsia" w:cs="宋体"/>
          <w:b/>
          <w:bCs/>
        </w:rPr>
        <w:t>（一）</w:t>
      </w:r>
      <w:commentRangeStart w:id="0"/>
      <w:r>
        <w:rPr>
          <w:rFonts w:hint="eastAsia" w:cs="宋体"/>
          <w:b/>
          <w:bCs/>
        </w:rPr>
        <w:t>采购清单</w:t>
      </w:r>
      <w:commentRangeEnd w:id="0"/>
      <w:r>
        <w:rPr>
          <w:rStyle w:val="12"/>
          <w:color w:val="auto"/>
          <w:kern w:val="2"/>
        </w:rPr>
        <w:commentReference w:id="0"/>
      </w:r>
      <w:r>
        <w:rPr>
          <w:b/>
          <w:bCs/>
        </w:rPr>
        <w:t> </w:t>
      </w:r>
    </w:p>
    <w:tbl>
      <w:tblPr>
        <w:tblStyle w:val="10"/>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846"/>
        <w:gridCol w:w="43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840" w:type="dxa"/>
          </w:tcPr>
          <w:p>
            <w:pPr>
              <w:pStyle w:val="2"/>
              <w:jc w:val="both"/>
            </w:pPr>
            <w:r>
              <w:rPr>
                <w:rFonts w:hint="eastAsia"/>
              </w:rPr>
              <w:t>项目名称</w:t>
            </w:r>
          </w:p>
        </w:tc>
        <w:tc>
          <w:tcPr>
            <w:tcW w:w="846" w:type="dxa"/>
          </w:tcPr>
          <w:p>
            <w:pPr>
              <w:pStyle w:val="2"/>
              <w:jc w:val="both"/>
            </w:pPr>
            <w:r>
              <w:rPr>
                <w:rFonts w:hint="eastAsia"/>
              </w:rPr>
              <w:t>数量</w:t>
            </w:r>
          </w:p>
        </w:tc>
        <w:tc>
          <w:tcPr>
            <w:tcW w:w="4394" w:type="dxa"/>
          </w:tcPr>
          <w:p>
            <w:pPr>
              <w:pStyle w:val="2"/>
              <w:jc w:val="both"/>
            </w:pPr>
            <w:r>
              <w:rPr>
                <w:rFonts w:hint="eastAsia"/>
              </w:rPr>
              <w:t>产品用途与说明</w:t>
            </w:r>
          </w:p>
        </w:tc>
        <w:tc>
          <w:tcPr>
            <w:tcW w:w="1701" w:type="dxa"/>
          </w:tcPr>
          <w:p>
            <w:pPr>
              <w:pStyle w:val="2"/>
              <w:jc w:val="both"/>
            </w:pPr>
            <w:r>
              <w:rPr>
                <w:rFonts w:hint="eastAsia"/>
              </w:rPr>
              <w:t>实施地点</w:t>
            </w:r>
          </w:p>
        </w:tc>
      </w:tr>
      <w:sdt>
        <w:sdtPr>
          <w:alias w:val="根据实际情况填写"/>
          <w:tag w:val="根据实际情况填写"/>
          <w:id w:val="-1110810611"/>
          <w:placeholder>
            <w:docPart w:val="DefaultPlaceholder_-1854013440"/>
          </w:placeholder>
          <w15:color w:val="FF6600"/>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840" w:type="dxa"/>
              </w:tcPr>
              <w:p>
                <w:pPr>
                  <w:pStyle w:val="2"/>
                  <w:jc w:val="both"/>
                </w:pPr>
                <w:r>
                  <w:rPr>
                    <w:rFonts w:hint="eastAsia"/>
                  </w:rPr>
                  <w:t>神经系统电刺激仪</w:t>
                </w:r>
              </w:p>
            </w:tc>
            <w:tc>
              <w:tcPr>
                <w:tcW w:w="846" w:type="dxa"/>
              </w:tcPr>
              <w:p>
                <w:pPr>
                  <w:pStyle w:val="2"/>
                  <w:jc w:val="both"/>
                </w:pPr>
                <w:r>
                  <w:rPr>
                    <w:rFonts w:hint="eastAsia"/>
                  </w:rPr>
                  <w:t>1台</w:t>
                </w:r>
              </w:p>
            </w:tc>
            <w:tc>
              <w:tcPr>
                <w:tcW w:w="4394" w:type="dxa"/>
              </w:tcPr>
              <w:p>
                <w:pPr>
                  <w:pStyle w:val="2"/>
                  <w:jc w:val="both"/>
                </w:pPr>
                <w:r>
                  <w:t>适用于吞咽及言语功能障碍、肢体运动功能障碍、周围神经损伤治疗。</w:t>
                </w:r>
              </w:p>
            </w:tc>
            <w:tc>
              <w:tcPr>
                <w:tcW w:w="1701" w:type="dxa"/>
              </w:tcPr>
              <w:p>
                <w:pPr>
                  <w:pStyle w:val="2"/>
                  <w:jc w:val="both"/>
                </w:pPr>
                <w:r>
                  <w:rPr>
                    <w:rFonts w:hint="eastAsia"/>
                  </w:rPr>
                  <w:t>广西桂东人民医院指定地点</w:t>
                </w:r>
              </w:p>
            </w:tc>
          </w:tr>
        </w:sdtContent>
      </w:sdt>
    </w:tbl>
    <w:p>
      <w:pPr>
        <w:widowControl/>
        <w:numPr>
          <w:ilvl w:val="0"/>
          <w:numId w:val="1"/>
        </w:numPr>
        <w:spacing w:line="360" w:lineRule="auto"/>
        <w:ind w:left="-708" w:leftChars="-337"/>
        <w:jc w:val="left"/>
      </w:pPr>
      <w:r>
        <w:rPr>
          <w:rFonts w:hint="eastAsia" w:cs="宋体"/>
          <w:b/>
          <w:bCs/>
          <w:kern w:val="0"/>
          <w:sz w:val="24"/>
          <w:szCs w:val="24"/>
        </w:rPr>
        <w:t>技术规格参数</w:t>
      </w:r>
    </w:p>
    <w:sdt>
      <w:sdtPr>
        <w:rPr>
          <w:rFonts w:hint="eastAsia" w:ascii="Times New Roman" w:hAnsi="Times New Roman" w:eastAsia="宋体"/>
          <w:color w:val="000000"/>
        </w:rPr>
        <w:id w:val="147471302"/>
        <w15:repeatingSection/>
      </w:sdtPr>
      <w:sdtEndPr>
        <w:rPr>
          <w:rFonts w:hint="eastAsia" w:ascii="Times New Roman" w:hAnsi="Times New Roman" w:eastAsia="宋体"/>
          <w:color w:val="000000"/>
        </w:rPr>
      </w:sdtEndPr>
      <w:sdtContent>
        <w:sdt>
          <w:sdtPr>
            <w:rPr>
              <w:rFonts w:hint="eastAsia" w:ascii="Times New Roman" w:hAnsi="Times New Roman" w:eastAsia="宋体"/>
              <w:color w:val="000000"/>
            </w:rPr>
            <w:id w:val="147471276"/>
            <w:placeholder>
              <w:docPart w:val="{2fe68bf9-e570-429b-a8b5-0a9aed96709c}"/>
            </w:placeholder>
            <w15:repeatingSectionItem/>
          </w:sdtPr>
          <w:sdtEndPr>
            <w:rPr>
              <w:rFonts w:hint="eastAsia" w:ascii="Times New Roman" w:hAnsi="Times New Roman" w:eastAsia="宋体"/>
              <w:color w:val="000000"/>
            </w:rPr>
          </w:sdtEndPr>
          <w:sdtContent>
            <w:p>
              <w:pPr>
                <w:spacing w:line="360" w:lineRule="auto"/>
                <w:rPr>
                  <w:sz w:val="24"/>
                  <w:szCs w:val="24"/>
                </w:rPr>
              </w:pPr>
              <w:r>
                <w:rPr>
                  <w:rFonts w:hint="eastAsia"/>
                </w:rPr>
                <w:t>▲ 1.</w:t>
              </w:r>
              <w:r>
                <w:rPr>
                  <w:rFonts w:hint="default"/>
                </w:rPr>
                <w:t>≥</w:t>
              </w:r>
              <w:r>
                <w:rPr>
                  <w:rFonts w:hint="eastAsia"/>
                </w:rPr>
                <w:t>四种多参数可调性微分指数合成波治疗技术和恒流源特性。</w:t>
              </w:r>
            </w:p>
            <w:p>
              <w:pPr>
                <w:spacing w:line="360" w:lineRule="auto"/>
                <w:ind w:left="840" w:hanging="735" w:hangingChars="350"/>
                <w:rPr>
                  <w:sz w:val="24"/>
                  <w:szCs w:val="24"/>
                </w:rPr>
              </w:pPr>
              <w:r>
                <w:rPr>
                  <w:rFonts w:hint="eastAsia"/>
                </w:rPr>
                <w:t xml:space="preserve"> 2.多功能卒中单元系统化治疗解决方案。</w:t>
              </w:r>
            </w:p>
            <w:p>
              <w:pPr>
                <w:spacing w:line="360" w:lineRule="auto"/>
                <w:rPr>
                  <w:sz w:val="24"/>
                  <w:szCs w:val="24"/>
                </w:rPr>
              </w:pPr>
              <w:r>
                <w:rPr>
                  <w:rFonts w:hint="eastAsia"/>
                </w:rPr>
                <w:t xml:space="preserve"> 3.吞咽言语及有关神经系统的四种微分指数合成波治疗技术特性。</w:t>
              </w:r>
            </w:p>
            <w:p>
              <w:pPr>
                <w:spacing w:line="360" w:lineRule="auto"/>
                <w:ind w:left="720" w:hanging="630" w:hangingChars="300"/>
                <w:rPr>
                  <w:sz w:val="24"/>
                  <w:szCs w:val="24"/>
                </w:rPr>
              </w:pPr>
              <w:r>
                <w:rPr>
                  <w:rFonts w:hint="eastAsia"/>
                </w:rPr>
                <w:t>▲ 4.适用于吞咽及言语功能障碍、肢体运动功能障碍、周围神经损伤治疗。</w:t>
              </w:r>
            </w:p>
            <w:p>
              <w:pPr>
                <w:spacing w:line="360" w:lineRule="auto"/>
                <w:ind w:left="840" w:hanging="735" w:hangingChars="350"/>
                <w:rPr>
                  <w:sz w:val="24"/>
                  <w:szCs w:val="24"/>
                </w:rPr>
              </w:pPr>
              <w:r>
                <w:rPr>
                  <w:rFonts w:hint="eastAsia"/>
                </w:rPr>
                <w:t xml:space="preserve"> 5.二个独立音乐频段疗法自动播放模式。</w:t>
              </w:r>
            </w:p>
            <w:p>
              <w:pPr>
                <w:spacing w:line="360" w:lineRule="auto"/>
                <w:ind w:left="840" w:hanging="735" w:hangingChars="350"/>
                <w:rPr>
                  <w:sz w:val="24"/>
                  <w:szCs w:val="24"/>
                </w:rPr>
              </w:pPr>
              <w:r>
                <w:rPr>
                  <w:rFonts w:hint="eastAsia"/>
                </w:rPr>
                <w:t>▲ 6.独立四通道，八路输出，不少于六个核心微处理器。</w:t>
              </w:r>
            </w:p>
            <w:p>
              <w:pPr>
                <w:spacing w:line="360" w:lineRule="auto"/>
                <w:ind w:left="735" w:leftChars="50" w:hanging="630" w:hangingChars="300"/>
                <w:rPr>
                  <w:rFonts w:ascii="宋体" w:hAnsi="宋体"/>
                  <w:sz w:val="24"/>
                  <w:szCs w:val="24"/>
                </w:rPr>
              </w:pPr>
              <w:r>
                <w:rPr>
                  <w:rFonts w:hint="eastAsia"/>
                </w:rPr>
                <w:t>7.显示屏有效显示区域;长162毫米;宽121.5毫米。</w:t>
              </w:r>
            </w:p>
            <w:p>
              <w:pPr>
                <w:spacing w:line="360" w:lineRule="auto"/>
                <w:ind w:left="480" w:hanging="420" w:hangingChars="200"/>
                <w:rPr>
                  <w:rFonts w:hint="eastAsia"/>
                  <w:sz w:val="24"/>
                  <w:szCs w:val="24"/>
                </w:rPr>
              </w:pPr>
              <w:r>
                <w:rPr>
                  <w:rFonts w:hint="eastAsia"/>
                </w:rPr>
                <w:t xml:space="preserve"> 8.彩色人机交换触摸屏≧八英寸，人体部位处方图片显示界面，彩色人体图片</w:t>
              </w:r>
            </w:p>
            <w:p>
              <w:pPr>
                <w:spacing w:line="360" w:lineRule="auto"/>
                <w:ind w:left="480" w:hanging="420" w:hangingChars="200"/>
                <w:rPr>
                  <w:rFonts w:ascii="宋体" w:hAnsi="宋体"/>
                  <w:sz w:val="24"/>
                  <w:szCs w:val="24"/>
                </w:rPr>
              </w:pPr>
              <w:r>
                <w:rPr>
                  <w:rFonts w:hint="eastAsia"/>
                </w:rPr>
                <w:t>电极粘贴部位显示。</w:t>
              </w:r>
            </w:p>
            <w:p>
              <w:pPr>
                <w:spacing w:line="360" w:lineRule="auto"/>
                <w:ind w:left="840" w:hanging="735" w:hangingChars="350"/>
                <w:rPr>
                  <w:rFonts w:ascii="宋体" w:hAnsi="宋体"/>
                  <w:sz w:val="24"/>
                  <w:szCs w:val="24"/>
                </w:rPr>
              </w:pPr>
              <w:r>
                <w:rPr>
                  <w:rFonts w:hint="eastAsia"/>
                </w:rPr>
                <w:t xml:space="preserve"> 9.显示屏彩色显示四种可调微分指数合成波循环治疗模式。</w:t>
              </w:r>
            </w:p>
            <w:p>
              <w:pPr>
                <w:spacing w:line="360" w:lineRule="auto"/>
                <w:rPr>
                  <w:sz w:val="24"/>
                  <w:szCs w:val="24"/>
                </w:rPr>
              </w:pPr>
              <w:r>
                <w:rPr>
                  <w:rFonts w:hint="eastAsia"/>
                </w:rPr>
                <w:t>10.软件系统支持数据库管理病例系统。</w:t>
              </w:r>
            </w:p>
            <w:p>
              <w:pPr>
                <w:spacing w:line="360" w:lineRule="auto"/>
                <w:rPr>
                  <w:sz w:val="24"/>
                  <w:szCs w:val="24"/>
                </w:rPr>
              </w:pPr>
              <w:r>
                <w:rPr>
                  <w:rFonts w:hint="eastAsia"/>
                </w:rPr>
                <w:t>11.对应患者快捷编号及存储。</w:t>
              </w:r>
            </w:p>
            <w:p>
              <w:pPr>
                <w:spacing w:line="360" w:lineRule="auto"/>
                <w:rPr>
                  <w:sz w:val="24"/>
                  <w:szCs w:val="24"/>
                </w:rPr>
              </w:pPr>
              <w:r>
                <w:rPr>
                  <w:rFonts w:hint="eastAsia"/>
                </w:rPr>
                <w:t>12.患者编号对应治疗次数与参数自动记录与统计。</w:t>
              </w:r>
            </w:p>
            <w:p>
              <w:pPr>
                <w:spacing w:line="360" w:lineRule="auto"/>
                <w:rPr>
                  <w:sz w:val="24"/>
                  <w:szCs w:val="24"/>
                </w:rPr>
              </w:pPr>
              <w:r>
                <w:rPr>
                  <w:rFonts w:hint="eastAsia"/>
                </w:rPr>
                <w:t>13.设备使用治疗次数累计界面显示。</w:t>
              </w:r>
            </w:p>
            <w:p>
              <w:pPr>
                <w:spacing w:line="360" w:lineRule="auto"/>
                <w:rPr>
                  <w:sz w:val="24"/>
                  <w:szCs w:val="24"/>
                </w:rPr>
              </w:pPr>
              <w:r>
                <w:rPr>
                  <w:rFonts w:hint="eastAsia"/>
                </w:rPr>
                <w:t>14、音乐疗法随机可选择模式，并且能够根据个体化差异需求进行音乐选择界面。</w:t>
              </w:r>
            </w:p>
            <w:p>
              <w:pPr>
                <w:spacing w:line="360" w:lineRule="auto"/>
                <w:rPr>
                  <w:sz w:val="24"/>
                  <w:szCs w:val="24"/>
                </w:rPr>
              </w:pPr>
              <w:r>
                <w:rPr>
                  <w:rFonts w:hint="eastAsia"/>
                </w:rPr>
                <w:t>15.病例的查询、编辑、存储功能。</w:t>
              </w:r>
            </w:p>
            <w:p>
              <w:pPr>
                <w:spacing w:line="360" w:lineRule="auto"/>
                <w:rPr>
                  <w:sz w:val="24"/>
                  <w:szCs w:val="24"/>
                </w:rPr>
              </w:pPr>
              <w:r>
                <w:rPr>
                  <w:rFonts w:hint="eastAsia"/>
                </w:rPr>
                <w:t>16.人体治疗部位图片的显示与查询。</w:t>
              </w:r>
            </w:p>
            <w:p>
              <w:pPr>
                <w:spacing w:line="360" w:lineRule="auto"/>
                <w:ind w:left="840" w:hanging="735" w:hangingChars="350"/>
                <w:rPr>
                  <w:rFonts w:ascii="宋体" w:hAnsi="宋体"/>
                  <w:sz w:val="24"/>
                  <w:szCs w:val="24"/>
                </w:rPr>
              </w:pPr>
              <w:r>
                <w:rPr>
                  <w:rFonts w:hint="eastAsia"/>
                </w:rPr>
                <w:t>17.载波输出脉冲频率2kHz,误差±5%（kHz）</w:t>
              </w:r>
            </w:p>
            <w:p>
              <w:pPr>
                <w:spacing w:line="360" w:lineRule="auto"/>
                <w:rPr>
                  <w:rFonts w:ascii="宋体" w:hAnsi="宋体"/>
                  <w:sz w:val="24"/>
                  <w:szCs w:val="24"/>
                </w:rPr>
              </w:pPr>
              <w:r>
                <w:rPr>
                  <w:rFonts w:hint="eastAsia"/>
                </w:rPr>
                <w:t>18.刺激仪脉冲宽度0.048ms,误差±10%（ms）</w:t>
              </w:r>
            </w:p>
            <w:p>
              <w:pPr>
                <w:spacing w:line="360" w:lineRule="auto"/>
                <w:rPr>
                  <w:sz w:val="24"/>
                  <w:szCs w:val="24"/>
                </w:rPr>
              </w:pPr>
              <w:r>
                <w:rPr>
                  <w:rFonts w:hint="eastAsia"/>
                </w:rPr>
                <w:t>▲19.刺激节律可调范围：5.3Hz-169Hz≤ 七种可调频率</w:t>
              </w:r>
            </w:p>
            <w:p>
              <w:pPr>
                <w:spacing w:line="360" w:lineRule="auto"/>
                <w:rPr>
                  <w:sz w:val="24"/>
                  <w:szCs w:val="24"/>
                </w:rPr>
              </w:pPr>
              <w:r>
                <w:rPr>
                  <w:rFonts w:hint="eastAsia"/>
                </w:rPr>
                <w:t>▲20.可调比率范围：1%-100%，4种调幅波频率误差为每档额定功率的±5%。</w:t>
              </w:r>
            </w:p>
            <w:p>
              <w:pPr>
                <w:spacing w:line="360" w:lineRule="auto"/>
                <w:rPr>
                  <w:sz w:val="24"/>
                  <w:szCs w:val="24"/>
                </w:rPr>
              </w:pPr>
              <w:r>
                <w:rPr>
                  <w:rFonts w:hint="eastAsia"/>
                </w:rPr>
                <w:t>21.刺激主频率≤ 2KHz；频谱范围≤3KHz。</w:t>
              </w:r>
            </w:p>
            <w:p>
              <w:pPr>
                <w:spacing w:line="360" w:lineRule="auto"/>
                <w:rPr>
                  <w:sz w:val="24"/>
                  <w:szCs w:val="24"/>
                </w:rPr>
              </w:pPr>
              <w:r>
                <w:rPr>
                  <w:rFonts w:hint="eastAsia"/>
                </w:rPr>
                <w:t>22.电源；AC 220V±10%;频率50Hz±1Hz;连续工作时间 ≥ 24h。</w:t>
              </w:r>
            </w:p>
            <w:p>
              <w:pPr>
                <w:spacing w:line="360" w:lineRule="auto"/>
                <w:rPr>
                  <w:sz w:val="24"/>
                  <w:szCs w:val="24"/>
                </w:rPr>
              </w:pPr>
              <w:r>
                <w:rPr>
                  <w:rFonts w:hint="eastAsia"/>
                </w:rPr>
                <w:t>23.电源输入功率40W;熔断器F2AL250V; 音频输出功率≧50mW</w:t>
              </w:r>
            </w:p>
            <w:p>
              <w:pPr>
                <w:spacing w:line="360" w:lineRule="auto"/>
                <w:rPr>
                  <w:sz w:val="24"/>
                  <w:szCs w:val="24"/>
                </w:rPr>
              </w:pPr>
              <w:r>
                <w:rPr>
                  <w:rFonts w:hint="eastAsia"/>
                </w:rPr>
                <w:t>24.软件发布版本：V1.0.9547.7880。软件运行环境：嵌入式系统软件。</w:t>
              </w:r>
            </w:p>
            <w:p>
              <w:pPr>
                <w:spacing w:line="360" w:lineRule="auto"/>
                <w:rPr>
                  <w:sz w:val="24"/>
                  <w:szCs w:val="24"/>
                </w:rPr>
              </w:pPr>
              <w:r>
                <w:rPr>
                  <w:rFonts w:hint="eastAsia"/>
                </w:rPr>
                <w:t>25.安全特性：安全类型Ⅱ类设备，防电击程度BF型。</w:t>
              </w:r>
            </w:p>
            <w:p>
              <w:pPr>
                <w:pStyle w:val="7"/>
                <w:widowControl/>
                <w:shd w:val="clear" w:color="auto" w:fill="FFFFFF"/>
                <w:spacing w:beforeAutospacing="0" w:afterAutospacing="0" w:line="360" w:lineRule="exact"/>
                <w:ind w:firstLine="360"/>
                <w:rPr>
                  <w:rFonts w:ascii="宋体" w:hAnsi="宋体" w:eastAsia="宋体" w:cs="宋体"/>
                  <w:color w:val="555555"/>
                  <w:sz w:val="28"/>
                  <w:szCs w:val="28"/>
                  <w:shd w:val="clear" w:color="auto" w:fill="FFFFFF"/>
                </w:rPr>
              </w:pPr>
            </w:p>
            <w:p>
              <w:pPr>
                <w:pStyle w:val="2"/>
              </w:pPr>
            </w:p>
          </w:sdtContent>
        </w:sdt>
      </w:sdtContent>
    </w:sdt>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基本要求</w:t>
      </w:r>
    </w:p>
    <w:p>
      <w:pPr>
        <w:pStyle w:val="2"/>
        <w:ind w:left="-708" w:leftChars="-337"/>
        <w:rPr>
          <w:color w:val="auto"/>
        </w:rPr>
      </w:pPr>
      <w:r>
        <w:rPr>
          <w:rFonts w:hint="eastAsia"/>
          <w:color w:val="auto"/>
        </w:rPr>
        <w:t>1、以上产品必须是具备合法资质的制造商生产的全新正品，并完全满足招标采购文件的要求，若产品在运输或安装过程中损坏或擦伤须无偿调换相同产品。</w:t>
      </w:r>
    </w:p>
    <w:p>
      <w:pPr>
        <w:pStyle w:val="2"/>
        <w:ind w:left="-708" w:leftChars="-337"/>
        <w:rPr>
          <w:color w:val="auto"/>
        </w:rPr>
      </w:pPr>
      <w:r>
        <w:rPr>
          <w:rFonts w:hint="eastAsia"/>
          <w:color w:val="auto"/>
        </w:rPr>
        <w:t>2、投标人所投产品参数应同等或优于以上各项参数要求，产品、辅材及生产工艺符合国家相关规范。</w:t>
      </w:r>
    </w:p>
    <w:p>
      <w:pPr>
        <w:pStyle w:val="2"/>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2"/>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2"/>
        <w:ind w:left="-708" w:leftChars="-337"/>
        <w:rPr>
          <w:color w:val="auto"/>
        </w:rPr>
      </w:pPr>
      <w:r>
        <w:rPr>
          <w:rFonts w:hint="eastAsia"/>
          <w:color w:val="auto"/>
        </w:rPr>
        <w:t>5、投标产品如包括必备的易损易耗备品备件和专用工具，竞标人应提供完整清单。</w:t>
      </w:r>
    </w:p>
    <w:p>
      <w:pPr>
        <w:pStyle w:val="2"/>
        <w:ind w:left="-708" w:leftChars="-337"/>
        <w:rPr>
          <w:rFonts w:cs="宋体"/>
          <w:b/>
          <w:bCs/>
        </w:rPr>
      </w:pPr>
      <w:r>
        <w:rPr>
          <w:rFonts w:hint="eastAsia" w:cs="宋体"/>
          <w:b/>
          <w:bCs/>
        </w:rPr>
        <w:t>（四）商务要求</w:t>
      </w:r>
    </w:p>
    <w:p>
      <w:pPr>
        <w:pStyle w:val="2"/>
        <w:ind w:left="-708" w:leftChars="-337"/>
        <w:rPr>
          <w:rFonts w:cs="宋体"/>
        </w:rPr>
      </w:pPr>
      <w:r>
        <w:rPr>
          <w:rFonts w:hint="eastAsia" w:cs="宋体"/>
        </w:rPr>
        <w:t>1.投标人为独立法人，并具备统一社会信用代码。</w:t>
      </w:r>
    </w:p>
    <w:p>
      <w:pPr>
        <w:pStyle w:val="2"/>
        <w:ind w:left="-708" w:leftChars="-337"/>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rPr>
          <w:rFonts w:cs="宋体"/>
        </w:rPr>
      </w:pPr>
      <w:r>
        <w:rPr>
          <w:rFonts w:hint="eastAsia" w:cs="宋体"/>
        </w:rPr>
        <w:t>3、被列入我院投标人黑名单（在我院招投标活动中存在2次违规行为）未满3年的投标人将被拒绝其参与本次招投标活动。</w:t>
      </w:r>
    </w:p>
    <w:sdt>
      <w:sdtPr>
        <w:rPr>
          <w:rFonts w:hint="eastAsia" w:cs="宋体"/>
        </w:rPr>
        <w:alias w:val="根据实际情况填写，这里为设备和维保模板"/>
        <w:tag w:val="根据实际情况填写，这里为设备和维保模板"/>
        <w:id w:val="545178371"/>
        <w:placeholder>
          <w:docPart w:val="DefaultPlaceholder_-1854013440"/>
        </w:placeholder>
        <w15:color w:val="FF0000"/>
      </w:sdtPr>
      <w:sdtEndPr>
        <w:rPr>
          <w:rFonts w:hint="eastAsia" w:cs="Times New Roman"/>
        </w:rPr>
      </w:sdtEndPr>
      <w:sdtContent>
        <w:p>
          <w:pPr>
            <w:pStyle w:val="2"/>
            <w:ind w:left="-708" w:leftChars="-337"/>
            <w:rPr>
              <w:rFonts w:cs="宋体"/>
            </w:rPr>
          </w:pPr>
          <w:r>
            <w:rPr>
              <w:rFonts w:hint="eastAsia" w:cs="宋体"/>
            </w:rPr>
            <w:t>4.投标人所投产品三证齐全：投标公司的《医疗器械经营许可证》、生产厂家的《医疗器械生产许可证》（国外产品可不提供）、器械的《中华人民共和国医疗器械注册证》</w:t>
          </w:r>
        </w:p>
        <w:p>
          <w:pPr>
            <w:pStyle w:val="2"/>
            <w:ind w:left="-708" w:leftChars="-337"/>
            <w:rPr>
              <w:rFonts w:cs="宋体"/>
            </w:rPr>
          </w:pPr>
          <w:r>
            <w:rPr>
              <w:rFonts w:hint="eastAsia" w:cs="宋体"/>
            </w:rPr>
            <w:t>5、</w:t>
          </w:r>
          <w:r>
            <w:rPr>
              <w:rFonts w:hint="eastAsia" w:cs="宋体"/>
              <w:color w:val="FF0000"/>
            </w:rPr>
            <w:t>本项目不接收联合体投标</w:t>
          </w:r>
          <w:r>
            <w:rPr>
              <w:rFonts w:hint="eastAsia" w:cs="宋体"/>
              <w:color w:val="auto"/>
            </w:rPr>
            <w:t>。</w:t>
          </w:r>
        </w:p>
        <w:p>
          <w:pPr>
            <w:pStyle w:val="2"/>
            <w:ind w:left="-708" w:leftChars="-337"/>
          </w:pPr>
        </w:p>
      </w:sdtContent>
    </w:sdt>
    <w:p>
      <w:pPr>
        <w:widowControl/>
        <w:spacing w:line="360" w:lineRule="auto"/>
        <w:ind w:left="-708" w:leftChars="-338" w:hanging="2"/>
        <w:jc w:val="left"/>
        <w:rPr>
          <w:rFonts w:cs="宋体"/>
          <w:b/>
          <w:bCs/>
          <w:color w:val="000000"/>
          <w:kern w:val="0"/>
          <w:sz w:val="24"/>
          <w:szCs w:val="24"/>
        </w:rPr>
      </w:pPr>
      <w:r>
        <w:rPr>
          <w:rFonts w:hint="eastAsia" w:cs="宋体"/>
          <w:b/>
          <w:bCs/>
          <w:color w:val="000000"/>
          <w:kern w:val="0"/>
          <w:sz w:val="24"/>
          <w:szCs w:val="24"/>
        </w:rPr>
        <w:t>（五）售后服务和服务承诺</w:t>
      </w:r>
    </w:p>
    <w:sdt>
      <w:sdtPr>
        <w:rPr>
          <w:rFonts w:hint="eastAsia"/>
          <w:color w:val="000000"/>
          <w:kern w:val="0"/>
          <w:sz w:val="24"/>
          <w:szCs w:val="24"/>
        </w:rPr>
        <w:alias w:val="根据实际情况修改"/>
        <w:tag w:val="根据实际情况修改"/>
        <w:id w:val="1526364755"/>
        <w:placeholder>
          <w:docPart w:val="DefaultPlaceholder_-1854013440"/>
        </w:placeholder>
        <w15:color w:val="FF0000"/>
      </w:sdtPr>
      <w:sdtEndPr>
        <w:rPr>
          <w:rFonts w:hint="eastAsia"/>
          <w:color w:val="000000"/>
          <w:kern w:val="0"/>
          <w:sz w:val="24"/>
          <w:szCs w:val="24"/>
        </w:rPr>
      </w:sdtEndPr>
      <w:sdtContent>
        <w:p>
          <w:pPr>
            <w:widowControl/>
            <w:spacing w:line="360" w:lineRule="auto"/>
            <w:ind w:left="-708" w:leftChars="-338" w:hanging="2"/>
            <w:jc w:val="left"/>
            <w:rPr>
              <w:color w:val="000000"/>
              <w:kern w:val="0"/>
              <w:sz w:val="24"/>
              <w:szCs w:val="24"/>
            </w:rPr>
          </w:pPr>
          <w:r>
            <w:rPr>
              <w:rFonts w:hint="eastAsia"/>
              <w:color w:val="000000"/>
              <w:kern w:val="0"/>
              <w:sz w:val="24"/>
              <w:szCs w:val="24"/>
            </w:rPr>
            <w:t>1、竞价人在竞价文件中必须提交设备配置清单，如设备</w:t>
          </w:r>
          <w:r>
            <w:rPr>
              <w:rFonts w:hint="eastAsia"/>
              <w:color w:val="FF0000"/>
              <w:kern w:val="0"/>
              <w:sz w:val="24"/>
              <w:szCs w:val="24"/>
            </w:rPr>
            <w:t>有配套耗材及定期更换的配件请投标时与设备一起报价</w:t>
          </w:r>
          <w:r>
            <w:rPr>
              <w:rFonts w:hint="eastAsia"/>
              <w:color w:val="000000"/>
              <w:kern w:val="0"/>
              <w:sz w:val="24"/>
              <w:szCs w:val="24"/>
            </w:rPr>
            <w:t>。</w:t>
          </w:r>
        </w:p>
        <w:p>
          <w:pPr>
            <w:widowControl/>
            <w:spacing w:line="360" w:lineRule="auto"/>
            <w:ind w:left="-708" w:leftChars="-338" w:hanging="2"/>
            <w:jc w:val="left"/>
            <w:rPr>
              <w:color w:val="000000"/>
              <w:kern w:val="0"/>
              <w:sz w:val="24"/>
              <w:szCs w:val="24"/>
            </w:rPr>
          </w:pPr>
          <w:r>
            <w:rPr>
              <w:rFonts w:hint="eastAsia"/>
              <w:color w:val="000000"/>
              <w:kern w:val="0"/>
              <w:sz w:val="24"/>
              <w:szCs w:val="24"/>
            </w:rPr>
            <w:t>1、为了防止虚假应标，项目成交结果公示期间，招标人</w:t>
          </w:r>
          <w:r>
            <w:rPr>
              <w:rFonts w:hint="eastAsia"/>
              <w:color w:val="FF0000"/>
              <w:kern w:val="0"/>
              <w:sz w:val="24"/>
              <w:szCs w:val="24"/>
            </w:rPr>
            <w:t>有权要求拟中标的投标人提供所投标产品以供测试</w:t>
          </w:r>
          <w:r>
            <w:rPr>
              <w:rFonts w:hint="eastAsia"/>
              <w:color w:val="000000"/>
              <w:kern w:val="0"/>
              <w:sz w:val="24"/>
              <w:szCs w:val="24"/>
            </w:rPr>
            <w:t>；若测试达不到应答指标，以虚假应标论处。</w:t>
          </w:r>
        </w:p>
        <w:p>
          <w:pPr>
            <w:pStyle w:val="2"/>
            <w:ind w:left="-708" w:leftChars="-337"/>
          </w:pPr>
          <w:r>
            <w:rPr>
              <w:rFonts w:hint="eastAsia"/>
            </w:rPr>
            <w:t>2、投标产品必须是按厂家标准配置的整套全新，具备正规合法经销渠道的，符合国家各项有关质量标准的合格产品。相关部件及服务满足以上各项要求。若产品在运输过程中损坏或擦伤须无偿调换相同产品。</w:t>
          </w:r>
        </w:p>
        <w:p>
          <w:pPr>
            <w:pStyle w:val="2"/>
            <w:ind w:left="-708" w:leftChars="-337"/>
          </w:pPr>
          <w:r>
            <w:rPr>
              <w:rFonts w:hint="eastAsia"/>
            </w:rPr>
            <w:t>3、按厂家规定保修，同时提供产品“三包”服务；定期安排相关人员回访进行质量跟踪；保证提供临床应用和售后技术服务支持方式；保修期后提供终身维修服务及配件供应；其他售后服务按厂家承诺实行。</w:t>
          </w:r>
        </w:p>
        <w:p>
          <w:pPr>
            <w:pStyle w:val="2"/>
            <w:ind w:left="-708" w:leftChars="-337"/>
            <w:rPr>
              <w:color w:val="FF0000"/>
            </w:rPr>
          </w:pPr>
          <w:r>
            <w:rPr>
              <w:rFonts w:hint="eastAsia"/>
            </w:rPr>
            <w:t>★4、</w:t>
          </w:r>
          <w:r>
            <w:rPr>
              <w:rFonts w:hint="eastAsia"/>
              <w:color w:val="FF0000"/>
            </w:rPr>
            <w:t>质保期：设备安装完毕通过验收投入使用之日起不少于1年。</w:t>
          </w:r>
        </w:p>
        <w:p>
          <w:pPr>
            <w:pStyle w:val="2"/>
            <w:ind w:left="-708" w:leftChars="-337"/>
          </w:pPr>
          <w:r>
            <w:rPr>
              <w:rFonts w:hint="eastAsia"/>
            </w:rPr>
            <w:t>★5、</w:t>
          </w:r>
          <w:r>
            <w:rPr>
              <w:rFonts w:hint="eastAsia"/>
              <w:color w:val="FF0000"/>
            </w:rPr>
            <w:t>故障处理</w:t>
          </w:r>
          <w:r>
            <w:rPr>
              <w:rFonts w:hint="eastAsia"/>
            </w:rPr>
            <w:t>：厂家须设有24小时免费服务电话，中标供应商应提供</w:t>
          </w:r>
          <w:r>
            <w:rPr>
              <w:rFonts w:hint="eastAsia"/>
              <w:color w:val="FF0000"/>
            </w:rPr>
            <w:t>常驻广西维保人员</w:t>
          </w:r>
          <w:r>
            <w:rPr>
              <w:rFonts w:hint="eastAsia"/>
            </w:rPr>
            <w:t>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二、交货期要求</w:t>
      </w:r>
    </w:p>
    <w:p>
      <w:pPr>
        <w:widowControl/>
        <w:spacing w:line="360" w:lineRule="auto"/>
        <w:ind w:left="-710" w:leftChars="-338" w:firstLine="480" w:firstLineChars="200"/>
        <w:jc w:val="left"/>
        <w:rPr>
          <w:rFonts w:cs="宋体"/>
          <w:kern w:val="0"/>
          <w:sz w:val="24"/>
          <w:szCs w:val="24"/>
        </w:rPr>
      </w:pPr>
      <w:r>
        <w:rPr>
          <w:rFonts w:hint="eastAsia" w:cs="宋体"/>
          <w:kern w:val="0"/>
          <w:sz w:val="24"/>
          <w:szCs w:val="24"/>
        </w:rPr>
        <w:t>签订合同后，</w:t>
      </w:r>
      <w:r>
        <w:rPr>
          <w:color w:val="FF0000"/>
          <w:kern w:val="0"/>
          <w:sz w:val="24"/>
          <w:szCs w:val="24"/>
          <w:u w:val="single"/>
        </w:rPr>
        <w:t xml:space="preserve">  </w:t>
      </w:r>
      <w:sdt>
        <w:sdtPr>
          <w:rPr>
            <w:color w:val="FF0000"/>
            <w:kern w:val="0"/>
            <w:sz w:val="24"/>
            <w:szCs w:val="24"/>
            <w:u w:val="single"/>
          </w:rPr>
          <w:alias w:val="根据实际情况填写"/>
          <w:tag w:val="根据实际情况填写"/>
          <w:id w:val="445283709"/>
          <w:placeholder>
            <w:docPart w:val="DefaultPlaceholder_-1854013440"/>
          </w:placeholder>
          <w15:color w:val="FF0000"/>
        </w:sdtPr>
        <w:sdtEndPr>
          <w:rPr>
            <w:color w:val="FF0000"/>
            <w:kern w:val="0"/>
            <w:sz w:val="24"/>
            <w:szCs w:val="24"/>
            <w:u w:val="single"/>
          </w:rPr>
        </w:sdtEndPr>
        <w:sdtContent>
          <w:r>
            <w:t>20</w:t>
          </w:r>
        </w:sdtContent>
      </w:sdt>
      <w:r>
        <w:rPr>
          <w:color w:val="FF0000"/>
          <w:kern w:val="0"/>
          <w:sz w:val="24"/>
          <w:szCs w:val="24"/>
          <w:u w:val="single"/>
        </w:rPr>
        <w:t xml:space="preserve">    </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三、交货地点</w:t>
      </w:r>
    </w:p>
    <w:p>
      <w:pPr>
        <w:widowControl/>
        <w:spacing w:line="360" w:lineRule="auto"/>
        <w:ind w:left="-708" w:leftChars="-338" w:hanging="2"/>
        <w:jc w:val="left"/>
        <w:rPr>
          <w:rFonts w:cs="宋体"/>
          <w:kern w:val="0"/>
          <w:sz w:val="24"/>
          <w:szCs w:val="24"/>
        </w:rPr>
      </w:pPr>
      <w:r>
        <w:rPr>
          <w:rFonts w:hint="eastAsia" w:cs="宋体"/>
          <w:kern w:val="0"/>
          <w:sz w:val="24"/>
          <w:szCs w:val="24"/>
        </w:rPr>
        <w:t>交货地点为：广西壮族自治区桂东人民医院</w:t>
      </w:r>
      <w:r>
        <w:rPr>
          <w:kern w:val="0"/>
          <w:sz w:val="24"/>
          <w:szCs w:val="24"/>
        </w:rPr>
        <w:t xml:space="preserve"> </w:t>
      </w:r>
      <w:r>
        <w:rPr>
          <w:kern w:val="0"/>
          <w:sz w:val="24"/>
          <w:szCs w:val="24"/>
          <w:u w:val="single"/>
        </w:rPr>
        <w:t xml:space="preserve"> </w:t>
      </w:r>
      <w:sdt>
        <w:sdtPr>
          <w:rPr>
            <w:kern w:val="0"/>
            <w:sz w:val="24"/>
            <w:szCs w:val="24"/>
            <w:u w:val="single"/>
          </w:rPr>
          <w:alias w:val="根据实际情况填写"/>
          <w:tag w:val="根据实际情况填写"/>
          <w:id w:val="1589662405"/>
          <w:placeholder>
            <w:docPart w:val="DefaultPlaceholder_-1854013440"/>
          </w:placeholder>
          <w15:color w:val="FF0000"/>
        </w:sdtPr>
        <w:sdtEndPr>
          <w:rPr>
            <w:kern w:val="0"/>
            <w:sz w:val="24"/>
            <w:szCs w:val="24"/>
            <w:u w:val="single"/>
          </w:rPr>
        </w:sdtEndPr>
        <w:sdtContent>
          <w:r>
            <w:rPr>
              <w:rFonts w:hint="eastAsia"/>
              <w:kern w:val="0"/>
              <w:sz w:val="24"/>
              <w:szCs w:val="24"/>
              <w:u w:val="single"/>
            </w:rPr>
            <w:t>指定地点</w:t>
          </w:r>
        </w:sdtContent>
      </w:sdt>
      <w:r>
        <w:rPr>
          <w:kern w:val="0"/>
          <w:sz w:val="24"/>
          <w:szCs w:val="24"/>
          <w:u w:val="single"/>
        </w:rPr>
        <w:t xml:space="preserve">     </w:t>
      </w:r>
      <w:r>
        <w:rPr>
          <w:kern w:val="0"/>
          <w:sz w:val="24"/>
          <w:szCs w:val="24"/>
        </w:rPr>
        <w:t xml:space="preserve">         </w:t>
      </w:r>
      <w:r>
        <w:rPr>
          <w:rFonts w:hint="eastAsia" w:cs="宋体"/>
          <w:kern w:val="0"/>
          <w:sz w:val="24"/>
          <w:szCs w:val="24"/>
        </w:rPr>
        <w:t>。</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四、付款方式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w:t>
      </w:r>
      <w:sdt>
        <w:sdtPr>
          <w:rPr>
            <w:rFonts w:hint="eastAsia" w:cs="宋体"/>
            <w:kern w:val="0"/>
            <w:sz w:val="24"/>
            <w:szCs w:val="24"/>
          </w:rPr>
          <w:alias w:val="根据实际情况修改"/>
          <w:tag w:val="根据实际情况修改"/>
          <w:id w:val="1199816932"/>
          <w:placeholder>
            <w:docPart w:val="DefaultPlaceholder_-1854013440"/>
          </w:placeholder>
          <w15:color w:val="FF0000"/>
        </w:sdtPr>
        <w:sdtEndPr>
          <w:rPr>
            <w:rFonts w:hint="eastAsia" w:cs="宋体"/>
            <w:color w:val="FF0000"/>
            <w:kern w:val="0"/>
            <w:sz w:val="24"/>
            <w:szCs w:val="24"/>
            <w:u w:val="single"/>
          </w:rPr>
        </w:sdtEndPr>
        <w:sdtContent>
          <w:r>
            <w:rPr>
              <w:rFonts w:cs="宋体"/>
              <w:color w:val="FF0000"/>
              <w:kern w:val="0"/>
              <w:sz w:val="24"/>
              <w:szCs w:val="24"/>
              <w:u w:val="single"/>
            </w:rPr>
            <w:t> </w:t>
          </w:r>
          <w:r>
            <w:rPr>
              <w:rFonts w:hint="eastAsia" w:cs="宋体"/>
              <w:color w:val="FF0000"/>
              <w:kern w:val="0"/>
              <w:sz w:val="24"/>
              <w:szCs w:val="24"/>
              <w:u w:val="single"/>
            </w:rPr>
            <w:t>90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hint="eastAsia" w:cs="宋体"/>
          <w:kern w:val="0"/>
          <w:sz w:val="24"/>
          <w:szCs w:val="24"/>
        </w:rPr>
        <w:t>，其余</w:t>
      </w:r>
      <w:r>
        <w:rPr>
          <w:rFonts w:cs="宋体"/>
          <w:color w:val="FF0000"/>
          <w:kern w:val="0"/>
          <w:sz w:val="24"/>
          <w:szCs w:val="24"/>
        </w:rPr>
        <w:t> </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525755077"/>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cs="宋体"/>
          <w:kern w:val="0"/>
          <w:sz w:val="24"/>
          <w:szCs w:val="24"/>
        </w:rPr>
        <w:t> </w:t>
      </w:r>
      <w:r>
        <w:rPr>
          <w:rFonts w:hint="eastAsia" w:cs="宋体"/>
          <w:kern w:val="0"/>
          <w:sz w:val="24"/>
          <w:szCs w:val="24"/>
        </w:rPr>
        <w:t>作为质保金，</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762253292"/>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w:t>
          </w:r>
        </w:sdtContent>
      </w:sdt>
      <w:r>
        <w:rPr>
          <w:rFonts w:cs="宋体"/>
          <w:color w:val="FF0000"/>
          <w:kern w:val="0"/>
          <w:sz w:val="24"/>
          <w:szCs w:val="24"/>
          <w:u w:val="single"/>
        </w:rPr>
        <w:t xml:space="preserve"> </w:t>
      </w:r>
      <w:r>
        <w:rPr>
          <w:rFonts w:hint="eastAsia" w:cs="宋体"/>
          <w:kern w:val="0"/>
          <w:sz w:val="24"/>
          <w:szCs w:val="24"/>
        </w:rPr>
        <w:t>年（根据项目特点定）内无质量问题后付清（无息）。</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五、合同签订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5</w:t>
          </w:r>
        </w:sdtContent>
      </w:sdt>
      <w:r>
        <w:rPr>
          <w:rFonts w:hint="eastAsia" w:cs="宋体"/>
          <w:kern w:val="0"/>
          <w:sz w:val="24"/>
          <w:szCs w:val="24"/>
        </w:rPr>
        <w:t>工作日内签订采购合同。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六、其他</w:t>
      </w:r>
    </w:p>
    <w:sdt>
      <w:sdtPr>
        <w:alias w:val="可添加特殊要求事项"/>
        <w:tag w:val="可添加特殊要求事项"/>
        <w:id w:val="455912131"/>
        <w:placeholder>
          <w:docPart w:val="DefaultPlaceholder_-1854013440"/>
        </w:placeholder>
        <w:showingPlcHdr/>
        <w15:color w:val="FF0000"/>
      </w:sdtPr>
      <w:sdtContent>
        <w:p>
          <w:pPr>
            <w:pStyle w:val="2"/>
          </w:pPr>
          <w:r>
            <w:rPr>
              <w:rStyle w:val="21"/>
            </w:rPr>
            <w:t>单击或点击此处输入文字。</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七、特别说明</w:t>
      </w:r>
    </w:p>
    <w:sdt>
      <w:sdtPr>
        <w:rPr>
          <w:rFonts w:cs="宋体"/>
          <w:kern w:val="0"/>
          <w:sz w:val="24"/>
          <w:szCs w:val="24"/>
        </w:rPr>
        <w:alias w:val="选填"/>
        <w:tag w:val="选填"/>
        <w:id w:val="50653589"/>
        <w:placeholder>
          <w:docPart w:val="DefaultPlaceholder_-1854013440"/>
        </w:placeholder>
        <w15:color w:val="FF0000"/>
      </w:sdtPr>
      <w:sdtEndPr>
        <w:rPr>
          <w:rFonts w:hint="eastAsia" w:cs="宋体"/>
          <w:kern w:val="0"/>
          <w:sz w:val="24"/>
          <w:szCs w:val="24"/>
        </w:rPr>
      </w:sdtEndPr>
      <w:sdtContent>
        <w:p>
          <w:pPr>
            <w:widowControl/>
            <w:spacing w:line="400" w:lineRule="exact"/>
            <w:ind w:left="-708" w:leftChars="-338" w:hanging="2"/>
            <w:jc w:val="left"/>
            <w:rPr>
              <w:rFonts w:cs="宋体"/>
              <w:kern w:val="0"/>
              <w:sz w:val="24"/>
              <w:szCs w:val="24"/>
            </w:rPr>
          </w:pPr>
          <w:r>
            <w:rPr>
              <w:rFonts w:cs="宋体"/>
              <w:kern w:val="0"/>
              <w:sz w:val="24"/>
              <w:szCs w:val="24"/>
            </w:rPr>
            <w:t>.1</w:t>
          </w: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sdtContent>
    </w:sdt>
    <w:p>
      <w:pPr>
        <w:widowControl/>
        <w:spacing w:line="400" w:lineRule="exact"/>
        <w:ind w:left="-708" w:leftChars="-338" w:hanging="2"/>
        <w:jc w:val="left"/>
        <w:rPr>
          <w:rFonts w:cs="宋体"/>
          <w:kern w:val="0"/>
          <w:sz w:val="24"/>
          <w:szCs w:val="24"/>
        </w:rPr>
      </w:pPr>
      <w:r>
        <w:rPr>
          <w:rFonts w:hint="eastAsia" w:cs="宋体"/>
          <w:kern w:val="0"/>
          <w:sz w:val="24"/>
          <w:szCs w:val="24"/>
        </w:rPr>
        <w:t>2</w:t>
      </w:r>
      <w:r>
        <w:rPr>
          <w:rFonts w:cs="宋体"/>
          <w:kern w:val="0"/>
          <w:sz w:val="24"/>
          <w:szCs w:val="24"/>
        </w:rPr>
        <w:t>…….</w:t>
      </w:r>
      <w:r>
        <w:rPr>
          <w:rFonts w:cs="宋体"/>
          <w:kern w:val="0"/>
          <w:sz w:val="24"/>
          <w:szCs w:val="24"/>
        </w:rPr>
        <w:br w:type="textWrapping" w:clear="all"/>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15:color w:val="FF0000"/>
        </w:sdtPr>
        <w:sdtEndPr>
          <w:rPr>
            <w:rFonts w:hint="eastAsia" w:cs="宋体"/>
            <w:kern w:val="0"/>
            <w:sz w:val="24"/>
            <w:szCs w:val="24"/>
            <w:u w:val="single"/>
          </w:rPr>
        </w:sdtEndPr>
        <w:sdtContent>
          <w:r>
            <w:rPr>
              <w:rFonts w:hint="eastAsia"/>
            </w:rPr>
            <w:t>综合评分法</w:t>
          </w:r>
        </w:sdtContent>
      </w:sdt>
      <w:r>
        <w:rPr>
          <w:rFonts w:cs="宋体"/>
          <w:kern w:val="0"/>
          <w:sz w:val="24"/>
          <w:szCs w:val="24"/>
          <w:u w:val="single"/>
        </w:rPr>
        <w:t xml:space="preserve">  </w:t>
      </w:r>
      <w:r>
        <w:rPr>
          <w:rFonts w:hint="eastAsia" w:cs="宋体"/>
          <w:kern w:val="0"/>
          <w:sz w:val="24"/>
          <w:szCs w:val="24"/>
        </w:rPr>
        <w:t>确定中标候选人。</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二、评分标准</w:t>
      </w:r>
    </w:p>
    <w:p>
      <w:pPr>
        <w:widowControl/>
        <w:spacing w:line="360" w:lineRule="auto"/>
        <w:ind w:firstLine="482" w:firstLineChars="200"/>
        <w:jc w:val="left"/>
        <w:rPr>
          <w:kern w:val="0"/>
          <w:sz w:val="24"/>
          <w:szCs w:val="24"/>
        </w:rPr>
      </w:pPr>
      <w:r>
        <w:rPr>
          <w:rFonts w:hint="eastAsia" w:cs="宋体"/>
          <w:b/>
          <w:bCs/>
          <w:kern w:val="0"/>
          <w:sz w:val="24"/>
          <w:szCs w:val="24"/>
        </w:rPr>
        <w:t>本项目评分总分值为</w:t>
      </w:r>
      <w:r>
        <w:rPr>
          <w:b/>
          <w:bCs/>
          <w:kern w:val="0"/>
          <w:sz w:val="24"/>
          <w:szCs w:val="24"/>
        </w:rPr>
        <w:t>100</w:t>
      </w:r>
      <w:r>
        <w:rPr>
          <w:rFonts w:hint="eastAsia" w:cs="宋体"/>
          <w:b/>
          <w:bCs/>
          <w:kern w:val="0"/>
          <w:sz w:val="24"/>
          <w:szCs w:val="24"/>
        </w:rPr>
        <w:t>分。</w:t>
      </w:r>
    </w:p>
    <w:p>
      <w:pPr>
        <w:widowControl/>
        <w:numPr>
          <w:ilvl w:val="0"/>
          <w:numId w:val="2"/>
        </w:numPr>
        <w:spacing w:line="360" w:lineRule="auto"/>
        <w:ind w:firstLine="482" w:firstLineChars="200"/>
        <w:jc w:val="left"/>
        <w:rPr>
          <w:rFonts w:cs="宋体"/>
          <w:b/>
          <w:bCs/>
          <w:kern w:val="0"/>
          <w:sz w:val="24"/>
          <w:szCs w:val="24"/>
        </w:rPr>
      </w:pPr>
      <w:r>
        <w:rPr>
          <w:rFonts w:hint="eastAsia" w:cs="宋体"/>
          <w:b/>
          <w:bCs/>
          <w:kern w:val="0"/>
          <w:sz w:val="24"/>
          <w:szCs w:val="24"/>
        </w:rPr>
        <w:t>投标报价分（</w:t>
      </w:r>
      <w:r>
        <w:rPr>
          <w:rFonts w:cs="宋体"/>
          <w:kern w:val="0"/>
          <w:sz w:val="24"/>
          <w:szCs w:val="24"/>
        </w:rPr>
        <w:t>X</w:t>
      </w:r>
      <w:r>
        <w:rPr>
          <w:rFonts w:hint="eastAsia" w:cs="宋体"/>
          <w:b/>
          <w:bCs/>
          <w:kern w:val="0"/>
          <w:sz w:val="24"/>
          <w:szCs w:val="24"/>
        </w:rPr>
        <w:t>分）</w:t>
      </w:r>
    </w:p>
    <w:p>
      <w:pPr>
        <w:widowControl/>
        <w:spacing w:line="360" w:lineRule="auto"/>
        <w:ind w:left="482"/>
        <w:jc w:val="left"/>
        <w:rPr>
          <w:bCs/>
          <w:kern w:val="0"/>
          <w:sz w:val="24"/>
        </w:rPr>
      </w:pPr>
      <w:r>
        <w:rPr>
          <w:b/>
          <w:kern w:val="0"/>
          <w:sz w:val="24"/>
        </w:rPr>
        <w:t>1.1</w:t>
      </w:r>
      <w:r>
        <w:rPr>
          <w:bCs/>
          <w:kern w:val="0"/>
          <w:sz w:val="24"/>
        </w:rPr>
        <w:t>投标报价超过项目预算的</w:t>
      </w:r>
      <w:r>
        <w:rPr>
          <w:rFonts w:hint="eastAsia"/>
          <w:bCs/>
          <w:kern w:val="0"/>
          <w:sz w:val="24"/>
        </w:rPr>
        <w:t>计为0分，列为无效投标</w:t>
      </w:r>
      <w:r>
        <w:rPr>
          <w:bCs/>
          <w:kern w:val="0"/>
          <w:sz w:val="24"/>
        </w:rPr>
        <w:t>。</w:t>
      </w:r>
    </w:p>
    <w:p>
      <w:pPr>
        <w:widowControl/>
        <w:spacing w:line="360" w:lineRule="auto"/>
        <w:ind w:firstLine="482" w:firstLineChars="200"/>
        <w:jc w:val="left"/>
        <w:rPr>
          <w:kern w:val="0"/>
          <w:sz w:val="24"/>
        </w:rPr>
      </w:pPr>
      <w:r>
        <w:rPr>
          <w:b/>
          <w:bCs/>
          <w:kern w:val="0"/>
          <w:sz w:val="24"/>
        </w:rPr>
        <w:t xml:space="preserve">1.2 </w:t>
      </w:r>
      <w:r>
        <w:rPr>
          <w:kern w:val="0"/>
          <w:sz w:val="24"/>
        </w:rPr>
        <w:t>以有效投标中最低的报价为评标基准价，其价格分为满分。</w:t>
      </w:r>
    </w:p>
    <w:p>
      <w:pPr>
        <w:widowControl/>
        <w:spacing w:line="360" w:lineRule="auto"/>
        <w:ind w:firstLine="482" w:firstLineChars="200"/>
        <w:jc w:val="left"/>
        <w:rPr>
          <w:kern w:val="0"/>
          <w:sz w:val="24"/>
        </w:rPr>
      </w:pPr>
      <w:r>
        <w:rPr>
          <w:b/>
          <w:bCs/>
          <w:kern w:val="0"/>
          <w:sz w:val="24"/>
        </w:rPr>
        <w:t xml:space="preserve">1.3 </w:t>
      </w:r>
      <w:r>
        <w:rPr>
          <w:kern w:val="0"/>
          <w:sz w:val="24"/>
        </w:rPr>
        <w:t>各</w:t>
      </w:r>
      <w:r>
        <w:rPr>
          <w:rFonts w:hint="eastAsia"/>
          <w:kern w:val="0"/>
          <w:sz w:val="24"/>
        </w:rPr>
        <w:t>有效</w:t>
      </w:r>
      <w:r>
        <w:rPr>
          <w:kern w:val="0"/>
          <w:sz w:val="24"/>
        </w:rPr>
        <w:t>投标人的投标报价得分按照下列公式计算：</w:t>
      </w:r>
    </w:p>
    <w:p>
      <w:pPr>
        <w:pStyle w:val="2"/>
        <w:ind w:firstLine="480" w:firstLineChars="200"/>
      </w:pPr>
      <w:r>
        <w:t>投标报价得分=（评标基准价÷投标报价）×</w:t>
      </w:r>
      <w:r>
        <w:rPr>
          <w:rFonts w:hint="eastAsia" w:cs="宋体"/>
          <w:color w:val="auto"/>
        </w:rPr>
        <w:t>X</w:t>
      </w:r>
      <w:r>
        <w:t>（计算结果四舍五入，保留两位小数）</w:t>
      </w:r>
    </w:p>
    <w:p>
      <w:pPr>
        <w:pStyle w:val="2"/>
        <w:ind w:firstLine="480" w:firstLineChars="200"/>
      </w:pPr>
      <w:r>
        <w:rPr>
          <w:rFonts w:hint="eastAsia"/>
        </w:rPr>
        <w:t>1.4货物类报价分区间为30-60分</w:t>
      </w:r>
    </w:p>
    <w:p>
      <w:pPr>
        <w:pStyle w:val="2"/>
        <w:ind w:firstLine="480" w:firstLineChars="200"/>
      </w:pPr>
      <w:r>
        <w:rPr>
          <w:rFonts w:hint="eastAsia"/>
        </w:rPr>
        <w:t>1.5服务类报价分区间为10-30分</w:t>
      </w:r>
    </w:p>
    <w:p>
      <w:pPr>
        <w:widowControl/>
        <w:spacing w:line="360" w:lineRule="auto"/>
        <w:ind w:firstLine="482" w:firstLineChars="200"/>
        <w:jc w:val="left"/>
        <w:rPr>
          <w:rFonts w:cs="宋体"/>
          <w:b/>
          <w:bCs/>
          <w:kern w:val="0"/>
          <w:sz w:val="24"/>
          <w:szCs w:val="24"/>
        </w:rPr>
      </w:pPr>
      <w:r>
        <w:rPr>
          <w:b/>
          <w:bCs/>
          <w:kern w:val="0"/>
          <w:sz w:val="24"/>
          <w:szCs w:val="24"/>
        </w:rPr>
        <w:t xml:space="preserve">2. </w:t>
      </w:r>
      <w:r>
        <w:rPr>
          <w:rFonts w:hint="eastAsia" w:cs="宋体"/>
          <w:b/>
          <w:bCs/>
          <w:kern w:val="0"/>
          <w:sz w:val="24"/>
          <w:szCs w:val="24"/>
        </w:rPr>
        <w:t>技术质量分（</w:t>
      </w:r>
      <w:r>
        <w:rPr>
          <w:rFonts w:cs="宋体"/>
          <w:kern w:val="0"/>
          <w:sz w:val="24"/>
          <w:szCs w:val="24"/>
        </w:rPr>
        <w:t>Y</w:t>
      </w:r>
      <w:r>
        <w:rPr>
          <w:rFonts w:hint="eastAsia" w:cs="宋体"/>
          <w:b/>
          <w:bCs/>
          <w:kern w:val="0"/>
          <w:sz w:val="24"/>
          <w:szCs w:val="24"/>
        </w:rPr>
        <w:t>分）</w:t>
      </w:r>
    </w:p>
    <w:p>
      <w:pPr>
        <w:pStyle w:val="2"/>
      </w:pPr>
      <w:r>
        <w:rPr>
          <w:rFonts w:hint="eastAsia"/>
        </w:rPr>
        <w:t xml:space="preserve"> </w:t>
      </w:r>
      <w:r>
        <w:t xml:space="preserve">   </w:t>
      </w:r>
      <w:r>
        <w:rPr>
          <w:rFonts w:hint="eastAsia"/>
        </w:rPr>
        <w:t>2.1考察投标人产品技术参数、性能要求、功能特性等响应及偏离情况</w:t>
      </w:r>
    </w:p>
    <w:p>
      <w:pPr>
        <w:pStyle w:val="2"/>
        <w:ind w:firstLine="480" w:firstLineChars="200"/>
      </w:pPr>
      <w:r>
        <w:rPr>
          <w:rFonts w:hint="eastAsia"/>
        </w:rPr>
        <w:t>2.2区间为20-30分</w:t>
      </w:r>
    </w:p>
    <w:p>
      <w:pPr>
        <w:widowControl/>
        <w:spacing w:line="360" w:lineRule="auto"/>
        <w:ind w:firstLine="482" w:firstLineChars="200"/>
        <w:jc w:val="left"/>
        <w:rPr>
          <w:rFonts w:cs="宋体"/>
          <w:b/>
          <w:bCs/>
          <w:kern w:val="0"/>
          <w:sz w:val="24"/>
          <w:szCs w:val="24"/>
        </w:rPr>
      </w:pPr>
      <w:r>
        <w:rPr>
          <w:b/>
          <w:bCs/>
          <w:kern w:val="0"/>
          <w:sz w:val="24"/>
          <w:szCs w:val="24"/>
        </w:rPr>
        <w:t xml:space="preserve">3. </w:t>
      </w:r>
      <w:r>
        <w:rPr>
          <w:rFonts w:hint="eastAsia" w:cs="宋体"/>
          <w:b/>
          <w:bCs/>
          <w:kern w:val="0"/>
          <w:sz w:val="24"/>
          <w:szCs w:val="24"/>
        </w:rPr>
        <w:t>售后服务分</w:t>
      </w:r>
    </w:p>
    <w:p>
      <w:pPr>
        <w:pStyle w:val="2"/>
        <w:ind w:firstLine="480" w:firstLineChars="200"/>
      </w:pPr>
      <w:r>
        <w:rPr>
          <w:rFonts w:hint="eastAsia"/>
        </w:rPr>
        <w:t>3.1考察投标人的服务方案、售后服务承诺、投入人员、更长保修期等情况</w:t>
      </w:r>
    </w:p>
    <w:p>
      <w:pPr>
        <w:pStyle w:val="2"/>
        <w:ind w:firstLine="480" w:firstLineChars="200"/>
      </w:pPr>
      <w:r>
        <w:rPr>
          <w:rFonts w:hint="eastAsia"/>
        </w:rPr>
        <w:t>3.2区间为10-20分</w:t>
      </w:r>
    </w:p>
    <w:p>
      <w:pPr>
        <w:pStyle w:val="2"/>
        <w:ind w:firstLine="482" w:firstLineChars="200"/>
        <w:rPr>
          <w:b/>
          <w:bCs/>
        </w:rPr>
      </w:pPr>
      <w:r>
        <w:rPr>
          <w:rFonts w:hint="eastAsia"/>
          <w:b/>
          <w:bCs/>
        </w:rPr>
        <w:t>4.履约能力分</w:t>
      </w:r>
    </w:p>
    <w:p>
      <w:pPr>
        <w:pStyle w:val="2"/>
        <w:ind w:firstLine="480" w:firstLineChars="200"/>
      </w:pPr>
      <w:r>
        <w:rPr>
          <w:rFonts w:hint="eastAsia"/>
        </w:rPr>
        <w:t>4.1考察投标人的信誉业绩、相关资质、认证证书等情况4.2</w:t>
      </w:r>
    </w:p>
    <w:p>
      <w:pPr>
        <w:pStyle w:val="2"/>
        <w:ind w:firstLine="480" w:firstLineChars="200"/>
      </w:pPr>
      <w:r>
        <w:rPr>
          <w:rFonts w:hint="eastAsia"/>
        </w:rPr>
        <w:t>4.2区间5-15分</w:t>
      </w:r>
    </w:p>
    <w:p>
      <w:pPr>
        <w:pStyle w:val="2"/>
        <w:ind w:firstLine="482" w:firstLineChars="200"/>
        <w:rPr>
          <w:b/>
          <w:bCs/>
        </w:rPr>
      </w:pPr>
      <w:r>
        <w:rPr>
          <w:rFonts w:hint="eastAsia"/>
          <w:b/>
          <w:bCs/>
        </w:rPr>
        <w:t>5.产品特性分</w:t>
      </w:r>
    </w:p>
    <w:p>
      <w:pPr>
        <w:pStyle w:val="2"/>
        <w:ind w:firstLine="480" w:firstLineChars="200"/>
      </w:pPr>
      <w:r>
        <w:rPr>
          <w:rFonts w:hint="eastAsia"/>
        </w:rPr>
        <w:t>5.1主要考察投标人产品的节能环保认证等情况</w:t>
      </w:r>
    </w:p>
    <w:p>
      <w:pPr>
        <w:pStyle w:val="2"/>
        <w:ind w:firstLine="480" w:firstLineChars="200"/>
      </w:pPr>
      <w:r>
        <w:rPr>
          <w:rFonts w:hint="eastAsia"/>
        </w:rPr>
        <w:t>5.2区间1-3分</w:t>
      </w:r>
    </w:p>
    <w:p>
      <w:pPr>
        <w:pStyle w:val="2"/>
        <w:ind w:firstLine="482" w:firstLineChars="200"/>
        <w:rPr>
          <w:b/>
          <w:bCs/>
        </w:rPr>
      </w:pPr>
      <w:r>
        <w:rPr>
          <w:rFonts w:hint="eastAsia"/>
          <w:b/>
          <w:bCs/>
        </w:rPr>
        <w:t>6.其他分值</w:t>
      </w:r>
    </w:p>
    <w:p>
      <w:pPr>
        <w:pStyle w:val="2"/>
        <w:ind w:firstLine="480" w:firstLineChars="200"/>
      </w:pPr>
      <w:r>
        <w:rPr>
          <w:rFonts w:hint="eastAsia"/>
        </w:rPr>
        <w:t>6.1包括演示、样品或招标人认为需要的其他评分项目</w:t>
      </w:r>
    </w:p>
    <w:p>
      <w:pPr>
        <w:pStyle w:val="2"/>
        <w:ind w:firstLine="480" w:firstLineChars="200"/>
      </w:pPr>
      <w:r>
        <w:rPr>
          <w:rFonts w:hint="eastAsia"/>
        </w:rPr>
        <w:t>6.2区间10-15分</w:t>
      </w:r>
    </w:p>
    <w:p>
      <w:pPr>
        <w:pStyle w:val="2"/>
        <w:ind w:firstLine="480" w:firstLineChars="200"/>
      </w:pPr>
      <w:r>
        <w:rPr>
          <w:rFonts w:hint="eastAsia" w:cs="宋体"/>
        </w:rPr>
        <w:t>附件：评分模板</w:t>
      </w:r>
    </w:p>
    <w:sdt>
      <w:sdtPr>
        <w:rPr>
          <w:rFonts w:hint="eastAsia" w:ascii="宋体" w:hAnsi="宋体" w:cs="宋体"/>
          <w:color w:val="000000"/>
          <w:kern w:val="0"/>
          <w:sz w:val="24"/>
          <w:szCs w:val="24"/>
        </w:rPr>
        <w:id w:val="2068989185"/>
        <w:placeholder>
          <w:docPart w:val="DefaultPlaceholder_-1854013440"/>
        </w:placeholder>
      </w:sdtPr>
      <w:sdtEndPr>
        <w:rPr>
          <w:rFonts w:hint="eastAsia" w:ascii="宋体" w:hAnsi="宋体" w:cs="宋体"/>
          <w:color w:val="000000"/>
          <w:kern w:val="0"/>
          <w:sz w:val="24"/>
          <w:szCs w:val="24"/>
        </w:rPr>
      </w:sdtEndPr>
      <w:sdtContent>
        <w:tbl>
          <w:tblPr>
            <w:tblStyle w:val="9"/>
            <w:tblW w:w="9624"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6409"/>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09" w:type="dxa"/>
                <w:vAlign w:val="center"/>
              </w:tcPr>
              <w:p>
                <w:pPr>
                  <w:spacing w:line="280" w:lineRule="exact"/>
                  <w:rPr>
                    <w:rFonts w:ascii="宋体" w:hAnsi="宋体" w:cs="宋体"/>
                  </w:rPr>
                </w:pPr>
                <w:r>
                  <w:rPr>
                    <w:rFonts w:hint="eastAsia" w:ascii="宋体" w:hAnsi="宋体" w:cs="宋体"/>
                  </w:rPr>
                  <w:t>序号</w:t>
                </w:r>
              </w:p>
            </w:tc>
            <w:tc>
              <w:tcPr>
                <w:tcW w:w="1418" w:type="dxa"/>
                <w:vAlign w:val="center"/>
              </w:tcPr>
              <w:p>
                <w:pPr>
                  <w:spacing w:line="280" w:lineRule="exact"/>
                  <w:rPr>
                    <w:rFonts w:ascii="宋体" w:hAnsi="宋体" w:cs="宋体"/>
                  </w:rPr>
                </w:pPr>
                <w:r>
                  <w:rPr>
                    <w:rFonts w:hint="eastAsia" w:ascii="宋体" w:hAnsi="宋体" w:cs="宋体"/>
                  </w:rPr>
                  <w:t>评分内容</w:t>
                </w:r>
              </w:p>
            </w:tc>
            <w:tc>
              <w:tcPr>
                <w:tcW w:w="6409" w:type="dxa"/>
                <w:vAlign w:val="center"/>
              </w:tcPr>
              <w:p>
                <w:pPr>
                  <w:spacing w:line="280" w:lineRule="exact"/>
                  <w:rPr>
                    <w:rFonts w:ascii="宋体" w:hAnsi="宋体" w:cs="宋体"/>
                  </w:rPr>
                </w:pPr>
                <w:r>
                  <w:rPr>
                    <w:rFonts w:hint="eastAsia" w:ascii="宋体" w:hAnsi="宋体" w:cs="宋体"/>
                  </w:rPr>
                  <w:t>评分标准</w:t>
                </w:r>
              </w:p>
            </w:tc>
            <w:tc>
              <w:tcPr>
                <w:tcW w:w="1088" w:type="dxa"/>
                <w:vAlign w:val="center"/>
              </w:tcPr>
              <w:p>
                <w:pPr>
                  <w:spacing w:line="280" w:lineRule="exact"/>
                  <w:rPr>
                    <w:rFonts w:ascii="宋体" w:hAnsi="宋体" w:cs="宋体"/>
                  </w:rPr>
                </w:pPr>
                <w:r>
                  <w:rPr>
                    <w:rFonts w:hint="eastAsia" w:ascii="宋体" w:hAnsi="宋体" w:cs="宋体"/>
                  </w:rPr>
                  <w:t>最高得分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09" w:type="dxa"/>
                <w:vAlign w:val="center"/>
              </w:tcPr>
              <w:p>
                <w:pPr>
                  <w:spacing w:line="280" w:lineRule="exact"/>
                  <w:rPr>
                    <w:rFonts w:ascii="宋体" w:hAnsi="宋体" w:cs="宋体"/>
                  </w:rPr>
                </w:pPr>
                <w:r>
                  <w:rPr>
                    <w:rFonts w:hint="eastAsia" w:ascii="宋体" w:hAnsi="宋体" w:cs="宋体"/>
                  </w:rPr>
                  <w:t>一</w:t>
                </w:r>
              </w:p>
            </w:tc>
            <w:tc>
              <w:tcPr>
                <w:tcW w:w="1418" w:type="dxa"/>
                <w:vAlign w:val="center"/>
              </w:tcPr>
              <w:p>
                <w:pPr>
                  <w:spacing w:line="280" w:lineRule="exact"/>
                  <w:rPr>
                    <w:rFonts w:ascii="宋体" w:hAnsi="宋体" w:cs="宋体"/>
                  </w:rPr>
                </w:pPr>
                <w:r>
                  <w:rPr>
                    <w:rFonts w:hint="eastAsia" w:ascii="宋体" w:hAnsi="宋体" w:cs="宋体"/>
                  </w:rPr>
                  <w:t>投标报价分</w:t>
                </w:r>
              </w:p>
              <w:p>
                <w:pPr>
                  <w:pStyle w:val="2"/>
                </w:pPr>
                <w:r>
                  <w:rPr>
                    <w:rFonts w:hint="eastAsia"/>
                  </w:rPr>
                  <w:t>（30分）</w:t>
                </w:r>
              </w:p>
            </w:tc>
            <w:tc>
              <w:tcPr>
                <w:tcW w:w="6409" w:type="dxa"/>
                <w:vAlign w:val="center"/>
              </w:tcPr>
              <w:p>
                <w:pPr>
                  <w:snapToGrid w:val="0"/>
                  <w:spacing w:line="240" w:lineRule="atLeast"/>
                  <w:rPr>
                    <w:rFonts w:hAnsi="宋体"/>
                    <w:bCs/>
                  </w:rPr>
                </w:pPr>
                <w:r>
                  <w:rPr>
                    <w:rFonts w:hint="eastAsia" w:hAnsi="宋体"/>
                    <w:bCs/>
                  </w:rPr>
                  <w:t>（</w:t>
                </w:r>
                <w:r>
                  <w:rPr>
                    <w:rFonts w:hAnsi="宋体"/>
                    <w:bCs/>
                  </w:rPr>
                  <w:t>1</w:t>
                </w:r>
                <w:r>
                  <w:rPr>
                    <w:rFonts w:hint="eastAsia" w:hAnsi="宋体"/>
                    <w:bCs/>
                  </w:rPr>
                  <w:t>）评标价为投标人的投标报价进行政策性扣除后的价格，评标价只是作为评标时使用。最终中标人的中标金额＝投标报价。</w:t>
                </w:r>
              </w:p>
              <w:p>
                <w:pPr>
                  <w:pStyle w:val="4"/>
                  <w:spacing w:line="400" w:lineRule="exact"/>
                  <w:outlineLvl w:val="0"/>
                  <w:rPr>
                    <w:rFonts w:ascii="新宋体" w:hAnsi="新宋体" w:eastAsia="新宋体" w:cs="新宋体"/>
                    <w:color w:val="000000"/>
                  </w:rPr>
                </w:pPr>
                <w:r>
                  <w:rPr>
                    <w:rFonts w:hint="eastAsia" w:hAnsi="宋体"/>
                    <w:bCs/>
                  </w:rPr>
                  <w:t>（2）</w:t>
                </w:r>
                <w:r>
                  <w:rPr>
                    <w:rStyle w:val="18"/>
                    <w:rFonts w:hint="default" w:ascii="新宋体" w:hAnsi="新宋体" w:eastAsia="新宋体" w:cs="新宋体"/>
                  </w:rPr>
                  <w:t>价格分应当采用低价优先法计算，即满足磋商</w:t>
                </w:r>
                <w:bookmarkStart w:id="0" w:name="_Toc3729"/>
                <w:bookmarkStart w:id="1" w:name="_Toc24090"/>
                <w:r>
                  <w:rPr>
                    <w:rStyle w:val="18"/>
                    <w:rFonts w:hint="default" w:ascii="新宋体" w:hAnsi="新宋体" w:eastAsia="新宋体" w:cs="新宋体"/>
                  </w:rPr>
                  <w:t>文件要求且磋商价格最低的磋商报价为评标基价，其价格分为满分。其他投标人的价格分统一按照下列公示计算：</w:t>
                </w:r>
                <w:bookmarkEnd w:id="0"/>
                <w:bookmarkEnd w:id="1"/>
              </w:p>
              <w:p>
                <w:pPr>
                  <w:pStyle w:val="4"/>
                  <w:spacing w:line="400" w:lineRule="exact"/>
                  <w:ind w:left="241" w:hanging="241" w:hangingChars="100"/>
                  <w:outlineLvl w:val="0"/>
                  <w:rPr>
                    <w:rFonts w:hAnsi="宋体" w:cs="宋体"/>
                  </w:rPr>
                </w:pPr>
                <w:bookmarkStart w:id="2" w:name="_Toc18720"/>
                <w:bookmarkStart w:id="3" w:name="_Toc19127"/>
                <w:r>
                  <w:rPr>
                    <w:rStyle w:val="18"/>
                    <w:rFonts w:hint="default" w:ascii="新宋体" w:hAnsi="新宋体" w:eastAsia="新宋体" w:cs="新宋体"/>
                    <w:b/>
                  </w:rPr>
                  <w:t>磋商报价得分=（评标基准价/磋商报价）×</w:t>
                </w:r>
                <w:bookmarkEnd w:id="2"/>
                <w:bookmarkEnd w:id="3"/>
                <w:r>
                  <w:rPr>
                    <w:rStyle w:val="18"/>
                    <w:rFonts w:hint="default" w:ascii="新宋体" w:hAnsi="新宋体" w:eastAsia="新宋体" w:cs="新宋体"/>
                    <w:b/>
                    <w:highlight w:val="yellow"/>
                  </w:rPr>
                  <w:t>投标报价分</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09" w:type="dxa"/>
                <w:vAlign w:val="center"/>
              </w:tcPr>
              <w:p>
                <w:pPr>
                  <w:spacing w:line="280" w:lineRule="exact"/>
                  <w:rPr>
                    <w:rFonts w:ascii="宋体" w:hAnsi="宋体" w:cs="宋体"/>
                  </w:rPr>
                </w:pPr>
                <w:r>
                  <w:rPr>
                    <w:rFonts w:hint="eastAsia" w:ascii="宋体" w:hAnsi="宋体" w:cs="宋体"/>
                  </w:rPr>
                  <w:t>二</w:t>
                </w:r>
              </w:p>
            </w:tc>
            <w:tc>
              <w:tcPr>
                <w:tcW w:w="1418" w:type="dxa"/>
                <w:vAlign w:val="center"/>
              </w:tcPr>
              <w:p>
                <w:pPr>
                  <w:spacing w:line="280" w:lineRule="exact"/>
                  <w:rPr>
                    <w:rFonts w:ascii="宋体" w:hAnsi="宋体" w:cs="宋体"/>
                  </w:rPr>
                </w:pPr>
                <w:r>
                  <w:rPr>
                    <w:rFonts w:hint="eastAsia" w:ascii="宋体" w:hAnsi="宋体" w:cs="宋体"/>
                  </w:rPr>
                  <w:t>技术分（</w:t>
                </w:r>
                <w:r>
                  <w:rPr>
                    <w:rFonts w:hint="eastAsia"/>
                  </w:rPr>
                  <w:t>45</w:t>
                </w:r>
                <w:r>
                  <w:rPr>
                    <w:rFonts w:hint="eastAsia" w:ascii="宋体" w:hAnsi="宋体" w:cs="宋体"/>
                  </w:rPr>
                  <w:t>分）</w:t>
                </w:r>
              </w:p>
            </w:tc>
            <w:tc>
              <w:tcPr>
                <w:tcW w:w="6409" w:type="dxa"/>
                <w:vAlign w:val="center"/>
              </w:tcPr>
              <w:p>
                <w:pPr>
                  <w:spacing w:line="280" w:lineRule="exact"/>
                </w:pPr>
                <w:r>
                  <w:rPr>
                    <w:rFonts w:hint="eastAsia"/>
                  </w:rPr>
                  <w:t>1.基本分：30分</w:t>
                </w:r>
              </w:p>
              <w:p>
                <w:pPr>
                  <w:spacing w:line="280" w:lineRule="exact"/>
                </w:pPr>
                <w:r>
                  <w:t>打★号重要参数不得有负偏离，如有，则废标；投标产品参数完全符合招标文件要求的得30分，</w:t>
                </w:r>
                <w:r>
                  <w:rPr>
                    <w:rFonts w:hint="eastAsia"/>
                  </w:rPr>
                  <w:t>打▲为重要参数，如有负偏离或漏项，每项扣5分；</w:t>
                </w:r>
                <w:r>
                  <w:t>一般参数有负偏离或漏项的每项扣3分，最多扣完本项分值。</w:t>
                </w:r>
                <w:bookmarkStart w:id="4" w:name="_GoBack"/>
                <w:bookmarkEnd w:id="4"/>
              </w:p>
              <w:p>
                <w:pPr>
                  <w:pStyle w:val="2"/>
                  <w:rPr>
                    <w:sz w:val="21"/>
                    <w:szCs w:val="21"/>
                  </w:rPr>
                </w:pPr>
                <w:r>
                  <w:rPr>
                    <w:rFonts w:hint="eastAsia"/>
                  </w:rPr>
                  <w:t>2.</w:t>
                </w:r>
                <w:r>
                  <w:t>货物性能分： 15分</w:t>
                </w:r>
              </w:p>
              <w:p>
                <w:pPr>
                  <w:pStyle w:val="2"/>
                  <w:rPr>
                    <w:sz w:val="21"/>
                    <w:szCs w:val="21"/>
                  </w:rPr>
                </w:pPr>
                <w:r>
                  <w:t>投标产品参数符合招标文件要求，无正偏离项，也无负偏离项的，得5分；</w:t>
                </w:r>
              </w:p>
              <w:p>
                <w:pPr>
                  <w:pStyle w:val="2"/>
                  <w:rPr>
                    <w:sz w:val="21"/>
                    <w:szCs w:val="21"/>
                  </w:rPr>
                </w:pPr>
                <w:r>
                  <w:t>投标产品参数符合招标文件要求，无负偏离项，有1-3项参数为正偏离项的得10分</w:t>
                </w:r>
              </w:p>
              <w:p>
                <w:pPr>
                  <w:pStyle w:val="2"/>
                  <w:rPr>
                    <w:sz w:val="21"/>
                    <w:szCs w:val="21"/>
                  </w:rPr>
                </w:pPr>
                <w:r>
                  <w:t>投标产品参数符合招标文件要求，无负偏离项，有4项或以上项参数为正偏离项的得15分；</w:t>
                </w:r>
              </w:p>
              <w:p>
                <w:r>
                  <w:t>所有参数有优于招标文件参数要求的，投标人须要</w:t>
                </w:r>
                <w:r>
                  <w:rPr>
                    <w:rFonts w:hint="eastAsia"/>
                  </w:rPr>
                  <w:t>在</w:t>
                </w:r>
                <w:r>
                  <w:t>投标文件中提供投标产品的彩页或第三方检测机构出具的检测报告复印件或生产厂家出具的盖章证明文件复印件（注：国产产品必须由生产厂家出具，进口产品可由生产厂家或国内总代理商出具）等证明材料作为佐证，否则评标委员会有权不予认可。</w:t>
                </w:r>
              </w:p>
            </w:tc>
            <w:tc>
              <w:tcPr>
                <w:tcW w:w="1088" w:type="dxa"/>
                <w:vAlign w:val="center"/>
              </w:tcPr>
              <w:p>
                <w:pPr>
                  <w:tabs>
                    <w:tab w:val="left" w:pos="624"/>
                    <w:tab w:val="left" w:pos="1361"/>
                    <w:tab w:val="left" w:pos="2041"/>
                  </w:tabs>
                  <w:spacing w:after="120"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709" w:type="dxa"/>
                <w:vAlign w:val="center"/>
              </w:tcPr>
              <w:p>
                <w:pPr>
                  <w:spacing w:line="280" w:lineRule="exact"/>
                  <w:rPr>
                    <w:rFonts w:ascii="宋体" w:hAnsi="宋体" w:cs="宋体"/>
                  </w:rPr>
                </w:pPr>
                <w:r>
                  <w:rPr>
                    <w:rFonts w:hint="eastAsia" w:ascii="宋体" w:hAnsi="宋体" w:cs="宋体"/>
                  </w:rPr>
                  <w:t>三</w:t>
                </w:r>
              </w:p>
            </w:tc>
            <w:tc>
              <w:tcPr>
                <w:tcW w:w="1418" w:type="dxa"/>
                <w:vAlign w:val="center"/>
              </w:tcPr>
              <w:p>
                <w:pPr>
                  <w:jc w:val="left"/>
                  <w:rPr>
                    <w:rFonts w:ascii="宋体" w:hAnsi="宋体" w:cs="宋体"/>
                    <w:bCs/>
                    <w:color w:val="000000"/>
                    <w:spacing w:val="10"/>
                    <w:kern w:val="0"/>
                  </w:rPr>
                </w:pPr>
                <w:r>
                  <w:rPr>
                    <w:rFonts w:hint="eastAsia"/>
                    <w:bCs/>
                    <w:color w:val="000000"/>
                  </w:rPr>
                  <w:t>售后服务分（</w:t>
                </w:r>
                <w:r>
                  <w:rPr>
                    <w:rFonts w:hint="eastAsia"/>
                  </w:rPr>
                  <w:t>1</w:t>
                </w:r>
                <w:r>
                  <w:t>5</w:t>
                </w:r>
                <w:r>
                  <w:rPr>
                    <w:rFonts w:hint="eastAsia" w:hAnsi="宋体"/>
                    <w:color w:val="000000"/>
                  </w:rPr>
                  <w:t>分</w:t>
                </w:r>
                <w:r>
                  <w:rPr>
                    <w:rFonts w:hint="eastAsia"/>
                    <w:bCs/>
                    <w:color w:val="000000"/>
                  </w:rPr>
                  <w:t>）</w:t>
                </w:r>
              </w:p>
            </w:tc>
            <w:tc>
              <w:tcPr>
                <w:tcW w:w="6409" w:type="dxa"/>
                <w:vAlign w:val="center"/>
              </w:tcPr>
              <w:p>
                <w:pPr>
                  <w:adjustRightInd w:val="0"/>
                  <w:spacing w:line="360" w:lineRule="exact"/>
                  <w:textAlignment w:val="baseline"/>
                  <w:rPr>
                    <w:rFonts w:ascii="宋体" w:hAnsi="宋体" w:cs="宋体"/>
                  </w:rPr>
                </w:pPr>
                <w:r>
                  <w:rPr>
                    <w:rFonts w:hint="eastAsia" w:ascii="宋体" w:hAnsi="宋体" w:cs="宋体"/>
                  </w:rPr>
                  <w:t>1.售后服务方案分。（满分</w:t>
                </w:r>
                <w:r>
                  <w:t>12</w:t>
                </w:r>
                <w:r>
                  <w:rPr>
                    <w:rFonts w:hint="eastAsia" w:ascii="宋体" w:hAnsi="宋体" w:cs="宋体"/>
                  </w:rPr>
                  <w:t>分）</w:t>
                </w:r>
              </w:p>
              <w:p>
                <w:pPr>
                  <w:adjustRightInd w:val="0"/>
                  <w:spacing w:line="360" w:lineRule="exact"/>
                  <w:textAlignment w:val="baseline"/>
                  <w:rPr>
                    <w:rFonts w:ascii="宋体" w:hAnsi="宋体" w:cs="宋体"/>
                  </w:rPr>
                </w:pPr>
                <w:r>
                  <w:rPr>
                    <w:rFonts w:hint="eastAsia" w:ascii="宋体" w:hAnsi="宋体" w:cs="宋体"/>
                  </w:rPr>
                  <w:t>一档（</w:t>
                </w:r>
                <w:r>
                  <w:t>0</w:t>
                </w:r>
                <w:r>
                  <w:rPr>
                    <w:rFonts w:hint="eastAsia" w:ascii="宋体" w:hAnsi="宋体" w:cs="宋体"/>
                  </w:rPr>
                  <w:t>分）：不提供售后服务方案的。</w:t>
                </w:r>
              </w:p>
              <w:p>
                <w:pPr>
                  <w:adjustRightInd w:val="0"/>
                  <w:spacing w:line="360" w:lineRule="exact"/>
                  <w:textAlignment w:val="baseline"/>
                  <w:rPr>
                    <w:rFonts w:ascii="宋体" w:hAnsi="宋体" w:cs="宋体"/>
                  </w:rPr>
                </w:pPr>
                <w:r>
                  <w:rPr>
                    <w:rFonts w:hint="eastAsia" w:ascii="宋体" w:hAnsi="宋体" w:cs="宋体"/>
                  </w:rPr>
                  <w:t>二档（</w:t>
                </w:r>
                <w:r>
                  <w:t>4</w:t>
                </w:r>
                <w:r>
                  <w:rPr>
                    <w:rFonts w:hint="eastAsia" w:ascii="宋体" w:hAnsi="宋体" w:cs="宋体"/>
                  </w:rPr>
                  <w:t>分）：能基本满足招标文件要求，未提出详细的售后服务承诺。</w:t>
                </w:r>
              </w:p>
              <w:p>
                <w:pPr>
                  <w:adjustRightInd w:val="0"/>
                  <w:spacing w:line="360" w:lineRule="exact"/>
                  <w:textAlignment w:val="baseline"/>
                  <w:rPr>
                    <w:rFonts w:ascii="宋体" w:hAnsi="宋体" w:cs="宋体"/>
                  </w:rPr>
                </w:pPr>
                <w:r>
                  <w:rPr>
                    <w:rFonts w:hint="eastAsia" w:ascii="宋体" w:hAnsi="宋体" w:cs="宋体"/>
                  </w:rPr>
                  <w:t>三档（</w:t>
                </w:r>
                <w:r>
                  <w:t>8</w:t>
                </w:r>
                <w:r>
                  <w:rPr>
                    <w:rFonts w:hint="eastAsia" w:ascii="宋体" w:hAnsi="宋体" w:cs="宋体"/>
                  </w:rPr>
                  <w:t>分）：能基本满足招标文件要求，有提出详细的售后服务承诺。</w:t>
                </w:r>
              </w:p>
              <w:p>
                <w:pPr>
                  <w:rPr>
                    <w:rFonts w:ascii="宋体" w:hAnsi="宋体" w:cs="宋体"/>
                  </w:rPr>
                </w:pPr>
                <w:r>
                  <w:rPr>
                    <w:rFonts w:hint="eastAsia" w:ascii="宋体" w:hAnsi="宋体" w:cs="宋体"/>
                  </w:rPr>
                  <w:t>四档（</w:t>
                </w:r>
                <w:r>
                  <w:rPr>
                    <w:rFonts w:hint="eastAsia"/>
                  </w:rPr>
                  <w:t>1</w:t>
                </w:r>
                <w:r>
                  <w:t>2</w:t>
                </w:r>
                <w:r>
                  <w:rPr>
                    <w:rFonts w:hint="eastAsia" w:ascii="宋体" w:hAnsi="宋体" w:cs="宋体"/>
                  </w:rPr>
                  <w:t>分）：售后服务方案较好，有该项目详细的售后服务方案及培训计划，</w:t>
                </w:r>
                <w:r>
                  <w:rPr>
                    <w:rFonts w:hint="eastAsia"/>
                  </w:rPr>
                  <w:t>有提供设立在广西的生产厂家售后服务机构或厂家授权代理售后服务点（提供营业执照或投标单位或生产厂家授权售后服务点的证明、售后服务机构负责人、联系方式、机构地址及联系人、联系方式、生产厂家售后服务机构或厂家授权代理售后服务点人员（有且人员达到3人或以上）。</w:t>
                </w:r>
              </w:p>
              <w:p>
                <w:pPr>
                  <w:adjustRightInd w:val="0"/>
                  <w:spacing w:line="360" w:lineRule="exact"/>
                  <w:ind w:firstLine="420" w:firstLineChars="200"/>
                  <w:textAlignment w:val="baseline"/>
                  <w:rPr>
                    <w:rFonts w:ascii="宋体" w:hAnsi="宋体" w:cs="宋体"/>
                  </w:rPr>
                </w:pPr>
                <w:r>
                  <w:rPr>
                    <w:rFonts w:hint="eastAsia" w:ascii="宋体" w:hAnsi="宋体" w:cs="宋体"/>
                  </w:rPr>
                  <w:t>良好的售后服务方案应承诺定期回访，承诺更短的故障响应时间，即在使用过程中发现质量问题或故障时，须接到通知后24小时内派工程师到达用户现场及提供常用备件，按国家及行业标准对故障进行及时处理，以保证采购单位的正常使用。</w:t>
                </w:r>
              </w:p>
              <w:p>
                <w:pPr>
                  <w:adjustRightInd w:val="0"/>
                  <w:spacing w:line="360" w:lineRule="exact"/>
                  <w:textAlignment w:val="baseline"/>
                  <w:rPr>
                    <w:rFonts w:ascii="宋体" w:hAnsi="宋体" w:cs="宋体"/>
                  </w:rPr>
                </w:pPr>
                <w:r>
                  <w:rPr>
                    <w:rFonts w:hint="eastAsia" w:ascii="宋体" w:hAnsi="宋体" w:cs="宋体"/>
                  </w:rPr>
                  <w:t>2.更长免费保修期得分。（满分</w:t>
                </w:r>
                <w:r>
                  <w:t>3</w:t>
                </w:r>
                <w:r>
                  <w:rPr>
                    <w:rFonts w:hint="eastAsia" w:ascii="宋体" w:hAnsi="宋体" w:cs="宋体"/>
                  </w:rPr>
                  <w:t>分）</w:t>
                </w:r>
              </w:p>
              <w:p>
                <w:pPr>
                  <w:adjustRightInd w:val="0"/>
                  <w:spacing w:line="360" w:lineRule="exact"/>
                  <w:ind w:firstLine="420" w:firstLineChars="200"/>
                  <w:textAlignment w:val="baseline"/>
                  <w:rPr>
                    <w:rFonts w:ascii="宋体" w:hAnsi="宋体" w:cs="宋体"/>
                  </w:rPr>
                </w:pPr>
                <w:r>
                  <w:rPr>
                    <w:rFonts w:hint="eastAsia" w:ascii="宋体" w:hAnsi="宋体" w:cs="宋体"/>
                  </w:rPr>
                  <w:t>承诺免费保修期长于招标文件要求的，每延长1年加</w:t>
                </w:r>
                <w:r>
                  <w:t>1</w:t>
                </w:r>
                <w:r>
                  <w:rPr>
                    <w:rFonts w:hint="eastAsia" w:ascii="宋体" w:hAnsi="宋体" w:cs="宋体"/>
                  </w:rPr>
                  <w:t>分，满分</w:t>
                </w:r>
                <w:r>
                  <w:t>3</w:t>
                </w:r>
                <w:r>
                  <w:rPr>
                    <w:rFonts w:hint="eastAsia" w:ascii="宋体" w:hAnsi="宋体" w:cs="宋体"/>
                  </w:rPr>
                  <w:t>分。（以出具的承诺书原件为准，否则不得分）</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709" w:type="dxa"/>
                <w:vAlign w:val="center"/>
              </w:tcPr>
              <w:p>
                <w:pPr>
                  <w:spacing w:line="280" w:lineRule="exact"/>
                  <w:rPr>
                    <w:rFonts w:ascii="宋体" w:hAnsi="宋体" w:cs="宋体"/>
                  </w:rPr>
                </w:pPr>
                <w:r>
                  <w:rPr>
                    <w:rFonts w:hint="eastAsia" w:ascii="宋体" w:hAnsi="宋体" w:cs="宋体"/>
                  </w:rPr>
                  <w:t>四</w:t>
                </w:r>
              </w:p>
            </w:tc>
            <w:tc>
              <w:tcPr>
                <w:tcW w:w="1418" w:type="dxa"/>
                <w:vAlign w:val="center"/>
              </w:tcPr>
              <w:p>
                <w:pPr>
                  <w:jc w:val="left"/>
                  <w:rPr>
                    <w:bCs/>
                    <w:color w:val="000000"/>
                  </w:rPr>
                </w:pPr>
                <w:r>
                  <w:rPr>
                    <w:rFonts w:hint="eastAsia"/>
                  </w:rPr>
                  <w:t>业绩</w:t>
                </w:r>
                <w:r>
                  <w:rPr>
                    <w:rFonts w:hint="eastAsia"/>
                    <w:bCs/>
                    <w:color w:val="000000"/>
                  </w:rPr>
                  <w:t>分（</w:t>
                </w:r>
                <w:r>
                  <w:rPr>
                    <w:rFonts w:hint="eastAsia"/>
                  </w:rPr>
                  <w:t>6</w:t>
                </w:r>
                <w:r>
                  <w:rPr>
                    <w:rFonts w:hint="eastAsia"/>
                    <w:bCs/>
                    <w:color w:val="000000"/>
                  </w:rPr>
                  <w:t>分）</w:t>
                </w:r>
              </w:p>
            </w:tc>
            <w:tc>
              <w:tcPr>
                <w:tcW w:w="6409" w:type="dxa"/>
                <w:vAlign w:val="center"/>
              </w:tcPr>
              <w:p>
                <w:pPr>
                  <w:adjustRightInd w:val="0"/>
                  <w:spacing w:line="360" w:lineRule="exact"/>
                  <w:textAlignment w:val="baseline"/>
                  <w:rPr>
                    <w:color w:val="000000"/>
                  </w:rPr>
                </w:pPr>
                <w:r>
                  <w:rPr>
                    <w:rFonts w:hint="eastAsia"/>
                  </w:rPr>
                  <w:t>1.竞标人或投标产品3年内完成销售过类似产品的业绩的一项加1分（满分4分，评标时提供采购合同或中标通知书或中标公告复印件，否则不得分）</w:t>
                </w:r>
              </w:p>
              <w:p>
                <w:pPr>
                  <w:adjustRightInd w:val="0"/>
                  <w:spacing w:line="360" w:lineRule="exact"/>
                  <w:textAlignment w:val="baseline"/>
                  <w:rPr>
                    <w:color w:val="000000"/>
                  </w:rPr>
                </w:pPr>
                <w:r>
                  <w:rPr>
                    <w:rFonts w:hint="eastAsia"/>
                  </w:rPr>
                  <w:t>2. 投标人或投标产品的生产厂家在近3年来获得与企业生产经营相关的荣誉的，每项0.5分，满分2分（须提供证书复印件）</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9" w:type="dxa"/>
                <w:vAlign w:val="center"/>
              </w:tcPr>
              <w:p>
                <w:pPr>
                  <w:spacing w:line="280" w:lineRule="exact"/>
                  <w:rPr>
                    <w:rFonts w:ascii="宋体" w:hAnsi="宋体" w:cs="宋体"/>
                  </w:rPr>
                </w:pPr>
                <w:r>
                  <w:rPr>
                    <w:rFonts w:hint="eastAsia" w:ascii="宋体" w:hAnsi="宋体" w:cs="宋体"/>
                  </w:rPr>
                  <w:t>五</w:t>
                </w:r>
              </w:p>
            </w:tc>
            <w:tc>
              <w:tcPr>
                <w:tcW w:w="1418" w:type="dxa"/>
                <w:vAlign w:val="center"/>
              </w:tcPr>
              <w:p>
                <w:pPr>
                  <w:jc w:val="left"/>
                  <w:rPr>
                    <w:bCs/>
                    <w:color w:val="000000"/>
                  </w:rPr>
                </w:pPr>
                <w:r>
                  <w:rPr>
                    <w:rFonts w:hint="eastAsia"/>
                  </w:rPr>
                  <w:t>产品特性分</w:t>
                </w:r>
              </w:p>
              <w:p>
                <w:pPr>
                  <w:pStyle w:val="2"/>
                </w:pPr>
                <w:r>
                  <w:rPr>
                    <w:rFonts w:hint="eastAsia"/>
                  </w:rPr>
                  <w:t>（2分）</w:t>
                </w:r>
              </w:p>
            </w:tc>
            <w:tc>
              <w:tcPr>
                <w:tcW w:w="6409" w:type="dxa"/>
                <w:vAlign w:val="center"/>
              </w:tcPr>
              <w:p>
                <w:r>
                  <w:rPr>
                    <w:rFonts w:hint="eastAsia"/>
                  </w:rPr>
                  <w:t xml:space="preserve">①投标产品被认定为节能产品的得 </w:t>
                </w:r>
                <w:r>
                  <w:t xml:space="preserve">1 </w:t>
                </w:r>
                <w:r>
                  <w:rPr>
                    <w:rFonts w:hint="eastAsia"/>
                  </w:rPr>
                  <w:t xml:space="preserve">分； </w:t>
                </w:r>
              </w:p>
              <w:p>
                <w:r>
                  <w:rPr>
                    <w:rFonts w:hint="eastAsia"/>
                  </w:rPr>
                  <w:t xml:space="preserve">②投标产品被认定为环保产品的得 </w:t>
                </w:r>
                <w:r>
                  <w:t xml:space="preserve">1 </w:t>
                </w:r>
                <w:r>
                  <w:rPr>
                    <w:rFonts w:hint="eastAsia"/>
                  </w:rPr>
                  <w:t xml:space="preserve">分。 </w:t>
                </w:r>
              </w:p>
              <w:p>
                <w:r>
                  <w:rPr>
                    <w:rFonts w:hint="eastAsia"/>
                  </w:rPr>
                  <w:t>须提供有效的认证证书和相应《节能产品政府采购清单》、《环境标志产品政府采购清单》。《节能产品政府采购清单》中的产品有效时间，以国家节能产品认证证书有效截止日期为准，超过认证证书有效期的不得分。</w:t>
                </w:r>
              </w:p>
            </w:tc>
            <w:tc>
              <w:tcPr>
                <w:tcW w:w="1088" w:type="dxa"/>
                <w:vAlign w:val="center"/>
              </w:tcPr>
              <w:p>
                <w:pPr>
                  <w:spacing w:line="28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9" w:type="dxa"/>
                <w:vAlign w:val="center"/>
              </w:tcPr>
              <w:p>
                <w:pPr>
                  <w:spacing w:line="280" w:lineRule="exact"/>
                  <w:rPr>
                    <w:rFonts w:ascii="宋体" w:hAnsi="宋体" w:cs="宋体"/>
                  </w:rPr>
                </w:pPr>
                <w:r>
                  <w:rPr>
                    <w:rFonts w:hint="eastAsia"/>
                  </w:rPr>
                  <w:t>六</w:t>
                </w:r>
              </w:p>
            </w:tc>
            <w:tc>
              <w:tcPr>
                <w:tcW w:w="1418" w:type="dxa"/>
                <w:vAlign w:val="center"/>
              </w:tcPr>
              <w:p>
                <w:r>
                  <w:rPr>
                    <w:rFonts w:hint="eastAsia"/>
                  </w:rPr>
                  <w:t>信誉(2分）</w:t>
                </w:r>
              </w:p>
              <w:p>
                <w:pPr>
                  <w:rPr>
                    <w:bCs/>
                    <w:color w:val="000000"/>
                  </w:rPr>
                </w:pPr>
              </w:p>
            </w:tc>
            <w:tc>
              <w:tcPr>
                <w:tcW w:w="6409" w:type="dxa"/>
                <w:vAlign w:val="center"/>
              </w:tcPr>
              <w:p>
                <w:r>
                  <w:rPr>
                    <w:rFonts w:hint="eastAsia"/>
                  </w:rPr>
                  <w:t xml:space="preserve">①生产厂家获得 </w:t>
                </w:r>
                <w:r>
                  <w:t xml:space="preserve">ISO13485 </w:t>
                </w:r>
                <w:r>
                  <w:rPr>
                    <w:rFonts w:hint="eastAsia"/>
                  </w:rPr>
                  <w:t xml:space="preserve">质量管理体系认证。 </w:t>
                </w:r>
              </w:p>
              <w:p>
                <w:r>
                  <w:rPr>
                    <w:rFonts w:hint="eastAsia"/>
                  </w:rPr>
                  <w:t xml:space="preserve">②投标产品获得 </w:t>
                </w:r>
                <w:r>
                  <w:t xml:space="preserve">CE </w:t>
                </w:r>
                <w:r>
                  <w:rPr>
                    <w:rFonts w:hint="eastAsia"/>
                  </w:rPr>
                  <w:t xml:space="preserve">认证证书。 </w:t>
                </w:r>
              </w:p>
              <w:p>
                <w:r>
                  <w:rPr>
                    <w:rFonts w:hint="eastAsia"/>
                  </w:rPr>
                  <w:t xml:space="preserve">③投标产品获得 </w:t>
                </w:r>
                <w:r>
                  <w:t xml:space="preserve">FDA </w:t>
                </w:r>
                <w:r>
                  <w:rPr>
                    <w:rFonts w:hint="eastAsia"/>
                  </w:rPr>
                  <w:t xml:space="preserve">认证证书。 </w:t>
                </w:r>
              </w:p>
              <w:p>
                <w:r>
                  <w:fldChar w:fldCharType="begin"/>
                </w:r>
                <w:r>
                  <w:instrText xml:space="preserve"> = 4 \* GB3 \* MERGEFORMAT </w:instrText>
                </w:r>
                <w:r>
                  <w:fldChar w:fldCharType="separate"/>
                </w:r>
                <w:r>
                  <w:t>④</w:t>
                </w:r>
                <w:r>
                  <w:fldChar w:fldCharType="end"/>
                </w:r>
                <w:r>
                  <w:rPr>
                    <w:rFonts w:hint="eastAsia"/>
                  </w:rPr>
                  <w:t>取得ISO9001质量认证。</w:t>
                </w:r>
              </w:p>
              <w:p>
                <w:pPr>
                  <w:rPr>
                    <w:color w:val="000000"/>
                  </w:rPr>
                </w:pPr>
                <w:r>
                  <w:rPr>
                    <w:rFonts w:hint="eastAsia"/>
                  </w:rPr>
                  <w:t>以上4项每项0.5分，均须提供相应有效认证证书复印件才有效。</w:t>
                </w:r>
              </w:p>
            </w:tc>
            <w:tc>
              <w:tcPr>
                <w:tcW w:w="1088" w:type="dxa"/>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09" w:type="dxa"/>
                <w:vAlign w:val="center"/>
              </w:tcPr>
              <w:p>
                <w:pPr>
                  <w:spacing w:line="280" w:lineRule="exact"/>
                  <w:rPr>
                    <w:rFonts w:ascii="宋体" w:hAnsi="宋体" w:cs="宋体"/>
                  </w:rPr>
                </w:pPr>
                <w:r>
                  <w:rPr>
                    <w:rFonts w:hint="eastAsia" w:ascii="宋体" w:hAnsi="宋体" w:cs="宋体"/>
                  </w:rPr>
                  <w:t>七</w:t>
                </w:r>
              </w:p>
            </w:tc>
            <w:tc>
              <w:tcPr>
                <w:tcW w:w="1418" w:type="dxa"/>
                <w:vAlign w:val="center"/>
              </w:tcPr>
              <w:p>
                <w:pPr>
                  <w:spacing w:line="280" w:lineRule="exact"/>
                  <w:ind w:firstLine="420" w:firstLineChars="200"/>
                  <w:rPr>
                    <w:rFonts w:ascii="宋体" w:hAnsi="宋体" w:cs="宋体"/>
                  </w:rPr>
                </w:pPr>
                <w:r>
                  <w:rPr>
                    <w:rFonts w:hint="eastAsia" w:ascii="宋体" w:hAnsi="宋体" w:cs="宋体"/>
                  </w:rPr>
                  <w:t>总分</w:t>
                </w:r>
              </w:p>
              <w:p>
                <w:pPr>
                  <w:spacing w:line="280" w:lineRule="exact"/>
                  <w:rPr>
                    <w:rFonts w:ascii="宋体" w:hAnsi="宋体" w:cs="宋体"/>
                  </w:rPr>
                </w:pPr>
                <w:r>
                  <w:rPr>
                    <w:rFonts w:hint="eastAsia" w:ascii="宋体" w:hAnsi="宋体" w:cs="宋体"/>
                  </w:rPr>
                  <w:t xml:space="preserve">（最后得分） </w:t>
                </w:r>
              </w:p>
            </w:tc>
            <w:tc>
              <w:tcPr>
                <w:tcW w:w="7497" w:type="dxa"/>
                <w:gridSpan w:val="2"/>
                <w:vAlign w:val="center"/>
              </w:tcPr>
              <w:p>
                <w:pPr>
                  <w:pStyle w:val="2"/>
                </w:pPr>
              </w:p>
            </w:tc>
          </w:tr>
        </w:tbl>
      </w:sdtContent>
    </w:sdt>
    <w:p>
      <w:pPr>
        <w:pStyle w:val="2"/>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 k" w:date="2021-01-18T15:48:00Z" w:initials="ck">
    <w:p w14:paraId="3921767A">
      <w:pPr>
        <w:pStyle w:val="3"/>
      </w:pPr>
      <w:r>
        <w:rPr>
          <w:rFonts w:hint="eastAsia"/>
        </w:rPr>
        <w:t>总清单，具体细节可在（二）技术规格参数中具体列明。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921767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abstractNum w:abstractNumId="1">
    <w:nsid w:val="59C0F106"/>
    <w:multiLevelType w:val="singleLevel"/>
    <w:tmpl w:val="59C0F106"/>
    <w:lvl w:ilvl="0" w:tentative="0">
      <w:start w:val="1"/>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k">
    <w15:presenceInfo w15:providerId="Windows Live" w15:userId="dd1b3a7fea7c4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1" w:cryptProviderType="rsaFull" w:cryptAlgorithmClass="hash" w:cryptAlgorithmType="typeAny" w:cryptAlgorithmSid="4" w:cryptSpinCount="0" w:hash="M4eTI5wFflPYADHdIlxtwajCTTQ=" w:salt="eBeZYZukMy8mOJ1IIlIuV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642EBB7A-05DF-4F7F-990F-180E42AE779D}"/>
    <w:docVar w:name="KY_MEDREF_VERSION" w:val="3"/>
  </w:docVars>
  <w:rsids>
    <w:rsidRoot w:val="004C7EB2"/>
    <w:rsid w:val="00006222"/>
    <w:rsid w:val="00066185"/>
    <w:rsid w:val="00080292"/>
    <w:rsid w:val="0008196D"/>
    <w:rsid w:val="00095D83"/>
    <w:rsid w:val="000A6C18"/>
    <w:rsid w:val="000B7E2D"/>
    <w:rsid w:val="000E1AA6"/>
    <w:rsid w:val="001166A2"/>
    <w:rsid w:val="00204183"/>
    <w:rsid w:val="002256FB"/>
    <w:rsid w:val="00241CD6"/>
    <w:rsid w:val="002C7944"/>
    <w:rsid w:val="00357988"/>
    <w:rsid w:val="003C3AB5"/>
    <w:rsid w:val="003E7DC1"/>
    <w:rsid w:val="00474079"/>
    <w:rsid w:val="004C7EB2"/>
    <w:rsid w:val="004D08F5"/>
    <w:rsid w:val="004D2825"/>
    <w:rsid w:val="004F5A76"/>
    <w:rsid w:val="005007DD"/>
    <w:rsid w:val="005D491D"/>
    <w:rsid w:val="00654BC6"/>
    <w:rsid w:val="00684BD7"/>
    <w:rsid w:val="006C44E8"/>
    <w:rsid w:val="006E5543"/>
    <w:rsid w:val="0070725E"/>
    <w:rsid w:val="00707A97"/>
    <w:rsid w:val="00775059"/>
    <w:rsid w:val="007814EA"/>
    <w:rsid w:val="007A5910"/>
    <w:rsid w:val="007F6F70"/>
    <w:rsid w:val="00821EDF"/>
    <w:rsid w:val="00825B15"/>
    <w:rsid w:val="008553F8"/>
    <w:rsid w:val="008A204B"/>
    <w:rsid w:val="008A5DC5"/>
    <w:rsid w:val="008D3A6F"/>
    <w:rsid w:val="009530DC"/>
    <w:rsid w:val="009C2C05"/>
    <w:rsid w:val="00A2105C"/>
    <w:rsid w:val="00A44D5C"/>
    <w:rsid w:val="00A55A59"/>
    <w:rsid w:val="00A65F27"/>
    <w:rsid w:val="00A83F43"/>
    <w:rsid w:val="00AC0EA5"/>
    <w:rsid w:val="00B8409A"/>
    <w:rsid w:val="00BA3521"/>
    <w:rsid w:val="00C33384"/>
    <w:rsid w:val="00C47129"/>
    <w:rsid w:val="00C762C8"/>
    <w:rsid w:val="00C97AD7"/>
    <w:rsid w:val="00CC2DEE"/>
    <w:rsid w:val="00CD27A2"/>
    <w:rsid w:val="00D2685D"/>
    <w:rsid w:val="00D41CB5"/>
    <w:rsid w:val="00D57065"/>
    <w:rsid w:val="00DB5864"/>
    <w:rsid w:val="00DE5F30"/>
    <w:rsid w:val="00DE7D8E"/>
    <w:rsid w:val="00E14108"/>
    <w:rsid w:val="00E72BBE"/>
    <w:rsid w:val="00EB1C9B"/>
    <w:rsid w:val="00ED5546"/>
    <w:rsid w:val="00F50F9C"/>
    <w:rsid w:val="026F27D1"/>
    <w:rsid w:val="0AA97F0C"/>
    <w:rsid w:val="0B9D4AAF"/>
    <w:rsid w:val="0BA77A36"/>
    <w:rsid w:val="0DB620C1"/>
    <w:rsid w:val="0E026A84"/>
    <w:rsid w:val="10C97A40"/>
    <w:rsid w:val="12FE1340"/>
    <w:rsid w:val="14527F1A"/>
    <w:rsid w:val="174D0D4F"/>
    <w:rsid w:val="1A5E61B6"/>
    <w:rsid w:val="2427408A"/>
    <w:rsid w:val="248F4E0F"/>
    <w:rsid w:val="27E25BB1"/>
    <w:rsid w:val="28F71DE6"/>
    <w:rsid w:val="2CEE70B7"/>
    <w:rsid w:val="2E3E71B8"/>
    <w:rsid w:val="3307799F"/>
    <w:rsid w:val="359F1DAA"/>
    <w:rsid w:val="35AE2655"/>
    <w:rsid w:val="3CBB57C1"/>
    <w:rsid w:val="440A61BA"/>
    <w:rsid w:val="44104FD7"/>
    <w:rsid w:val="45925788"/>
    <w:rsid w:val="46951198"/>
    <w:rsid w:val="4DD24BA9"/>
    <w:rsid w:val="57F82D58"/>
    <w:rsid w:val="78394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4"/>
    <w:qFormat/>
    <w:uiPriority w:val="99"/>
    <w:pPr>
      <w:jc w:val="left"/>
    </w:pPr>
  </w:style>
  <w:style w:type="paragraph" w:styleId="4">
    <w:name w:val="Plain Text"/>
    <w:basedOn w:val="1"/>
    <w:link w:val="16"/>
    <w:qFormat/>
    <w:uiPriority w:val="99"/>
    <w:rPr>
      <w:rFonts w:ascii="宋体" w:hAnsi="Courier New"/>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paragraph" w:styleId="8">
    <w:name w:val="annotation subject"/>
    <w:basedOn w:val="3"/>
    <w:next w:val="3"/>
    <w:link w:val="15"/>
    <w:semiHidden/>
    <w:unhideWhenUsed/>
    <w:qFormat/>
    <w:uiPriority w:val="99"/>
    <w:rPr>
      <w:b/>
      <w:bCs/>
    </w:rPr>
  </w:style>
  <w:style w:type="table" w:styleId="10">
    <w:name w:val="Table Grid"/>
    <w:basedOn w:val="9"/>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semiHidden/>
    <w:qFormat/>
    <w:uiPriority w:val="99"/>
    <w:rPr>
      <w:sz w:val="21"/>
      <w:szCs w:val="21"/>
    </w:rPr>
  </w:style>
  <w:style w:type="character" w:customStyle="1" w:styleId="13">
    <w:name w:val="批注文字 字符"/>
    <w:basedOn w:val="11"/>
    <w:qFormat/>
    <w:uiPriority w:val="99"/>
    <w:rPr>
      <w:rFonts w:ascii="Times New Roman" w:hAnsi="Times New Roman" w:eastAsia="宋体" w:cs="Times New Roman"/>
      <w:szCs w:val="21"/>
    </w:rPr>
  </w:style>
  <w:style w:type="character" w:customStyle="1" w:styleId="14">
    <w:name w:val="批注文字 字符1"/>
    <w:link w:val="3"/>
    <w:semiHidden/>
    <w:qFormat/>
    <w:uiPriority w:val="99"/>
    <w:rPr>
      <w:rFonts w:ascii="Times New Roman" w:hAnsi="Times New Roman" w:eastAsia="宋体" w:cs="Times New Roman"/>
      <w:szCs w:val="21"/>
    </w:rPr>
  </w:style>
  <w:style w:type="character" w:customStyle="1" w:styleId="15">
    <w:name w:val="批注主题 字符"/>
    <w:basedOn w:val="14"/>
    <w:link w:val="8"/>
    <w:semiHidden/>
    <w:qFormat/>
    <w:uiPriority w:val="99"/>
    <w:rPr>
      <w:rFonts w:ascii="Times New Roman" w:hAnsi="Times New Roman" w:eastAsia="宋体" w:cs="Times New Roman"/>
      <w:b/>
      <w:bCs/>
      <w:szCs w:val="21"/>
    </w:rPr>
  </w:style>
  <w:style w:type="character" w:customStyle="1" w:styleId="16">
    <w:name w:val="纯文本 字符"/>
    <w:basedOn w:val="11"/>
    <w:link w:val="4"/>
    <w:qFormat/>
    <w:uiPriority w:val="99"/>
    <w:rPr>
      <w:rFonts w:ascii="宋体" w:hAnsi="Courier New" w:eastAsia="宋体" w:cs="Times New Roman"/>
      <w:szCs w:val="21"/>
    </w:rPr>
  </w:style>
  <w:style w:type="paragraph" w:customStyle="1" w:styleId="17">
    <w:name w:val="表格文字"/>
    <w:basedOn w:val="1"/>
    <w:qFormat/>
    <w:uiPriority w:val="0"/>
    <w:pPr>
      <w:spacing w:before="25" w:after="25"/>
      <w:jc w:val="left"/>
    </w:pPr>
    <w:rPr>
      <w:rFonts w:ascii="Calibri" w:hAnsi="Calibri"/>
      <w:bCs/>
      <w:spacing w:val="10"/>
      <w:kern w:val="0"/>
      <w:sz w:val="24"/>
      <w:szCs w:val="20"/>
    </w:rPr>
  </w:style>
  <w:style w:type="character" w:customStyle="1" w:styleId="18">
    <w:name w:val="fontstyle01"/>
    <w:qFormat/>
    <w:uiPriority w:val="0"/>
    <w:rPr>
      <w:rFonts w:hint="eastAsia" w:ascii="宋体" w:hAnsi="宋体" w:eastAsia="宋体"/>
      <w:color w:val="000000"/>
      <w:sz w:val="24"/>
      <w:szCs w:val="24"/>
    </w:rPr>
  </w:style>
  <w:style w:type="character" w:customStyle="1" w:styleId="19">
    <w:name w:val="页眉 字符"/>
    <w:basedOn w:val="11"/>
    <w:link w:val="6"/>
    <w:qFormat/>
    <w:uiPriority w:val="99"/>
    <w:rPr>
      <w:rFonts w:ascii="Times New Roman" w:hAnsi="Times New Roman" w:eastAsia="宋体" w:cs="Times New Roman"/>
      <w:sz w:val="18"/>
      <w:szCs w:val="18"/>
    </w:rPr>
  </w:style>
  <w:style w:type="character" w:customStyle="1" w:styleId="20">
    <w:name w:val="页脚 字符"/>
    <w:basedOn w:val="11"/>
    <w:link w:val="5"/>
    <w:qFormat/>
    <w:uiPriority w:val="99"/>
    <w:rPr>
      <w:rFonts w:ascii="Times New Roman" w:hAnsi="Times New Roman" w:eastAsia="宋体" w:cs="Times New Roman"/>
      <w:sz w:val="18"/>
      <w:szCs w:val="18"/>
    </w:rPr>
  </w:style>
  <w:style w:type="character" w:styleId="21">
    <w:name w:val="Placeholder Text"/>
    <w:basedOn w:val="1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openxmlformats.org/officeDocument/2006/relationships/glossaryDocument" Target="glossary/document.xml"/><Relationship Id="rId10" Type="http://schemas.microsoft.com/office/2011/relationships/people" Target="peop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
      <w:docPartPr>
        <w:name w:val="{2fe68bf9-e570-429b-a8b5-0a9aed96709c}"/>
        <w:style w:val=""/>
        <w:category>
          <w:name w:val="常规"/>
          <w:gallery w:val="placeholder"/>
        </w:category>
        <w:types>
          <w:type w:val="bbPlcHdr"/>
        </w:types>
        <w:behaviors>
          <w:behavior w:val="content"/>
        </w:behaviors>
        <w:description w:val=""/>
        <w:guid w:val="{2FE68BF9-E570-429B-A8B5-0A9AED96709C}"/>
      </w:docPartPr>
      <w:docPartBody>
        <w:p>
          <w:r>
            <w:rPr>
              <w:color w:val="808080"/>
            </w:rPr>
            <w:t>输入要重复的任何内容(包括其他内容控件)。您也可以在表格行周围插入此控件，以便重复部分表格。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51373B"/>
    <w:rsid w:val="005658A2"/>
    <w:rsid w:val="00630942"/>
    <w:rsid w:val="007311C2"/>
    <w:rsid w:val="0080285A"/>
    <w:rsid w:val="008826FE"/>
    <w:rsid w:val="009323CE"/>
    <w:rsid w:val="00D8076D"/>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8</Pages>
  <Words>711</Words>
  <Characters>4057</Characters>
  <Lines>33</Lines>
  <Paragraphs>9</Paragraphs>
  <TotalTime>0</TotalTime>
  <ScaleCrop>false</ScaleCrop>
  <LinksUpToDate>false</LinksUpToDate>
  <CharactersWithSpaces>4759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2021-09-04T03:12:09Z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BC6B623858AD4EF6B8932C9852D63447</vt:lpwstr>
  </property>
</Properties>
</file>