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w:t>
      </w:r>
      <w:r>
        <w:rPr>
          <w:rFonts w:hint="eastAsia" w:cs="宋体"/>
          <w:b/>
          <w:bCs/>
          <w:lang w:eastAsia="zh-CN"/>
        </w:rPr>
        <w:t>工程量</w:t>
      </w:r>
      <w:commentRangeStart w:id="0"/>
      <w:r>
        <w:rPr>
          <w:rFonts w:hint="eastAsia" w:cs="宋体"/>
          <w:b/>
          <w:bCs/>
        </w:rPr>
        <w:t>清单</w:t>
      </w:r>
      <w:commentRangeEnd w:id="0"/>
      <w:r>
        <w:rPr>
          <w:rStyle w:val="11"/>
          <w:color w:val="auto"/>
          <w:kern w:val="2"/>
        </w:rPr>
        <w:commentReference w:id="0"/>
      </w:r>
      <w:r>
        <w:rPr>
          <w:b/>
          <w:bCs/>
        </w:rPr>
        <w:t> </w:t>
      </w:r>
    </w:p>
    <w:tbl>
      <w:tblPr>
        <w:tblStyle w:val="8"/>
        <w:tblW w:w="8730" w:type="dxa"/>
        <w:tblInd w:w="93" w:type="dxa"/>
        <w:shd w:val="clear" w:color="auto" w:fill="auto"/>
        <w:tblLayout w:type="fixed"/>
        <w:tblCellMar>
          <w:top w:w="0" w:type="dxa"/>
          <w:left w:w="108" w:type="dxa"/>
          <w:bottom w:w="0" w:type="dxa"/>
          <w:right w:w="108" w:type="dxa"/>
        </w:tblCellMar>
      </w:tblPr>
      <w:tblGrid>
        <w:gridCol w:w="786"/>
        <w:gridCol w:w="4179"/>
        <w:gridCol w:w="885"/>
        <w:gridCol w:w="780"/>
        <w:gridCol w:w="1110"/>
        <w:gridCol w:w="990"/>
      </w:tblGrid>
      <w:tr>
        <w:tblPrEx>
          <w:shd w:val="clear" w:color="auto" w:fill="auto"/>
          <w:tblCellMar>
            <w:top w:w="0" w:type="dxa"/>
            <w:left w:w="108" w:type="dxa"/>
            <w:bottom w:w="0" w:type="dxa"/>
            <w:right w:w="108" w:type="dxa"/>
          </w:tblCellMar>
        </w:tblPrEx>
        <w:trPr>
          <w:trHeight w:val="58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工程量名称及工程规格说明</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tblPrEx>
          <w:shd w:val="clear" w:color="auto" w:fill="auto"/>
          <w:tblCellMar>
            <w:top w:w="0" w:type="dxa"/>
            <w:left w:w="108" w:type="dxa"/>
            <w:bottom w:w="0" w:type="dxa"/>
            <w:right w:w="108" w:type="dxa"/>
          </w:tblCellMar>
        </w:tblPrEx>
        <w:trPr>
          <w:trHeight w:val="33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79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室内装修部分</w:t>
            </w:r>
          </w:p>
        </w:tc>
      </w:tr>
      <w:tr>
        <w:tblPrEx>
          <w:shd w:val="clear" w:color="auto" w:fill="auto"/>
          <w:tblCellMar>
            <w:top w:w="0" w:type="dxa"/>
            <w:left w:w="108" w:type="dxa"/>
            <w:bottom w:w="0" w:type="dxa"/>
            <w:right w:w="108" w:type="dxa"/>
          </w:tblCellMar>
        </w:tblPrEx>
        <w:trPr>
          <w:trHeight w:val="25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拆除原有生锈天花</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1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彩钢板天花龙骨，天花拉杆（含拉爆螺丝等五金构件）。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41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彩钢板厚度5cm，防火等级不低于B1。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349" w:hRule="atLeast"/>
        </w:trPr>
        <w:tc>
          <w:tcPr>
            <w:tcW w:w="78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9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安装</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彩钢板配件</w:t>
            </w:r>
          </w:p>
        </w:tc>
      </w:tr>
      <w:tr>
        <w:tblPrEx>
          <w:shd w:val="clear" w:color="auto" w:fill="auto"/>
          <w:tblCellMar>
            <w:top w:w="0" w:type="dxa"/>
            <w:left w:w="108" w:type="dxa"/>
            <w:bottom w:w="0" w:type="dxa"/>
            <w:right w:w="108" w:type="dxa"/>
          </w:tblCellMar>
        </w:tblPrEx>
        <w:trPr>
          <w:trHeight w:val="199"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安装铝质圆弧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99"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安装U型槽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安装铝内90°角码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定弧胶条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玻璃胶（24支一件）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自工钉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1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更换LED平板节能灯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1.装在天花彩钢板内 规格120×30cm。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79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室内中央空调整改部分</w:t>
            </w: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中央空调给排风管，拆安装专用空调隔热保护棉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shd w:val="clear" w:color="auto" w:fill="auto"/>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更换中央空调排风管及风管口（出风）</w:t>
            </w:r>
          </w:p>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1.风口规格50×50cm  风管长约60cm。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更换中央空调排风管及风管口（回风）</w:t>
            </w:r>
          </w:p>
          <w:p>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1.栅栏百叶风口规格120×40cm  风管长约60cm。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更换中央空调排水管（ф50管、弯头、直管等附件）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人工费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79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措施项目费</w:t>
            </w:r>
          </w:p>
        </w:tc>
      </w:tr>
      <w:tr>
        <w:tblPrEx>
          <w:shd w:val="clear" w:color="auto" w:fill="auto"/>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材料二次搬运费（吊车吊运、人工搬运）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9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2</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室内脚手架工程费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场地维护费、清洁费、垃圾外运费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w:t>
            </w:r>
          </w:p>
        </w:tc>
        <w:tc>
          <w:tcPr>
            <w:tcW w:w="5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税费（按3%考虑）：（一+二+三）×3%</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五</w:t>
            </w:r>
          </w:p>
        </w:tc>
        <w:tc>
          <w:tcPr>
            <w:tcW w:w="5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合计：一+二+三+四</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bl>
    <w:p>
      <w:pPr>
        <w:pStyle w:val="2"/>
        <w:rPr>
          <w:b/>
          <w:bCs/>
        </w:rPr>
      </w:pPr>
    </w:p>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auto"/>
          <w:kern w:val="0"/>
          <w:sz w:val="24"/>
          <w:szCs w:val="24"/>
          <w:lang w:val="en-US" w:eastAsia="zh-CN" w:bidi="ar-SA"/>
        </w:rPr>
        <w:id w:val="147471302"/>
        <w15:repeatingSection/>
      </w:sdtPr>
      <w:sdtEndPr>
        <w:rPr>
          <w:rFonts w:hint="eastAsia" w:ascii="Times New Roman" w:hAnsi="Times New Roman" w:eastAsia="宋体" w:cs="Times New Roman"/>
          <w:color w:val="FF0000"/>
          <w:kern w:val="0"/>
          <w:sz w:val="24"/>
          <w:szCs w:val="24"/>
          <w:lang w:val="en-US" w:eastAsia="zh-CN" w:bidi="ar-SA"/>
        </w:rPr>
      </w:sdtEndPr>
      <w:sdtContent>
        <w:sdt>
          <w:sdtPr>
            <w:rPr>
              <w:rFonts w:hint="eastAsia" w:ascii="Times New Roman" w:hAnsi="Times New Roman" w:eastAsia="宋体" w:cs="Times New Roman"/>
              <w:color w:val="auto"/>
              <w:kern w:val="0"/>
              <w:sz w:val="24"/>
              <w:szCs w:val="24"/>
              <w:lang w:val="en-US" w:eastAsia="zh-CN" w:bidi="ar-SA"/>
            </w:rPr>
            <w:id w:val="147471276"/>
            <w:placeholder>
              <w:docPart w:val="{2fe68bf9-e570-429b-a8b5-0a9aed96709c}"/>
            </w:placeholder>
            <w15:repeatingSectionItem/>
          </w:sdtPr>
          <w:sdtEndPr>
            <w:rPr>
              <w:rFonts w:hint="eastAsia" w:ascii="Times New Roman" w:hAnsi="Times New Roman" w:eastAsia="宋体" w:cs="Times New Roman"/>
              <w:color w:val="FF0000"/>
              <w:kern w:val="0"/>
              <w:sz w:val="24"/>
              <w:szCs w:val="24"/>
              <w:lang w:val="en-US" w:eastAsia="zh-CN" w:bidi="ar-SA"/>
            </w:rPr>
          </w:sdtEndPr>
          <w:sdtContent>
            <w:p>
              <w:pPr>
                <w:pStyle w:val="2"/>
                <w:rPr>
                  <w:rFonts w:hint="eastAsia" w:ascii="宋体" w:hAnsi="宋体" w:eastAsia="宋体" w:cs="宋体"/>
                  <w:i w:val="0"/>
                  <w:iCs w:val="0"/>
                  <w:caps w:val="0"/>
                  <w:color w:val="FF0000"/>
                  <w:spacing w:val="0"/>
                  <w:sz w:val="24"/>
                  <w:szCs w:val="24"/>
                  <w:shd w:val="clear" w:fill="FFFFFF"/>
                  <w:lang w:eastAsia="zh-CN"/>
                </w:rPr>
              </w:pPr>
              <w:r>
                <w:rPr>
                  <w:rFonts w:hint="eastAsia" w:cs="Times New Roman"/>
                  <w:color w:val="auto"/>
                  <w:kern w:val="0"/>
                  <w:sz w:val="24"/>
                  <w:szCs w:val="24"/>
                  <w:lang w:val="en-US" w:eastAsia="zh-CN" w:bidi="ar-SA"/>
                </w:rPr>
                <w:t>1、</w:t>
              </w:r>
              <w:r>
                <w:rPr>
                  <w:rFonts w:hint="eastAsia" w:ascii="宋体" w:hAnsi="宋体" w:cs="宋体"/>
                  <w:color w:val="auto"/>
                  <w:kern w:val="0"/>
                  <w:sz w:val="24"/>
                  <w:szCs w:val="24"/>
                  <w:lang w:val="en-US" w:eastAsia="zh-CN" w:bidi="ar-SA"/>
                </w:rPr>
                <w:t>要求</w:t>
              </w:r>
              <w:r>
                <w:rPr>
                  <w:rFonts w:hint="eastAsia" w:ascii="宋体" w:hAnsi="宋体" w:eastAsia="宋体" w:cs="宋体"/>
                  <w:sz w:val="24"/>
                  <w:szCs w:val="24"/>
                </w:rPr>
                <w:t>玻镁</w:t>
              </w:r>
              <w:r>
                <w:rPr>
                  <w:rFonts w:hint="eastAsia" w:ascii="宋体" w:hAnsi="宋体" w:eastAsia="宋体" w:cs="宋体"/>
                  <w:i w:val="0"/>
                  <w:iCs w:val="0"/>
                  <w:color w:val="000000"/>
                  <w:kern w:val="0"/>
                  <w:sz w:val="24"/>
                  <w:szCs w:val="24"/>
                  <w:u w:val="none"/>
                  <w:lang w:val="en-US" w:eastAsia="zh-CN" w:bidi="ar"/>
                </w:rPr>
                <w:t>彩钢板</w:t>
              </w:r>
              <w:r>
                <w:rPr>
                  <w:rFonts w:hint="eastAsia" w:ascii="宋体" w:hAnsi="宋体" w:cs="宋体"/>
                  <w:i w:val="0"/>
                  <w:iCs w:val="0"/>
                  <w:color w:val="000000"/>
                  <w:kern w:val="0"/>
                  <w:sz w:val="24"/>
                  <w:szCs w:val="24"/>
                  <w:u w:val="none"/>
                  <w:lang w:val="en-US" w:eastAsia="zh-CN" w:bidi="ar"/>
                </w:rPr>
                <w:t>材料的防火等级不低于B1级</w:t>
              </w:r>
              <w:r>
                <w:rPr>
                  <w:rFonts w:hint="eastAsia" w:ascii="宋体" w:hAnsi="宋体" w:cs="宋体"/>
                  <w:i w:val="0"/>
                  <w:iCs w:val="0"/>
                  <w:caps w:val="0"/>
                  <w:color w:val="FF0000"/>
                  <w:spacing w:val="0"/>
                  <w:sz w:val="24"/>
                  <w:szCs w:val="24"/>
                  <w:shd w:val="clear" w:fill="FFFFFF"/>
                  <w:lang w:eastAsia="zh-CN"/>
                </w:rPr>
                <w:t>；</w:t>
              </w:r>
            </w:p>
            <w:p>
              <w:pPr>
                <w:pStyle w:val="2"/>
                <w:rPr>
                  <w:rFonts w:hint="eastAsia" w:eastAsia="宋体"/>
                  <w:color w:val="FF0000"/>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2"/>
        <w:ind w:left="-708" w:leftChars="-337"/>
        <w:rPr>
          <w:color w:val="auto"/>
        </w:rPr>
      </w:pPr>
      <w:r>
        <w:rPr>
          <w:rFonts w:hint="eastAsia"/>
          <w:color w:val="auto"/>
        </w:rPr>
        <w:t>1、投标人应保证所</w:t>
      </w:r>
      <w:r>
        <w:rPr>
          <w:rFonts w:hint="eastAsia"/>
          <w:color w:val="auto"/>
          <w:lang w:eastAsia="zh-CN"/>
        </w:rPr>
        <w:t>使用的施工材料达到相应的施工标准以及</w:t>
      </w:r>
      <w:r>
        <w:rPr>
          <w:rFonts w:hint="eastAsia"/>
          <w:color w:val="auto"/>
          <w:lang w:val="en-US" w:eastAsia="zh-CN"/>
        </w:rPr>
        <w:t>符合</w:t>
      </w:r>
      <w:r>
        <w:rPr>
          <w:rFonts w:hint="eastAsia"/>
          <w:color w:val="auto"/>
        </w:rPr>
        <w:t>国家相关规范。</w:t>
      </w:r>
    </w:p>
    <w:p>
      <w:pPr>
        <w:pStyle w:val="2"/>
        <w:ind w:left="-708" w:leftChars="-337"/>
        <w:rPr>
          <w:rFonts w:hint="eastAsia"/>
          <w:color w:val="auto"/>
        </w:rPr>
      </w:pPr>
      <w:r>
        <w:rPr>
          <w:rFonts w:hint="eastAsia"/>
          <w:color w:val="auto"/>
          <w:lang w:val="en-US" w:eastAsia="zh-CN"/>
        </w:rPr>
        <w:t>2</w:t>
      </w:r>
      <w:r>
        <w:rPr>
          <w:rFonts w:hint="eastAsia"/>
          <w:color w:val="auto"/>
        </w:rPr>
        <w:t>、投标总价必须包含售后服务、税金及其它所有费用的总和，如另有要求请在投标文件中注明。</w:t>
      </w:r>
    </w:p>
    <w:p>
      <w:pPr>
        <w:pStyle w:val="2"/>
        <w:ind w:left="-708" w:leftChars="-337"/>
        <w:rPr>
          <w:rFonts w:hint="eastAsia" w:eastAsia="宋体"/>
          <w:color w:val="auto"/>
          <w:lang w:val="en-US" w:eastAsia="zh-CN"/>
        </w:rPr>
      </w:pPr>
      <w:r>
        <w:rPr>
          <w:rFonts w:hint="eastAsia"/>
          <w:color w:val="auto"/>
          <w:lang w:val="en-US" w:eastAsia="zh-CN"/>
        </w:rPr>
        <w:t>3、</w:t>
      </w:r>
      <w:r>
        <w:t>要求</w:t>
      </w:r>
      <w:r>
        <w:rPr>
          <w:rFonts w:hint="eastAsia"/>
          <w:lang w:eastAsia="zh-CN"/>
        </w:rPr>
        <w:t>施工质量符合国家相关质量标准、规范，满足业主及使用科室验收要求</w:t>
      </w:r>
      <w:r>
        <w:rPr>
          <w:rFonts w:hint="eastAsia"/>
        </w:rPr>
        <w:t>。</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2"/>
            <w:ind w:left="-708" w:leftChars="-337"/>
            <w:rPr>
              <w:rFonts w:cs="宋体"/>
            </w:rPr>
          </w:pPr>
          <w:r>
            <w:rPr>
              <w:rFonts w:hint="eastAsia"/>
            </w:rPr>
            <w:t>4</w:t>
          </w:r>
          <w:r>
            <w:rPr>
              <w:rFonts w:hint="eastAsia" w:cs="宋体"/>
              <w:color w:val="000000" w:themeColor="text1"/>
              <w14:textFill>
                <w14:solidFill>
                  <w14:schemeClr w14:val="tx1"/>
                </w14:solidFill>
              </w14:textFill>
            </w:rPr>
            <w:t>、本项目不接收联合体投标。</w:t>
          </w:r>
        </w:p>
        <w:p>
          <w:pPr>
            <w:pStyle w:val="2"/>
            <w:ind w:left="-708" w:leftChars="-337"/>
          </w:pPr>
          <w:r>
            <w:rPr>
              <w:rFonts w:hint="eastAsia"/>
            </w:rPr>
            <w:t>5、</w:t>
          </w:r>
          <w:r>
            <w:rPr>
              <w:rFonts w:hint="eastAsia"/>
              <w:lang w:eastAsia="zh-CN"/>
            </w:rPr>
            <w:t>具备建筑工程施工二级</w:t>
          </w:r>
          <w:r>
            <w:rPr>
              <w:rFonts w:hint="eastAsia"/>
            </w:rPr>
            <w:t>及以上资质等级。</w:t>
          </w: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ascii="宋体" w:hAnsi="宋体" w:eastAsia="宋体" w:cs="宋体"/>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ascii="宋体" w:hAnsi="宋体" w:eastAsia="宋体" w:cs="宋体"/>
          <w:color w:val="000000"/>
          <w:kern w:val="0"/>
          <w:sz w:val="24"/>
          <w:szCs w:val="24"/>
        </w:rPr>
      </w:sdtEndPr>
      <w:sdtContent>
        <w:p>
          <w:pPr>
            <w:pStyle w:val="2"/>
            <w:ind w:left="-708" w:leftChars="-337"/>
            <w:rPr>
              <w:rFonts w:hint="eastAsia" w:ascii="宋体" w:hAnsi="宋体" w:eastAsia="宋体" w:cs="宋体"/>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themeColor="text1"/>
              <w14:textFill>
                <w14:solidFill>
                  <w14:schemeClr w14:val="tx1"/>
                </w14:solidFill>
              </w14:textFill>
            </w:rPr>
            <w:t>质保期：施工完毕通过验收投入使用之日起不少于1年。</w:t>
          </w:r>
        </w:p>
        <w:p>
          <w:pPr>
            <w:pStyle w:val="2"/>
            <w:ind w:left="-708" w:leftChars="-337"/>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维修</w:t>
          </w:r>
          <w:r>
            <w:rPr>
              <w:rFonts w:hint="eastAsia" w:ascii="宋体" w:hAnsi="宋体" w:eastAsia="宋体" w:cs="宋体"/>
              <w:color w:val="000000" w:themeColor="text1"/>
              <w14:textFill>
                <w14:solidFill>
                  <w14:schemeClr w14:val="tx1"/>
                </w14:solidFill>
              </w14:textFill>
            </w:rPr>
            <w:t>处理：</w:t>
          </w:r>
          <w:r>
            <w:rPr>
              <w:rFonts w:hint="eastAsia" w:ascii="宋体" w:hAnsi="宋体" w:eastAsia="宋体" w:cs="宋体"/>
              <w:color w:val="000000" w:themeColor="text1"/>
              <w:lang w:val="en-US" w:eastAsia="zh-CN"/>
              <w14:textFill>
                <w14:solidFill>
                  <w14:schemeClr w14:val="tx1"/>
                </w14:solidFill>
              </w14:textFill>
            </w:rPr>
            <w:t>在质保期内发现工程质量问题，投标人需无</w:t>
          </w:r>
          <w:r>
            <w:rPr>
              <w:rFonts w:hint="eastAsia" w:ascii="宋体" w:hAnsi="宋体" w:eastAsia="宋体" w:cs="宋体"/>
              <w:lang w:val="en-US" w:eastAsia="zh-CN"/>
            </w:rPr>
            <w:t>条件翻工（包工包料）。</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w:t>
      </w:r>
      <w:r>
        <w:rPr>
          <w:rFonts w:hint="eastAsia" w:cs="宋体"/>
          <w:b/>
          <w:bCs/>
          <w:kern w:val="0"/>
          <w:sz w:val="28"/>
          <w:szCs w:val="28"/>
          <w:lang w:eastAsia="zh-CN"/>
        </w:rPr>
        <w:t>工</w:t>
      </w:r>
      <w:r>
        <w:rPr>
          <w:rFonts w:hint="eastAsia" w:cs="宋体"/>
          <w:b/>
          <w:bCs/>
          <w:kern w:val="0"/>
          <w:sz w:val="28"/>
          <w:szCs w:val="28"/>
        </w:rPr>
        <w:t>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rFonts w:hint="default"/>
            <w:color w:val="FF0000"/>
            <w:kern w:val="0"/>
            <w:sz w:val="24"/>
            <w:szCs w:val="24"/>
            <w:u w:val="single"/>
            <w:lang w:val="en-US"/>
          </w:rPr>
          <w:alias w:val="根据实际情况填写"/>
          <w:tag w:val="根据实际情况填写"/>
          <w:id w:val="445283709"/>
          <w:placeholder>
            <w:docPart w:val="{cf07a1c0-5ef1-41a9-b89f-f022ea76c63f}"/>
          </w:placeholder>
          <w15:color w:val="FF0000"/>
        </w:sdtPr>
        <w:sdtEndPr>
          <w:rPr>
            <w:rFonts w:hint="default"/>
            <w:color w:val="FF0000"/>
            <w:kern w:val="0"/>
            <w:sz w:val="24"/>
            <w:szCs w:val="24"/>
            <w:u w:val="single"/>
            <w:lang w:val="en-US"/>
          </w:rPr>
        </w:sdtEndPr>
        <w:sdtContent>
          <w:r>
            <w:rPr>
              <w:rFonts w:hint="eastAsia"/>
              <w:color w:val="FF0000"/>
              <w:kern w:val="0"/>
              <w:sz w:val="24"/>
              <w:szCs w:val="24"/>
              <w:u w:val="single"/>
              <w:lang w:val="en-US" w:eastAsia="zh-CN"/>
            </w:rPr>
            <w:t>60</w:t>
          </w:r>
        </w:sdtContent>
      </w:sdt>
      <w:r>
        <w:rPr>
          <w:color w:val="FF0000"/>
          <w:kern w:val="0"/>
          <w:sz w:val="24"/>
          <w:szCs w:val="24"/>
          <w:u w:val="single"/>
        </w:rPr>
        <w:t xml:space="preserve">  </w:t>
      </w:r>
      <w:r>
        <w:rPr>
          <w:rFonts w:hint="eastAsia" w:ascii="Times New Roman" w:hAnsi="Times New Roman" w:cs="宋体"/>
          <w:kern w:val="0"/>
          <w:sz w:val="24"/>
          <w:szCs w:val="24"/>
          <w:lang w:val="en-US" w:eastAsia="zh-CN"/>
        </w:rPr>
        <w:t>日历</w:t>
      </w:r>
      <w:r>
        <w:rPr>
          <w:rFonts w:hint="eastAsia" w:cs="宋体"/>
          <w:kern w:val="0"/>
          <w:sz w:val="24"/>
          <w:szCs w:val="24"/>
        </w:rPr>
        <w:t>天内</w:t>
      </w:r>
      <w:r>
        <w:rPr>
          <w:rFonts w:hint="eastAsia" w:cs="宋体"/>
          <w:kern w:val="0"/>
          <w:sz w:val="24"/>
          <w:szCs w:val="24"/>
          <w:lang w:val="en-US" w:eastAsia="zh-CN"/>
        </w:rPr>
        <w:t>完工</w:t>
      </w:r>
      <w:r>
        <w:rPr>
          <w:rFonts w:hint="eastAsia" w:cs="宋体"/>
          <w:kern w:val="0"/>
          <w:sz w:val="24"/>
          <w:szCs w:val="24"/>
        </w:rPr>
        <w:t>并交付使用。</w:t>
      </w:r>
      <w:r>
        <w:rPr>
          <w:rFonts w:hint="eastAsia" w:cs="宋体"/>
          <w:kern w:val="0"/>
          <w:sz w:val="24"/>
          <w:szCs w:val="24"/>
          <w:lang w:val="en-US" w:eastAsia="zh-CN"/>
        </w:rPr>
        <w:t>若因投标方原因导致工期延误，按合同款</w:t>
      </w:r>
      <w:r>
        <w:rPr>
          <w:rFonts w:hint="eastAsia" w:cs="宋体"/>
          <w:color w:val="FF0000"/>
          <w:kern w:val="0"/>
          <w:sz w:val="24"/>
          <w:szCs w:val="24"/>
          <w:u w:val="single"/>
          <w:lang w:val="en-US" w:eastAsia="zh-CN"/>
        </w:rPr>
        <w:t xml:space="preserve">  </w:t>
      </w:r>
      <w:r>
        <w:rPr>
          <w:rFonts w:hint="eastAsia" w:ascii="Times New Roman" w:hAnsi="Times New Roman" w:cs="宋体"/>
          <w:color w:val="FF0000"/>
          <w:kern w:val="0"/>
          <w:sz w:val="24"/>
          <w:szCs w:val="24"/>
          <w:u w:val="single"/>
          <w:lang w:val="en-US" w:eastAsia="zh-CN"/>
        </w:rPr>
        <w:t>5‰</w:t>
      </w:r>
      <w:r>
        <w:rPr>
          <w:rFonts w:hint="eastAsia" w:cs="宋体"/>
          <w:color w:val="FF0000"/>
          <w:kern w:val="0"/>
          <w:sz w:val="24"/>
          <w:szCs w:val="24"/>
          <w:u w:val="single"/>
          <w:lang w:val="en-US" w:eastAsia="zh-CN"/>
        </w:rPr>
        <w:t xml:space="preserve">/天  </w:t>
      </w:r>
      <w:r>
        <w:rPr>
          <w:rFonts w:hint="eastAsia" w:cs="宋体"/>
          <w:kern w:val="0"/>
          <w:sz w:val="24"/>
          <w:szCs w:val="24"/>
          <w:lang w:val="en-US" w:eastAsia="zh-CN"/>
        </w:rPr>
        <w:t>扣除违约金，上限为合同款</w:t>
      </w:r>
      <w:r>
        <w:rPr>
          <w:rFonts w:hint="eastAsia" w:cs="宋体"/>
          <w:color w:val="FF0000"/>
          <w:kern w:val="0"/>
          <w:sz w:val="24"/>
          <w:szCs w:val="24"/>
          <w:u w:val="single"/>
          <w:lang w:val="en-US" w:eastAsia="zh-CN"/>
        </w:rPr>
        <w:t xml:space="preserve">  20% </w:t>
      </w:r>
      <w:r>
        <w:rPr>
          <w:rFonts w:hint="eastAsia" w:cs="宋体"/>
          <w:color w:val="FF0000"/>
          <w:kern w:val="0"/>
          <w:sz w:val="24"/>
          <w:szCs w:val="24"/>
          <w:u w:val="none"/>
          <w:lang w:val="en-US" w:eastAsia="zh-CN"/>
        </w:rPr>
        <w:t xml:space="preserve"> 。</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w:t>
      </w:r>
      <w:r>
        <w:rPr>
          <w:rFonts w:hint="eastAsia" w:cs="宋体"/>
          <w:b/>
          <w:bCs/>
          <w:kern w:val="0"/>
          <w:sz w:val="28"/>
          <w:szCs w:val="28"/>
          <w:lang w:eastAsia="zh-CN"/>
        </w:rPr>
        <w:t>施工</w:t>
      </w:r>
      <w:r>
        <w:rPr>
          <w:rFonts w:hint="eastAsia" w:cs="宋体"/>
          <w:b/>
          <w:bCs/>
          <w:kern w:val="0"/>
          <w:sz w:val="28"/>
          <w:szCs w:val="28"/>
        </w:rPr>
        <w:t>地点</w:t>
      </w:r>
    </w:p>
    <w:p>
      <w:pPr>
        <w:widowControl/>
        <w:spacing w:line="360" w:lineRule="auto"/>
        <w:ind w:left="-708" w:leftChars="-338" w:hanging="2"/>
        <w:jc w:val="left"/>
        <w:rPr>
          <w:rFonts w:cs="宋体"/>
          <w:kern w:val="0"/>
          <w:sz w:val="24"/>
          <w:szCs w:val="24"/>
        </w:rPr>
      </w:pPr>
      <w:r>
        <w:rPr>
          <w:rFonts w:hint="eastAsia" w:cs="宋体"/>
          <w:kern w:val="0"/>
          <w:sz w:val="24"/>
          <w:szCs w:val="24"/>
          <w:lang w:eastAsia="zh-CN"/>
        </w:rPr>
        <w:t>施工</w:t>
      </w:r>
      <w:r>
        <w:rPr>
          <w:rFonts w:hint="eastAsia" w:cs="宋体"/>
          <w:kern w:val="0"/>
          <w:sz w:val="24"/>
          <w:szCs w:val="24"/>
        </w:rPr>
        <w:t>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kern w:val="0"/>
              <w:sz w:val="24"/>
              <w:szCs w:val="24"/>
              <w:u w:val="single"/>
              <w:lang w:eastAsia="zh-CN"/>
            </w:rPr>
            <w:t>门诊外科综合楼</w:t>
          </w:r>
          <w:r>
            <w:rPr>
              <w:rFonts w:hint="eastAsia"/>
              <w:kern w:val="0"/>
              <w:sz w:val="24"/>
              <w:szCs w:val="24"/>
              <w:u w:val="single"/>
              <w:lang w:val="en-US" w:eastAsia="zh-CN"/>
            </w:rPr>
            <w:t>4楼</w:t>
          </w:r>
        </w:sdtContent>
      </w:sdt>
      <w:r>
        <w:rPr>
          <w:kern w:val="0"/>
          <w:sz w:val="24"/>
          <w:szCs w:val="24"/>
          <w:u w:val="single"/>
        </w:rPr>
        <w:t xml:space="preserve"> </w:t>
      </w:r>
      <w:r>
        <w:rPr>
          <w:rFonts w:hint="eastAsia"/>
          <w:kern w:val="0"/>
          <w:sz w:val="24"/>
          <w:szCs w:val="24"/>
          <w:u w:val="single"/>
          <w:lang w:val="en-US" w:eastAsia="zh-CN"/>
        </w:rPr>
        <w:t xml:space="preserve"> </w:t>
      </w:r>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hint="default" w:eastAsia="宋体" w:cs="宋体"/>
          <w:color w:val="000000" w:themeColor="text1"/>
          <w:kern w:val="0"/>
          <w:sz w:val="24"/>
          <w:szCs w:val="24"/>
          <w:u w:val="none"/>
          <w:lang w:val="en-US" w:eastAsia="zh-CN"/>
          <w14:textFill>
            <w14:solidFill>
              <w14:schemeClr w14:val="tx1"/>
            </w14:solidFill>
          </w14:textFill>
        </w:rPr>
      </w:pPr>
      <w:r>
        <w:rPr>
          <w:rFonts w:hint="eastAsia" w:cs="宋体"/>
          <w:kern w:val="0"/>
          <w:sz w:val="24"/>
          <w:szCs w:val="24"/>
          <w:lang w:eastAsia="zh-CN"/>
        </w:rPr>
        <w:t>经组织竣工验收合格后</w:t>
      </w:r>
      <w:r>
        <w:rPr>
          <w:rFonts w:hint="eastAsia" w:cs="宋体"/>
          <w:kern w:val="0"/>
          <w:sz w:val="24"/>
          <w:szCs w:val="24"/>
        </w:rPr>
        <w:t>，付合同款的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lang w:val="en-US" w:eastAsia="zh-CN"/>
            </w:rPr>
            <w:t>95</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color w:val="FF0000"/>
          <w:kern w:val="0"/>
          <w:sz w:val="24"/>
          <w:szCs w:val="24"/>
          <w:u w:val="none"/>
          <w:lang w:eastAsia="zh-CN"/>
        </w:rPr>
        <w:t>，</w:t>
      </w:r>
      <w:r>
        <w:rPr>
          <w:rFonts w:hint="eastAsia" w:cs="宋体"/>
          <w:color w:val="000000" w:themeColor="text1"/>
          <w:kern w:val="0"/>
          <w:sz w:val="24"/>
          <w:szCs w:val="24"/>
          <w:u w:val="none"/>
          <w:lang w:eastAsia="zh-CN"/>
          <w14:textFill>
            <w14:solidFill>
              <w14:schemeClr w14:val="tx1"/>
            </w14:solidFill>
          </w14:textFill>
        </w:rPr>
        <w:t>其余</w:t>
      </w:r>
      <w:r>
        <w:rPr>
          <w:rFonts w:hint="eastAsia" w:cs="宋体"/>
          <w:color w:val="FF0000"/>
          <w:kern w:val="0"/>
          <w:sz w:val="24"/>
          <w:szCs w:val="24"/>
          <w:u w:val="single"/>
          <w:lang w:val="en-US" w:eastAsia="zh-CN"/>
        </w:rPr>
        <w:t xml:space="preserve"> 5% </w:t>
      </w:r>
      <w:r>
        <w:rPr>
          <w:rFonts w:hint="eastAsia" w:cs="宋体"/>
          <w:color w:val="000000" w:themeColor="text1"/>
          <w:kern w:val="0"/>
          <w:sz w:val="24"/>
          <w:szCs w:val="24"/>
          <w:u w:val="none"/>
          <w:lang w:val="en-US" w:eastAsia="zh-CN"/>
          <w14:textFill>
            <w14:solidFill>
              <w14:schemeClr w14:val="tx1"/>
            </w14:solidFill>
          </w14:textFill>
        </w:rPr>
        <w:t>作为质保金</w:t>
      </w:r>
      <w:r>
        <w:rPr>
          <w:rFonts w:hint="eastAsia" w:cs="宋体"/>
          <w:color w:val="FF0000"/>
          <w:kern w:val="0"/>
          <w:sz w:val="24"/>
          <w:szCs w:val="24"/>
          <w:u w:val="none"/>
          <w:lang w:val="en-US" w:eastAsia="zh-CN"/>
        </w:rPr>
        <w:t>，</w:t>
      </w:r>
      <w:r>
        <w:rPr>
          <w:rFonts w:hint="eastAsia" w:cs="宋体"/>
          <w:color w:val="FF0000"/>
          <w:kern w:val="0"/>
          <w:sz w:val="24"/>
          <w:szCs w:val="24"/>
          <w:u w:val="single"/>
          <w:lang w:val="en-US" w:eastAsia="zh-CN"/>
        </w:rPr>
        <w:t xml:space="preserve"> 1 </w:t>
      </w:r>
      <w:r>
        <w:rPr>
          <w:rFonts w:hint="eastAsia" w:cs="宋体"/>
          <w:color w:val="000000" w:themeColor="text1"/>
          <w:kern w:val="0"/>
          <w:sz w:val="24"/>
          <w:szCs w:val="24"/>
          <w:u w:val="none"/>
          <w:lang w:val="en-US" w:eastAsia="zh-CN"/>
          <w14:textFill>
            <w14:solidFill>
              <w14:schemeClr w14:val="tx1"/>
            </w14:solidFill>
          </w14:textFill>
        </w:rPr>
        <w:t>年内无质量问题后付清（无息）。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15:color w:val="FF0000"/>
      </w:sdtPr>
      <w:sdtContent>
        <w:p>
          <w:pPr>
            <w:pStyle w:val="2"/>
          </w:pPr>
          <w:r>
            <w:rPr>
              <w:rFonts w:hint="eastAsia"/>
              <w:lang w:eastAsia="zh-CN"/>
            </w:rPr>
            <w:t>无</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jc w:val="left"/>
        <w:rPr>
          <w:rFonts w:hint="eastAsia"/>
          <w:lang w:eastAsia="zh-CN"/>
        </w:rPr>
      </w:pP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sz w:val="24"/>
              <w:szCs w:val="24"/>
              <w:u w:val="single"/>
            </w:rPr>
            <w:t>最低价评标法</w:t>
          </w:r>
        </w:sdtContent>
      </w:sdt>
      <w:r>
        <w:rPr>
          <w:rFonts w:cs="宋体"/>
          <w:kern w:val="0"/>
          <w:sz w:val="24"/>
          <w:szCs w:val="24"/>
          <w:u w:val="single"/>
        </w:rPr>
        <w:t xml:space="preserve">  </w:t>
      </w:r>
      <w:r>
        <w:rPr>
          <w:rFonts w:hint="eastAsia" w:cs="宋体"/>
          <w:kern w:val="0"/>
          <w:sz w:val="24"/>
          <w:szCs w:val="24"/>
        </w:rPr>
        <w:t>确定中标候选人。</w:t>
      </w:r>
    </w:p>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38B962D7">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B962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B4680"/>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73563D4"/>
    <w:rsid w:val="10436CD8"/>
    <w:rsid w:val="10C97A40"/>
    <w:rsid w:val="11661809"/>
    <w:rsid w:val="20E13B0E"/>
    <w:rsid w:val="22EE5D65"/>
    <w:rsid w:val="3F081601"/>
    <w:rsid w:val="4A7346E2"/>
    <w:rsid w:val="53C66217"/>
    <w:rsid w:val="6AFF0177"/>
    <w:rsid w:val="71E85E18"/>
    <w:rsid w:val="74394E39"/>
    <w:rsid w:val="7570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character" w:customStyle="1" w:styleId="21">
    <w:name w:val="font21"/>
    <w:basedOn w:val="10"/>
    <w:qFormat/>
    <w:uiPriority w:val="0"/>
    <w:rPr>
      <w:rFonts w:hint="eastAsia" w:ascii="黑体" w:hAnsi="宋体" w:eastAsia="黑体" w:cs="黑体"/>
      <w:color w:val="000000"/>
      <w:sz w:val="28"/>
      <w:szCs w:val="28"/>
      <w:u w:val="none"/>
    </w:rPr>
  </w:style>
  <w:style w:type="character" w:customStyle="1" w:styleId="22">
    <w:name w:val="font3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
      <w:docPartPr>
        <w:name w:val="{cf07a1c0-5ef1-41a9-b89f-f022ea76c63f}"/>
        <w:style w:val=""/>
        <w:category>
          <w:name w:val="常规"/>
          <w:gallery w:val="placeholder"/>
        </w:category>
        <w:types>
          <w:type w:val="bbPlcHdr"/>
        </w:types>
        <w:behaviors>
          <w:behavior w:val="content"/>
        </w:behaviors>
        <w:description w:val=""/>
        <w:guid w:val="{cf07a1c0-5ef1-41a9-b89f-f022ea76c63f}"/>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550</Words>
  <Characters>3137</Characters>
  <Lines>26</Lines>
  <Paragraphs>7</Paragraphs>
  <TotalTime>0</TotalTime>
  <ScaleCrop>false</ScaleCrop>
  <LinksUpToDate>false</LinksUpToDate>
  <CharactersWithSpaces>3680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飞翔的地主仔</cp:lastModifiedBy>
  <cp:lastPrinted>2021-01-18T07:59:00Z</cp:lastPrinted>
  <dcterms:modified xsi:type="dcterms:W3CDTF">2021-11-08T01:59:33Z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BC6B623858AD4EF6B8932C9852D63447</vt:lpwstr>
  </property>
</Properties>
</file>