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8"/>
        <w:ind w:left="-708" w:leftChars="-338" w:hanging="2"/>
        <w:rPr>
          <w:color w:val="FF0000"/>
          <w:sz w:val="21"/>
          <w:szCs w:val="21"/>
        </w:rPr>
      </w:pPr>
      <w:r>
        <w:rPr>
          <w:rFonts w:hint="eastAsia"/>
          <w:color w:val="FF0000"/>
          <w:sz w:val="21"/>
          <w:szCs w:val="21"/>
        </w:rPr>
        <w:t>2、★ 部分为核心参数，不满足视为无效投标。</w:t>
      </w:r>
    </w:p>
    <w:p>
      <w:pPr>
        <w:pStyle w:val="8"/>
        <w:ind w:left="-708" w:leftChars="-337"/>
        <w:rPr>
          <w:rFonts w:cs="宋体"/>
          <w:b/>
          <w:bCs/>
          <w:sz w:val="28"/>
          <w:szCs w:val="28"/>
        </w:rPr>
      </w:pPr>
      <w:r>
        <w:rPr>
          <w:rFonts w:hint="eastAsia" w:cs="宋体"/>
          <w:b/>
          <w:bCs/>
          <w:sz w:val="28"/>
          <w:szCs w:val="28"/>
        </w:rPr>
        <w:t>一、采购清单、技术规格参数、质量标准和要求</w:t>
      </w:r>
    </w:p>
    <w:p>
      <w:pPr>
        <w:pStyle w:val="8"/>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7"/>
          <w:color w:val="auto"/>
          <w:kern w:val="2"/>
        </w:rPr>
        <w:commentReference w:id="0"/>
      </w:r>
      <w:r>
        <w:rPr>
          <w:b/>
          <w:bCs/>
        </w:rPr>
        <w:t> </w:t>
      </w:r>
    </w:p>
    <w:tbl>
      <w:tblPr>
        <w:tblStyle w:val="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8"/>
              <w:jc w:val="both"/>
            </w:pPr>
            <w:r>
              <w:rPr>
                <w:rFonts w:hint="eastAsia"/>
              </w:rPr>
              <w:t>项目名称</w:t>
            </w:r>
          </w:p>
        </w:tc>
        <w:tc>
          <w:tcPr>
            <w:tcW w:w="846" w:type="dxa"/>
          </w:tcPr>
          <w:p>
            <w:pPr>
              <w:pStyle w:val="8"/>
              <w:jc w:val="both"/>
            </w:pPr>
            <w:r>
              <w:rPr>
                <w:rFonts w:hint="eastAsia"/>
              </w:rPr>
              <w:t>数量</w:t>
            </w:r>
          </w:p>
        </w:tc>
        <w:tc>
          <w:tcPr>
            <w:tcW w:w="4394" w:type="dxa"/>
          </w:tcPr>
          <w:p>
            <w:pPr>
              <w:pStyle w:val="8"/>
              <w:jc w:val="both"/>
            </w:pPr>
            <w:r>
              <w:rPr>
                <w:rFonts w:hint="eastAsia"/>
              </w:rPr>
              <w:t>产品用途与说明</w:t>
            </w:r>
          </w:p>
        </w:tc>
        <w:tc>
          <w:tcPr>
            <w:tcW w:w="1701" w:type="dxa"/>
          </w:tcPr>
          <w:p>
            <w:pPr>
              <w:pStyle w:val="8"/>
              <w:jc w:val="both"/>
            </w:pPr>
            <w:r>
              <w:rPr>
                <w:rFonts w:hint="eastAsia"/>
              </w:rPr>
              <w:t>实施地点</w:t>
            </w:r>
          </w:p>
        </w:tc>
      </w:tr>
      <w:sdt>
        <w:sdtPr>
          <w:alias w:val="根据实际情况填写"/>
          <w:tag w:val="根据实际情况填写"/>
          <w:id w:val="-1110810611"/>
          <w:placeholder>
            <w:docPart w:val="{7edba90d-20f4-44a2-9838-3a1c49bb15be}"/>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8"/>
                  <w:jc w:val="both"/>
                  <w:rPr>
                    <w:rFonts w:hint="eastAsia"/>
                  </w:rPr>
                </w:pPr>
                <w:r>
                  <w:rPr>
                    <w:rFonts w:hint="eastAsia"/>
                  </w:rPr>
                  <w:t>输血输液加压仪</w:t>
                </w:r>
              </w:p>
            </w:tc>
            <w:tc>
              <w:tcPr>
                <w:tcW w:w="846" w:type="dxa"/>
              </w:tcPr>
              <w:p>
                <w:pPr>
                  <w:pStyle w:val="8"/>
                  <w:jc w:val="both"/>
                  <w:rPr>
                    <w:rFonts w:hint="eastAsia"/>
                  </w:rPr>
                </w:pPr>
                <w:r>
                  <w:rPr>
                    <w:rFonts w:hint="eastAsia"/>
                  </w:rPr>
                  <w:t>1台</w:t>
                </w:r>
              </w:p>
            </w:tc>
            <w:tc>
              <w:tcPr>
                <w:tcW w:w="4394" w:type="dxa"/>
              </w:tcPr>
              <w:p>
                <w:pPr>
                  <w:rPr>
                    <w:rFonts w:hint="eastAsia"/>
                  </w:rPr>
                </w:pPr>
                <w:r>
                  <w:t>适用于恒定压力下的液体输注（镇痛药、化疗药物、胰岛素除外）；不与液体接触，要求使用的液体袋承压应不小于300mmHg</w:t>
                </w:r>
                <w:r>
                  <w:rPr>
                    <w:rFonts w:hint="eastAsia"/>
                  </w:rPr>
                  <w:t>.</w:t>
                </w:r>
              </w:p>
            </w:tc>
            <w:tc>
              <w:tcPr>
                <w:tcW w:w="1701" w:type="dxa"/>
              </w:tcPr>
              <w:p>
                <w:pPr>
                  <w:pStyle w:val="8"/>
                  <w:jc w:val="both"/>
                </w:pPr>
                <w:r>
                  <w:rPr>
                    <w:rFonts w:hint="eastAsia"/>
                  </w:rPr>
                  <w:t>广西桂东人民医院指定地点</w:t>
                </w:r>
              </w:p>
              <w:p>
                <w:pPr>
                  <w:pStyle w:val="8"/>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rPr>
        <w:id w:val="147471302"/>
        <w15:repeatingSection/>
      </w:sdtPr>
      <w:sdtEndPr>
        <w:rPr>
          <w:rFonts w:hint="eastAsia"/>
        </w:rPr>
      </w:sdtEndPr>
      <w:sdtContent>
        <w:sdt>
          <w:sdtPr>
            <w:rPr>
              <w:rFonts w:hint="eastAsia"/>
            </w:rPr>
            <w:id w:val="147452392"/>
            <w:placeholder>
              <w:docPart w:val="{3d59e865-5555-48af-96de-4591dbc29e14}"/>
            </w:placeholder>
            <w15:repeatingSectionItem/>
          </w:sdtPr>
          <w:sdtEndPr>
            <w:rPr>
              <w:rFonts w:hint="eastAsia"/>
            </w:rPr>
          </w:sdtEndPr>
          <w:sdtContent>
            <w:p>
              <w:pPr>
                <w:spacing w:line="460" w:lineRule="exact"/>
                <w:rPr>
                  <w:rFonts w:hint="eastAsia" w:ascii="宋体" w:hAnsi="宋体" w:eastAsia="宋体" w:cs="宋体"/>
                  <w:sz w:val="28"/>
                  <w:szCs w:val="28"/>
                  <w:vertAlign w:val="baseline"/>
                </w:rPr>
              </w:pPr>
              <w:r>
                <w:rPr>
                  <w:rFonts w:hint="eastAsia"/>
                </w:rPr>
                <w:t>1. 该产品由主机、加压袋、电源线组成，适用于临床输血、输液的快速加压输注以及需要通过加压袋实现辅助的检查治疗， 电源线与主机为插拔式分离结构，方便更换操作。</w:t>
              </w:r>
            </w:p>
            <w:p>
              <w:pPr>
                <w:spacing w:line="460" w:lineRule="exact"/>
                <w:rPr>
                  <w:rFonts w:hint="eastAsia" w:ascii="宋体" w:hAnsi="宋体" w:eastAsia="宋体" w:cs="宋体"/>
                  <w:sz w:val="28"/>
                  <w:szCs w:val="28"/>
                  <w:vertAlign w:val="baseline"/>
                </w:rPr>
              </w:pPr>
              <w:r>
                <w:rPr>
                  <w:rFonts w:hint="eastAsia"/>
                </w:rPr>
                <w:t>2. 加压仪压力值步进≤5mmHg。</w:t>
              </w:r>
            </w:p>
            <w:p>
              <w:pPr>
                <w:spacing w:line="460" w:lineRule="exact"/>
                <w:rPr>
                  <w:rFonts w:hint="eastAsia" w:ascii="宋体" w:hAnsi="宋体" w:eastAsia="宋体" w:cs="宋体"/>
                  <w:sz w:val="28"/>
                  <w:szCs w:val="28"/>
                  <w:vertAlign w:val="baseline"/>
                </w:rPr>
              </w:pPr>
              <w:r>
                <w:rPr>
                  <w:rFonts w:hint="eastAsia"/>
                </w:rPr>
                <w:t>3. 产品实时显示输出压强，指示当前产品在加压袋内产生的压强，示数误差≤±3mmHg；</w:t>
              </w:r>
            </w:p>
            <w:p>
              <w:pPr>
                <w:spacing w:line="460" w:lineRule="exact"/>
                <w:rPr>
                  <w:rFonts w:hint="eastAsia" w:ascii="宋体" w:hAnsi="宋体" w:eastAsia="宋体" w:cs="宋体"/>
                  <w:sz w:val="28"/>
                  <w:szCs w:val="28"/>
                  <w:vertAlign w:val="baseline"/>
                </w:rPr>
              </w:pPr>
              <w:r>
                <w:rPr>
                  <w:rFonts w:hint="eastAsia"/>
                </w:rPr>
                <w:t>4.长按加减键，压力值能够持续加减。</w:t>
              </w:r>
            </w:p>
            <w:p>
              <w:pPr>
                <w:numPr>
                  <w:ilvl w:val="0"/>
                  <w:numId w:val="2"/>
                </w:numPr>
                <w:spacing w:line="460" w:lineRule="exact"/>
                <w:ind w:left="200" w:hanging="105" w:hangingChars="50"/>
                <w:rPr>
                  <w:rFonts w:hint="eastAsia" w:ascii="宋体" w:hAnsi="宋体" w:eastAsia="宋体" w:cs="宋体"/>
                  <w:sz w:val="28"/>
                  <w:szCs w:val="28"/>
                  <w:vertAlign w:val="baseline"/>
                </w:rPr>
              </w:pPr>
              <w:r>
                <w:rPr>
                  <w:rFonts w:hint="eastAsia"/>
                </w:rPr>
                <w:t xml:space="preserve">产品正常工作时，应能稳定保持输出压强，并根据加压袋内的实际压强变化实时监测实时调整；  </w:t>
              </w:r>
            </w:p>
            <w:p>
              <w:pPr>
                <w:spacing w:line="460" w:lineRule="exact"/>
                <w:rPr>
                  <w:rFonts w:hint="eastAsia" w:ascii="宋体" w:hAnsi="宋体" w:eastAsia="宋体" w:cs="宋体"/>
                  <w:sz w:val="28"/>
                  <w:szCs w:val="28"/>
                  <w:vertAlign w:val="baseline"/>
                </w:rPr>
              </w:pPr>
              <w:r>
                <w:rPr>
                  <w:rFonts w:hint="eastAsia"/>
                </w:rPr>
                <w:t>6.产品应能在25s内使500mL规格加压袋内的压强达到300mmHg；</w:t>
              </w:r>
            </w:p>
            <w:p>
              <w:pPr>
                <w:spacing w:line="460" w:lineRule="exact"/>
                <w:ind w:left="400" w:hanging="210" w:hangingChars="100"/>
                <w:rPr>
                  <w:rFonts w:hint="eastAsia" w:ascii="宋体" w:hAnsi="宋体" w:eastAsia="宋体" w:cs="宋体"/>
                  <w:sz w:val="28"/>
                  <w:szCs w:val="28"/>
                  <w:vertAlign w:val="baseline"/>
                </w:rPr>
              </w:pPr>
              <w:r>
                <w:rPr>
                  <w:rFonts w:hint="eastAsia"/>
                </w:rPr>
                <w:t xml:space="preserve">7.加压仪泄压时，应能在10s内使500mL规格加压袋内压强降低到≤20mmHg；   </w:t>
              </w:r>
            </w:p>
            <w:p>
              <w:pPr>
                <w:spacing w:line="460" w:lineRule="exact"/>
                <w:rPr>
                  <w:rFonts w:hint="eastAsia" w:ascii="宋体" w:hAnsi="宋体" w:eastAsia="宋体" w:cs="宋体"/>
                  <w:sz w:val="28"/>
                  <w:szCs w:val="28"/>
                  <w:vertAlign w:val="baseline"/>
                </w:rPr>
              </w:pPr>
              <w:r>
                <w:rPr>
                  <w:rFonts w:hint="eastAsia"/>
                </w:rPr>
                <w:t>8.加压袋与主机使用插拔式弹射接头，方便操作。</w:t>
              </w:r>
            </w:p>
            <w:p>
              <w:pPr>
                <w:spacing w:line="460" w:lineRule="exact"/>
                <w:rPr>
                  <w:rFonts w:hint="eastAsia" w:ascii="宋体" w:hAnsi="宋体" w:eastAsia="宋体" w:cs="宋体"/>
                  <w:sz w:val="28"/>
                  <w:szCs w:val="28"/>
                  <w:vertAlign w:val="baseline"/>
                </w:rPr>
              </w:pPr>
              <w:r>
                <w:rPr>
                  <w:rFonts w:hint="eastAsia"/>
                </w:rPr>
                <w:t>★9.加压袋具有独立的机械压力柱，随着压力值而改变，用于机械压力监测与防护。</w:t>
              </w:r>
            </w:p>
            <w:p>
              <w:pPr>
                <w:spacing w:line="460" w:lineRule="exact"/>
                <w:rPr>
                  <w:rFonts w:hint="eastAsia" w:ascii="宋体" w:hAnsi="宋体" w:eastAsia="宋体" w:cs="宋体"/>
                  <w:sz w:val="28"/>
                  <w:szCs w:val="28"/>
                  <w:vertAlign w:val="baseline"/>
                </w:rPr>
              </w:pPr>
              <w:r>
                <w:rPr>
                  <w:rFonts w:hint="eastAsia"/>
                </w:rPr>
                <w:t>★10.具双通道且能够在设置不同压力值下同时工作。</w:t>
              </w:r>
            </w:p>
            <w:p>
              <w:pPr>
                <w:spacing w:line="460" w:lineRule="exact"/>
                <w:rPr>
                  <w:rFonts w:hint="eastAsia" w:ascii="宋体" w:hAnsi="宋体" w:eastAsia="宋体" w:cs="宋体"/>
                  <w:sz w:val="28"/>
                  <w:szCs w:val="28"/>
                  <w:vertAlign w:val="baseline"/>
                </w:rPr>
              </w:pPr>
              <w:r>
                <w:rPr>
                  <w:rFonts w:hint="eastAsia"/>
                </w:rPr>
                <w:t xml:space="preserve">11.加压仪在进行充气和保压过程，可以通过“放气”按键，实现紧急放气功能。    </w:t>
              </w:r>
            </w:p>
            <w:p>
              <w:pPr>
                <w:spacing w:line="460" w:lineRule="exact"/>
                <w:rPr>
                  <w:rFonts w:hint="eastAsia" w:ascii="宋体" w:hAnsi="宋体" w:eastAsia="宋体" w:cs="宋体"/>
                  <w:sz w:val="28"/>
                  <w:szCs w:val="28"/>
                  <w:vertAlign w:val="baseline"/>
                </w:rPr>
              </w:pPr>
              <w:r>
                <w:rPr>
                  <w:rFonts w:hint="eastAsia"/>
                </w:rPr>
                <w:t>12.加压仪在工作状态中，可以通过加压袋的机械压力柱快速放气。</w:t>
              </w:r>
            </w:p>
            <w:p>
              <w:pPr>
                <w:numPr>
                  <w:ilvl w:val="0"/>
                  <w:numId w:val="0"/>
                </w:numPr>
                <w:spacing w:line="460" w:lineRule="exact"/>
                <w:jc w:val="left"/>
                <w:rPr>
                  <w:rFonts w:hint="eastAsia" w:ascii="宋体" w:hAnsi="宋体" w:eastAsia="宋体" w:cs="宋体"/>
                  <w:sz w:val="28"/>
                  <w:szCs w:val="28"/>
                  <w:vertAlign w:val="baseline"/>
                </w:rPr>
              </w:pPr>
              <w:r>
                <w:rPr>
                  <w:rFonts w:hint="eastAsia"/>
                </w:rPr>
                <w:t>13.加压仪具有多重保护报警功能，过压能自动监测，自动调整；具有一键结束功能；超过最大压力值加压袋压力柱自动快速放气；并且有过压声光报警。</w:t>
              </w:r>
            </w:p>
            <w:p>
              <w:pPr>
                <w:pStyle w:val="8"/>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8"/>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8"/>
        <w:ind w:left="-708" w:leftChars="-337"/>
        <w:rPr>
          <w:color w:val="auto"/>
        </w:rPr>
      </w:pPr>
      <w:r>
        <w:rPr>
          <w:rFonts w:hint="eastAsia"/>
          <w:color w:val="auto"/>
        </w:rPr>
        <w:t>2、投标人所投产品参数应同等或优于以上各项参数要求，产品、辅材及生产工艺符合国家相关规范。</w:t>
      </w:r>
    </w:p>
    <w:p>
      <w:pPr>
        <w:pStyle w:val="8"/>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8"/>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8"/>
        <w:ind w:left="-708" w:leftChars="-337"/>
        <w:rPr>
          <w:color w:val="auto"/>
        </w:rPr>
      </w:pPr>
      <w:r>
        <w:rPr>
          <w:rFonts w:hint="eastAsia"/>
          <w:color w:val="auto"/>
        </w:rPr>
        <w:t>5、投标产品如包括必备的易损易耗备品备件和专用工具，竞标人应提供完整清单。</w:t>
      </w:r>
    </w:p>
    <w:p>
      <w:pPr>
        <w:pStyle w:val="8"/>
        <w:ind w:left="-708" w:leftChars="-337"/>
        <w:rPr>
          <w:rFonts w:cs="宋体"/>
          <w:b/>
          <w:bCs/>
        </w:rPr>
      </w:pPr>
      <w:r>
        <w:rPr>
          <w:rFonts w:hint="eastAsia" w:cs="宋体"/>
          <w:b/>
          <w:bCs/>
        </w:rPr>
        <w:t>（四）商务要求</w:t>
      </w:r>
    </w:p>
    <w:p>
      <w:pPr>
        <w:pStyle w:val="8"/>
        <w:ind w:left="-708" w:leftChars="-337"/>
        <w:rPr>
          <w:rFonts w:cs="宋体"/>
        </w:rPr>
      </w:pPr>
      <w:r>
        <w:rPr>
          <w:rFonts w:hint="eastAsia" w:cs="宋体"/>
        </w:rPr>
        <w:t>1.投标人为独立法人，并具备统一社会信用代码。</w:t>
      </w:r>
    </w:p>
    <w:p>
      <w:pPr>
        <w:pStyle w:val="8"/>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8"/>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7edba90d-20f4-44a2-9838-3a1c49bb15be}"/>
        </w:placeholder>
        <w15:color w:val="FF0000"/>
      </w:sdtPr>
      <w:sdtEndPr>
        <w:rPr>
          <w:rFonts w:hint="eastAsia" w:cs="Times New Roman"/>
        </w:rPr>
      </w:sdtEndPr>
      <w:sdtContent>
        <w:p>
          <w:pPr>
            <w:pStyle w:val="8"/>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8"/>
            <w:ind w:left="-708" w:leftChars="-337"/>
            <w:rPr>
              <w:rFonts w:cs="宋体"/>
              <w:color w:val="auto"/>
            </w:rPr>
          </w:pPr>
          <w:r>
            <w:rPr>
              <w:rFonts w:hint="eastAsia" w:cs="宋体"/>
              <w:color w:val="FF0000"/>
            </w:rPr>
            <w:t>本项目不接收联合体投标</w:t>
          </w:r>
          <w:r>
            <w:rPr>
              <w:rFonts w:hint="eastAsia" w:cs="宋体"/>
              <w:color w:val="auto"/>
            </w:rPr>
            <w:t>。</w:t>
          </w:r>
        </w:p>
        <w:p>
          <w:pPr>
            <w:pStyle w:val="8"/>
          </w:pPr>
          <w:r>
            <w:rPr>
              <w:rFonts w:hint="eastAsia"/>
            </w:rPr>
            <w:t>★5.投标人须投标文件中提供设备配置清单。</w:t>
          </w:r>
        </w:p>
        <w:p>
          <w:pPr>
            <w:pStyle w:val="8"/>
          </w:pPr>
          <w:r>
            <w:rPr>
              <w:rFonts w:hint="eastAsia"/>
            </w:rPr>
            <w:t>★</w:t>
          </w:r>
          <w:r>
            <w:t>6.</w:t>
          </w:r>
          <w:r>
            <w:rPr>
              <w:rFonts w:hint="eastAsia"/>
            </w:rPr>
            <w:t>投标文件中必须提供货物生产厂家针对本项目的售后服务承诺书。</w:t>
          </w: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7edba90d-20f4-44a2-9838-3a1c49bb15be}"/>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1.</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8"/>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8"/>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8"/>
          </w:pPr>
          <w:r>
            <w:rPr>
              <w:rFonts w:hint="eastAsia"/>
            </w:rPr>
            <w:t>5.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p>
          <w:pPr>
            <w:pStyle w:val="9"/>
            <w:ind w:firstLine="0" w:firstLineChars="0"/>
            <w:rPr>
              <w:rFonts w:hint="eastAsia"/>
            </w:rPr>
          </w:pPr>
          <w:r>
            <w:rPr>
              <w:rFonts w:hint="eastAsia"/>
            </w:rPr>
            <w:t>★6.设备质保期至少2年</w:t>
          </w:r>
        </w:p>
        <w:p>
          <w:pPr>
            <w:pStyle w:val="8"/>
            <w:ind w:left="-708" w:leftChars="-337"/>
          </w:pP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7edba90d-20f4-44a2-9838-3a1c49bb15be}"/>
          </w:placeholder>
          <w15:color w:val="FF0000"/>
        </w:sdtPr>
        <w:sdtEndPr>
          <w:rPr>
            <w:color w:val="FF0000"/>
            <w:kern w:val="0"/>
            <w:sz w:val="24"/>
            <w:szCs w:val="24"/>
            <w:u w:val="single"/>
          </w:rPr>
        </w:sdtEndPr>
        <w:sdtContent>
          <w:r>
            <w:rPr>
              <w:rFonts w:hint="eastAsia"/>
            </w:rP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7edba90d-20f4-44a2-9838-3a1c49bb15be}"/>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7edba90d-20f4-44a2-9838-3a1c49bb15be}"/>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7edba90d-20f4-44a2-9838-3a1c49bb15be}"/>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7edba90d-20f4-44a2-9838-3a1c49bb15be}"/>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7edba90d-20f4-44a2-9838-3a1c49bb15be}"/>
          </w:placeholder>
          <w15:color w:val="FF0000"/>
        </w:sdtPr>
        <w:sdtEndPr>
          <w:rPr>
            <w:rFonts w:hint="eastAsia" w:cs="宋体"/>
            <w:color w:val="FF0000"/>
            <w:kern w:val="0"/>
            <w:sz w:val="24"/>
            <w:szCs w:val="24"/>
            <w:u w:val="single"/>
          </w:rPr>
        </w:sdtEndPr>
        <w:sdtContent>
          <w: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7edba90d-20f4-44a2-9838-3a1c49bb15be}"/>
        </w:placeholder>
        <w:showingPlcHdr/>
        <w15:color w:val="FF0000"/>
      </w:sdtPr>
      <w:sdtContent>
        <w:p>
          <w:pPr>
            <w:pStyle w:val="8"/>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7edba90d-20f4-44a2-9838-3a1c49bb15be}"/>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7edba90d-20f4-44a2-9838-3a1c49bb15be}"/>
          </w:placeholder>
          <w15:color w:val="FF0000"/>
        </w:sdtPr>
        <w:sdtEndPr>
          <w:rPr>
            <w:rFonts w:hint="eastAsia" w:cs="宋体"/>
            <w:kern w:val="0"/>
            <w:sz w:val="24"/>
            <w:szCs w:val="24"/>
            <w:u w:val="single"/>
          </w:rPr>
        </w:sdtEndPr>
        <w:sdtContent>
          <w:r>
            <w:rPr>
              <w:rFonts w:hint="eastAsia" w:cs="宋体"/>
              <w:kern w:val="0"/>
              <w:sz w:val="24"/>
              <w:szCs w:val="24"/>
              <w:u w:val="single"/>
              <w:lang w:val="en-US" w:eastAsia="zh-CN"/>
            </w:rPr>
            <w:t>合理低价中标法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448979C5">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8979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02313"/>
    <w:multiLevelType w:val="singleLevel"/>
    <w:tmpl w:val="2D902313"/>
    <w:lvl w:ilvl="0" w:tentative="0">
      <w:start w:val="5"/>
      <w:numFmt w:val="decimal"/>
      <w:suff w:val="space"/>
      <w:lvlText w:val="%1."/>
      <w:lvlJc w:val="left"/>
    </w:lvl>
  </w:abstractNum>
  <w:abstractNum w:abstractNumId="1">
    <w:nsid w:val="350E8B6C"/>
    <w:multiLevelType w:val="singleLevel"/>
    <w:tmpl w:val="350E8B6C"/>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D2417"/>
    <w:rsid w:val="491D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99"/>
    <w:pPr>
      <w:jc w:val="left"/>
    </w:p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semiHidden/>
    <w:qFormat/>
    <w:uiPriority w:val="99"/>
    <w:rPr>
      <w:sz w:val="21"/>
      <w:szCs w:val="21"/>
    </w:rPr>
  </w:style>
  <w:style w:type="paragraph" w:customStyle="1" w:styleId="8">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9">
    <w:name w:val="List Paragraph"/>
    <w:basedOn w:val="1"/>
    <w:qFormat/>
    <w:uiPriority w:val="0"/>
    <w:pPr>
      <w:ind w:firstLine="420" w:firstLineChars="200"/>
    </w:pPr>
    <w:rPr>
      <w:rFonts w:ascii="Calibri" w:hAnsi="Calibri"/>
      <w:szCs w:val="22"/>
    </w:rPr>
  </w:style>
  <w:style w:type="character" w:styleId="10">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edba90d-20f4-44a2-9838-3a1c49bb15be}"/>
        <w:style w:val=""/>
        <w:category>
          <w:name w:val="常规"/>
          <w:gallery w:val="placeholder"/>
        </w:category>
        <w:types>
          <w:type w:val="bbPlcHdr"/>
        </w:types>
        <w:behaviors>
          <w:behavior w:val="content"/>
        </w:behaviors>
        <w:description w:val=""/>
        <w:guid w:val="{7edba90d-20f4-44a2-9838-3a1c49bb15be}"/>
      </w:docPartPr>
      <w:docPartBody>
        <w:p>
          <w:r>
            <w:rPr>
              <w:rStyle w:val="3"/>
            </w:rPr>
            <w:t>单击或点击此处输入文字。</w:t>
          </w:r>
        </w:p>
      </w:docPartBody>
    </w:docPart>
    <w:docPart>
      <w:docPartPr>
        <w:name w:val="{3d59e865-5555-48af-96de-4591dbc29e14}"/>
        <w:style w:val=""/>
        <w:category>
          <w:name w:val="常规"/>
          <w:gallery w:val="placeholder"/>
        </w:category>
        <w:types>
          <w:type w:val="bbPlcHdr"/>
        </w:types>
        <w:behaviors>
          <w:behavior w:val="content"/>
        </w:behaviors>
        <w:description w:val=""/>
        <w:guid w:val="{3d59e865-5555-48af-96de-4591dbc29e14}"/>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2021-11-24T01:49:00Z</dcterms:created>
  <dc:creator>lenovo</dc:creator>
  <cp:lastModifiedBy>lenovo</cp:lastModifiedBy>
  <dcterms:modified xsi:type="dcterms:W3CDTF">2021-11-24T01:49:42Z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B4F232E2523E43C69B85C417128C40E3</vt:lpwstr>
  </property>
</Properties>
</file>