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8"/>
        <w:ind w:left="-708" w:leftChars="-338" w:hanging="2"/>
        <w:rPr>
          <w:color w:val="FF0000"/>
          <w:sz w:val="21"/>
          <w:szCs w:val="21"/>
        </w:rPr>
      </w:pPr>
      <w:r>
        <w:rPr>
          <w:rFonts w:hint="eastAsia"/>
          <w:color w:val="FF0000"/>
          <w:sz w:val="21"/>
          <w:szCs w:val="21"/>
        </w:rPr>
        <w:t>2、★ 部分为核心参数，不满足视为无效投标。</w:t>
      </w:r>
    </w:p>
    <w:p>
      <w:pPr>
        <w:pStyle w:val="8"/>
        <w:ind w:left="-708" w:leftChars="-337"/>
        <w:rPr>
          <w:rFonts w:cs="宋体"/>
          <w:b/>
          <w:bCs/>
          <w:sz w:val="28"/>
          <w:szCs w:val="28"/>
        </w:rPr>
      </w:pPr>
      <w:r>
        <w:rPr>
          <w:rFonts w:hint="eastAsia" w:cs="宋体"/>
          <w:b/>
          <w:bCs/>
          <w:sz w:val="28"/>
          <w:szCs w:val="28"/>
        </w:rPr>
        <w:t>一、采购清单、技术规格参数、质量标准和要求</w:t>
      </w:r>
    </w:p>
    <w:p>
      <w:pPr>
        <w:pStyle w:val="8"/>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7"/>
          <w:color w:val="auto"/>
          <w:kern w:val="2"/>
        </w:rPr>
        <w:commentReference w:id="0"/>
      </w:r>
      <w:r>
        <w:rPr>
          <w:b/>
          <w:bCs/>
        </w:rPr>
        <w:t> </w:t>
      </w:r>
    </w:p>
    <w:tbl>
      <w:tblPr>
        <w:tblStyle w:val="5"/>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8"/>
              <w:jc w:val="both"/>
            </w:pPr>
            <w:r>
              <w:rPr>
                <w:rFonts w:hint="eastAsia"/>
              </w:rPr>
              <w:t>项目名称</w:t>
            </w:r>
          </w:p>
        </w:tc>
        <w:tc>
          <w:tcPr>
            <w:tcW w:w="846" w:type="dxa"/>
          </w:tcPr>
          <w:p>
            <w:pPr>
              <w:pStyle w:val="8"/>
              <w:jc w:val="both"/>
            </w:pPr>
            <w:r>
              <w:rPr>
                <w:rFonts w:hint="eastAsia"/>
              </w:rPr>
              <w:t>数量</w:t>
            </w:r>
          </w:p>
        </w:tc>
        <w:tc>
          <w:tcPr>
            <w:tcW w:w="4394" w:type="dxa"/>
          </w:tcPr>
          <w:p>
            <w:pPr>
              <w:pStyle w:val="8"/>
              <w:jc w:val="both"/>
            </w:pPr>
            <w:r>
              <w:rPr>
                <w:rFonts w:hint="eastAsia"/>
              </w:rPr>
              <w:t>产品用途与说明</w:t>
            </w:r>
          </w:p>
        </w:tc>
        <w:tc>
          <w:tcPr>
            <w:tcW w:w="1701" w:type="dxa"/>
          </w:tcPr>
          <w:p>
            <w:pPr>
              <w:pStyle w:val="8"/>
              <w:jc w:val="both"/>
            </w:pPr>
            <w:r>
              <w:rPr>
                <w:rFonts w:hint="eastAsia"/>
              </w:rPr>
              <w:t>实施地点</w:t>
            </w:r>
          </w:p>
        </w:tc>
      </w:tr>
      <w:sdt>
        <w:sdtPr>
          <w:alias w:val="根据实际情况填写"/>
          <w:tag w:val="根据实际情况填写"/>
          <w:id w:val="-1110810611"/>
          <w:placeholder>
            <w:docPart w:val="{68ba6eb0-02a4-497b-b0fd-07eef003fc73}"/>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8"/>
                  <w:jc w:val="both"/>
                  <w:rPr>
                    <w:rFonts w:hint="eastAsia"/>
                  </w:rPr>
                </w:pPr>
                <w:r>
                  <w:rPr>
                    <w:rFonts w:hint="eastAsia"/>
                  </w:rPr>
                  <w:t xml:space="preserve">病人监护仪  </w:t>
                </w:r>
              </w:p>
              <w:p>
                <w:pPr>
                  <w:pStyle w:val="8"/>
                  <w:jc w:val="both"/>
                </w:pPr>
              </w:p>
            </w:tc>
            <w:tc>
              <w:tcPr>
                <w:tcW w:w="846" w:type="dxa"/>
              </w:tcPr>
              <w:p>
                <w:pPr>
                  <w:pStyle w:val="8"/>
                  <w:jc w:val="both"/>
                  <w:rPr>
                    <w:rFonts w:hint="eastAsia"/>
                  </w:rPr>
                </w:pPr>
                <w:r>
                  <w:rPr>
                    <w:rFonts w:hint="eastAsia"/>
                  </w:rPr>
                  <w:t>3台</w:t>
                </w:r>
              </w:p>
            </w:tc>
            <w:tc>
              <w:tcPr>
                <w:tcW w:w="4394" w:type="dxa"/>
              </w:tcPr>
              <w:p>
                <w:pPr>
                  <w:pStyle w:val="8"/>
                  <w:jc w:val="both"/>
                </w:pPr>
                <w:r>
                  <w:rPr>
                    <w:rFonts w:hint="eastAsia"/>
                  </w:rPr>
                  <w:t>用于监测病人的心电、血压、血氧、呼吸、脉搏等基本生命体征</w:t>
                </w:r>
              </w:p>
            </w:tc>
            <w:tc>
              <w:tcPr>
                <w:tcW w:w="1701" w:type="dxa"/>
              </w:tcPr>
              <w:p>
                <w:pPr>
                  <w:pStyle w:val="8"/>
                  <w:jc w:val="both"/>
                  <w:rPr>
                    <w:rFonts w:hint="eastAsia"/>
                  </w:rPr>
                </w:pPr>
                <w:r>
                  <w:rPr>
                    <w:rFonts w:hint="eastAsia"/>
                  </w:rPr>
                  <w:t>广西桂东人民医院</w:t>
                </w:r>
              </w:p>
              <w:p>
                <w:pPr>
                  <w:pStyle w:val="8"/>
                  <w:jc w:val="both"/>
                </w:pP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ascii="Times New Roman" w:hAnsi="Times New Roman" w:eastAsia="宋体" w:cs="Times New Roman"/>
          <w:color w:val="000000"/>
          <w:kern w:val="0"/>
          <w:sz w:val="24"/>
          <w:szCs w:val="24"/>
          <w:lang w:val="en-US" w:eastAsia="zh-CN" w:bidi="ar-SA"/>
        </w:rPr>
        <w:id w:val="147471302"/>
        <w15:repeatingSection/>
      </w:sdtPr>
      <w:sdtEndPr>
        <w:rPr>
          <w:rFonts w:hint="eastAsia" w:ascii="Times New Roman" w:hAnsi="Times New Roman" w:eastAsia="宋体" w:cs="Times New Roman"/>
          <w:color w:val="000000"/>
          <w:kern w:val="0"/>
          <w:sz w:val="24"/>
          <w:szCs w:val="24"/>
          <w:lang w:val="en-US" w:eastAsia="zh-CN" w:bidi="ar-SA"/>
        </w:rPr>
      </w:sdtEndPr>
      <w:sdtContent>
        <w:sdt>
          <w:sdtPr>
            <w:rPr>
              <w:rFonts w:hint="eastAsia" w:ascii="Times New Roman" w:hAnsi="Times New Roman" w:eastAsia="宋体" w:cs="Times New Roman"/>
              <w:color w:val="000000"/>
              <w:kern w:val="0"/>
              <w:sz w:val="24"/>
              <w:szCs w:val="24"/>
              <w:lang w:val="en-US" w:eastAsia="zh-CN" w:bidi="ar-SA"/>
            </w:rPr>
            <w:id w:val="147471276"/>
            <w:placeholder>
              <w:docPart w:val="{99b4ed8c-1819-479a-b82d-6db8f6ae8a95}"/>
            </w:placeholder>
            <w15:repeatingSectionItem/>
          </w:sdtPr>
          <w:sdtEndPr>
            <w:rPr>
              <w:rFonts w:hint="eastAsia" w:ascii="Times New Roman" w:hAnsi="Times New Roman" w:eastAsia="宋体" w:cs="Times New Roman"/>
              <w:color w:val="000000"/>
              <w:kern w:val="0"/>
              <w:sz w:val="24"/>
              <w:szCs w:val="24"/>
              <w:lang w:val="en-US" w:eastAsia="zh-CN" w:bidi="ar-SA"/>
            </w:rPr>
          </w:sdtEndPr>
          <w:sdtContent>
            <w:p>
              <w:pPr>
                <w:autoSpaceDE w:val="0"/>
                <w:autoSpaceDN w:val="0"/>
                <w:adjustRightInd w:val="0"/>
                <w:spacing w:line="360" w:lineRule="auto"/>
                <w:jc w:val="left"/>
                <w:rPr>
                  <w:rFonts w:hint="eastAsia" w:ascii="宋体" w:hAnsi="宋体" w:eastAsia="宋体" w:cs="宋体"/>
                  <w:b/>
                  <w:kern w:val="0"/>
                  <w:sz w:val="24"/>
                </w:rPr>
              </w:pPr>
              <w:r>
                <w:rPr>
                  <w:rFonts w:hint="eastAsia"/>
                </w:rPr>
                <w:t>1.监护仪外形结构：</w:t>
              </w:r>
            </w:p>
            <w:p>
              <w:pPr>
                <w:autoSpaceDE w:val="0"/>
                <w:autoSpaceDN w:val="0"/>
                <w:adjustRightInd w:val="0"/>
                <w:spacing w:line="360" w:lineRule="auto"/>
                <w:jc w:val="left"/>
                <w:rPr>
                  <w:rFonts w:hint="eastAsia" w:ascii="宋体" w:hAnsi="宋体" w:eastAsia="宋体" w:cs="宋体"/>
                  <w:kern w:val="0"/>
                  <w:sz w:val="24"/>
                </w:rPr>
              </w:pPr>
              <w:r>
                <w:rPr>
                  <w:rFonts w:hint="eastAsia"/>
                </w:rPr>
                <w:t>1.1 一体式监护仪,可用于监护成人,儿童,新生儿患者</w:t>
              </w:r>
            </w:p>
            <w:p>
              <w:pPr>
                <w:autoSpaceDE w:val="0"/>
                <w:autoSpaceDN w:val="0"/>
                <w:adjustRightInd w:val="0"/>
                <w:spacing w:line="360" w:lineRule="auto"/>
                <w:jc w:val="left"/>
                <w:rPr>
                  <w:rFonts w:hint="eastAsia" w:ascii="宋体" w:hAnsi="宋体" w:eastAsia="宋体" w:cs="宋体"/>
                  <w:kern w:val="0"/>
                  <w:sz w:val="24"/>
                </w:rPr>
              </w:pPr>
              <w:r>
                <w:rPr>
                  <w:rFonts w:hint="eastAsia"/>
                </w:rPr>
                <w:t>1.2 ≥10.4寸彩色LCD显示屏，LED背光，彩色高分辨率达800*600，，≥7通道波形显示</w:t>
              </w:r>
            </w:p>
            <w:p>
              <w:pPr>
                <w:autoSpaceDE w:val="0"/>
                <w:autoSpaceDN w:val="0"/>
                <w:adjustRightInd w:val="0"/>
                <w:spacing w:line="360" w:lineRule="auto"/>
                <w:jc w:val="left"/>
                <w:rPr>
                  <w:rFonts w:hint="eastAsia" w:ascii="宋体" w:hAnsi="宋体" w:eastAsia="宋体" w:cs="宋体"/>
                  <w:b/>
                  <w:kern w:val="0"/>
                  <w:sz w:val="24"/>
                </w:rPr>
              </w:pPr>
              <w:r>
                <w:rPr>
                  <w:rFonts w:hint="eastAsia"/>
                </w:rPr>
                <w:t>2.监测参数：</w:t>
              </w:r>
            </w:p>
            <w:p>
              <w:pPr>
                <w:autoSpaceDE w:val="0"/>
                <w:autoSpaceDN w:val="0"/>
                <w:adjustRightInd w:val="0"/>
                <w:spacing w:line="360" w:lineRule="auto"/>
                <w:jc w:val="left"/>
                <w:rPr>
                  <w:rFonts w:hint="eastAsia" w:ascii="宋体" w:hAnsi="宋体" w:eastAsia="宋体" w:cs="宋体"/>
                  <w:sz w:val="24"/>
                </w:rPr>
              </w:pPr>
              <w:r>
                <w:rPr>
                  <w:rFonts w:hint="eastAsia"/>
                </w:rPr>
                <w:t>2.1 标准配置可监测心电，呼吸，无创血压，血氧饱和度，脉搏和体温</w:t>
              </w:r>
            </w:p>
            <w:p>
              <w:pPr>
                <w:autoSpaceDE w:val="0"/>
                <w:autoSpaceDN w:val="0"/>
                <w:adjustRightInd w:val="0"/>
                <w:spacing w:line="360" w:lineRule="auto"/>
                <w:jc w:val="left"/>
                <w:rPr>
                  <w:rFonts w:hint="eastAsia" w:ascii="宋体" w:hAnsi="宋体" w:eastAsia="宋体" w:cs="宋体"/>
                  <w:sz w:val="24"/>
                </w:rPr>
              </w:pPr>
              <w:r>
                <w:rPr>
                  <w:rFonts w:hint="eastAsia"/>
                </w:rPr>
                <w:t>★2.2 具备ECG多导同步分析功能，同时分析多个心电导联，个别导联干扰情况下仍能准确监测</w:t>
              </w:r>
            </w:p>
            <w:p>
              <w:pPr>
                <w:autoSpaceDE w:val="0"/>
                <w:autoSpaceDN w:val="0"/>
                <w:adjustRightInd w:val="0"/>
                <w:spacing w:line="360" w:lineRule="auto"/>
                <w:jc w:val="left"/>
                <w:rPr>
                  <w:rFonts w:hint="eastAsia" w:ascii="宋体" w:hAnsi="宋体" w:eastAsia="宋体" w:cs="宋体"/>
                  <w:sz w:val="24"/>
                </w:rPr>
              </w:pPr>
              <w:r>
                <w:rPr>
                  <w:rFonts w:hint="eastAsia"/>
                </w:rPr>
                <w:t>2.3 具备智能导联脱落监测功能，个别导联脱落的情况下仍能保持监护</w:t>
              </w:r>
            </w:p>
            <w:p>
              <w:pPr>
                <w:autoSpaceDE w:val="0"/>
                <w:autoSpaceDN w:val="0"/>
                <w:adjustRightInd w:val="0"/>
                <w:spacing w:line="360" w:lineRule="auto"/>
                <w:jc w:val="left"/>
                <w:rPr>
                  <w:rFonts w:hint="eastAsia" w:ascii="宋体" w:hAnsi="宋体" w:eastAsia="宋体" w:cs="宋体"/>
                  <w:sz w:val="24"/>
                </w:rPr>
              </w:pPr>
              <w:r>
                <w:rPr>
                  <w:rFonts w:hint="eastAsia"/>
                </w:rPr>
                <w:t>★2.4 可显示PI血氧灌注指数，有效反映血氧灌注情况</w:t>
              </w:r>
            </w:p>
            <w:p>
              <w:pPr>
                <w:autoSpaceDE w:val="0"/>
                <w:autoSpaceDN w:val="0"/>
                <w:adjustRightInd w:val="0"/>
                <w:spacing w:line="360" w:lineRule="auto"/>
                <w:jc w:val="left"/>
                <w:rPr>
                  <w:rFonts w:hint="eastAsia" w:ascii="宋体" w:hAnsi="宋体" w:eastAsia="宋体" w:cs="宋体"/>
                  <w:sz w:val="24"/>
                </w:rPr>
              </w:pPr>
              <w:r>
                <w:rPr>
                  <w:rFonts w:hint="eastAsia"/>
                </w:rPr>
                <w:t>2.5 NIBP和BP的测量范围宽，大大提升边界情况的测量准确性</w:t>
              </w:r>
            </w:p>
            <w:p>
              <w:pPr>
                <w:numPr>
                  <w:ilvl w:val="1"/>
                  <w:numId w:val="2"/>
                </w:numPr>
                <w:autoSpaceDE w:val="0"/>
                <w:autoSpaceDN w:val="0"/>
                <w:adjustRightInd w:val="0"/>
                <w:spacing w:line="360" w:lineRule="auto"/>
                <w:jc w:val="left"/>
                <w:rPr>
                  <w:rFonts w:hint="eastAsia" w:ascii="宋体" w:hAnsi="宋体" w:eastAsia="宋体" w:cs="宋体"/>
                  <w:sz w:val="24"/>
                </w:rPr>
              </w:pPr>
              <w:r>
                <w:rPr>
                  <w:rFonts w:hint="eastAsia"/>
                </w:rPr>
                <w:t>成人:sys 25-290 dia 10-250 avr 15-260</w:t>
              </w:r>
            </w:p>
            <w:p>
              <w:pPr>
                <w:numPr>
                  <w:ilvl w:val="1"/>
                  <w:numId w:val="2"/>
                </w:numPr>
                <w:autoSpaceDE w:val="0"/>
                <w:autoSpaceDN w:val="0"/>
                <w:adjustRightInd w:val="0"/>
                <w:spacing w:line="360" w:lineRule="auto"/>
                <w:jc w:val="left"/>
                <w:rPr>
                  <w:rFonts w:hint="eastAsia" w:ascii="宋体" w:hAnsi="宋体" w:eastAsia="宋体" w:cs="宋体"/>
                  <w:sz w:val="24"/>
                </w:rPr>
              </w:pPr>
              <w:r>
                <w:rPr>
                  <w:rFonts w:hint="eastAsia"/>
                </w:rPr>
                <w:t>小儿: sys:25-240 dia:10-200 avr:15-215</w:t>
              </w:r>
            </w:p>
            <w:p>
              <w:pPr>
                <w:numPr>
                  <w:ilvl w:val="1"/>
                  <w:numId w:val="2"/>
                </w:numPr>
                <w:autoSpaceDE w:val="0"/>
                <w:autoSpaceDN w:val="0"/>
                <w:adjustRightInd w:val="0"/>
                <w:spacing w:line="360" w:lineRule="auto"/>
                <w:jc w:val="left"/>
                <w:rPr>
                  <w:rFonts w:hint="eastAsia" w:ascii="宋体" w:hAnsi="宋体" w:eastAsia="宋体" w:cs="宋体"/>
                  <w:sz w:val="24"/>
                </w:rPr>
              </w:pPr>
              <w:r>
                <w:rPr>
                  <w:rFonts w:hint="eastAsia"/>
                </w:rPr>
                <w:t>新生儿: sys:25-140 dia:10-115 avr:15-125</w:t>
              </w:r>
            </w:p>
            <w:p>
              <w:pPr>
                <w:autoSpaceDE w:val="0"/>
                <w:autoSpaceDN w:val="0"/>
                <w:adjustRightInd w:val="0"/>
                <w:spacing w:line="360" w:lineRule="auto"/>
                <w:jc w:val="left"/>
                <w:rPr>
                  <w:rFonts w:hint="eastAsia" w:ascii="宋体" w:hAnsi="宋体" w:eastAsia="宋体" w:cs="宋体"/>
                  <w:sz w:val="24"/>
                </w:rPr>
              </w:pPr>
              <w:r>
                <w:rPr>
                  <w:rFonts w:hint="eastAsia"/>
                </w:rPr>
                <w:t>2.6 支持心率变化统计和动态血压分析</w:t>
              </w:r>
            </w:p>
            <w:p>
              <w:pPr>
                <w:spacing w:line="360" w:lineRule="auto"/>
                <w:ind w:right="-512" w:rightChars="-244"/>
                <w:rPr>
                  <w:rFonts w:hint="eastAsia" w:ascii="宋体" w:hAnsi="宋体" w:eastAsia="宋体" w:cs="宋体"/>
                  <w:b/>
                  <w:sz w:val="24"/>
                </w:rPr>
              </w:pPr>
              <w:r>
                <w:rPr>
                  <w:rFonts w:hint="eastAsia"/>
                </w:rPr>
                <w:t>3.系统功能：</w:t>
              </w:r>
            </w:p>
            <w:p>
              <w:pPr>
                <w:autoSpaceDE w:val="0"/>
                <w:autoSpaceDN w:val="0"/>
                <w:adjustRightInd w:val="0"/>
                <w:spacing w:line="360" w:lineRule="auto"/>
                <w:jc w:val="left"/>
                <w:rPr>
                  <w:rFonts w:hint="eastAsia" w:ascii="宋体" w:hAnsi="宋体" w:eastAsia="宋体" w:cs="宋体"/>
                  <w:sz w:val="24"/>
                </w:rPr>
              </w:pPr>
              <w:r>
                <w:rPr>
                  <w:rFonts w:hint="eastAsia"/>
                </w:rPr>
                <w:t>3.1 具有三级声光报警，参数报警级别可调,具备报警集中设置功能</w:t>
              </w:r>
            </w:p>
            <w:p>
              <w:pPr>
                <w:autoSpaceDE w:val="0"/>
                <w:autoSpaceDN w:val="0"/>
                <w:adjustRightInd w:val="0"/>
                <w:spacing w:line="360" w:lineRule="auto"/>
                <w:jc w:val="left"/>
                <w:rPr>
                  <w:rFonts w:hint="eastAsia" w:ascii="宋体" w:hAnsi="宋体" w:eastAsia="宋体" w:cs="宋体"/>
                  <w:sz w:val="24"/>
                </w:rPr>
              </w:pPr>
              <w:r>
                <w:rPr>
                  <w:rFonts w:hint="eastAsia"/>
                </w:rPr>
                <w:t>3.2 具备血液动力学、药物计算功能</w:t>
              </w:r>
            </w:p>
            <w:p>
              <w:pPr>
                <w:autoSpaceDE w:val="0"/>
                <w:autoSpaceDN w:val="0"/>
                <w:adjustRightInd w:val="0"/>
                <w:spacing w:line="360" w:lineRule="auto"/>
                <w:jc w:val="left"/>
                <w:rPr>
                  <w:rFonts w:hint="eastAsia" w:ascii="宋体" w:hAnsi="宋体" w:eastAsia="宋体" w:cs="宋体"/>
                  <w:sz w:val="24"/>
                </w:rPr>
              </w:pPr>
              <w:r>
                <w:rPr>
                  <w:rFonts w:hint="eastAsia"/>
                </w:rPr>
                <w:t>3.3 具备1200小时趋势图表、1800个报警事件、1600组NIBP测量的数据存储和回顾功能,24小时全息波形回顾.</w:t>
              </w:r>
            </w:p>
            <w:p>
              <w:pPr>
                <w:autoSpaceDE w:val="0"/>
                <w:autoSpaceDN w:val="0"/>
                <w:adjustRightInd w:val="0"/>
                <w:spacing w:line="360" w:lineRule="auto"/>
                <w:jc w:val="left"/>
                <w:rPr>
                  <w:rFonts w:hint="eastAsia" w:ascii="宋体" w:hAnsi="宋体" w:eastAsia="宋体" w:cs="宋体"/>
                  <w:sz w:val="24"/>
                </w:rPr>
              </w:pPr>
              <w:r>
                <w:rPr>
                  <w:rFonts w:hint="eastAsia"/>
                </w:rPr>
                <w:t>3.4 具备趋势共存界面、呼吸氧合图界面，及标准显示界面等多种显示界面</w:t>
              </w:r>
            </w:p>
            <w:p>
              <w:pPr>
                <w:autoSpaceDE w:val="0"/>
                <w:autoSpaceDN w:val="0"/>
                <w:adjustRightInd w:val="0"/>
                <w:spacing w:line="360" w:lineRule="auto"/>
                <w:jc w:val="left"/>
                <w:rPr>
                  <w:rFonts w:hint="eastAsia" w:ascii="宋体" w:hAnsi="宋体" w:eastAsia="宋体" w:cs="宋体"/>
                  <w:sz w:val="24"/>
                </w:rPr>
              </w:pPr>
              <w:r>
                <w:rPr>
                  <w:rFonts w:hint="eastAsia"/>
                </w:rPr>
                <w:t>3.5 具备成人、小儿、新生儿三种病人配置，支持U盘导入导出配置,支持3通道记录仪</w:t>
              </w:r>
            </w:p>
            <w:p>
              <w:pPr>
                <w:autoSpaceDE w:val="0"/>
                <w:autoSpaceDN w:val="0"/>
                <w:adjustRightInd w:val="0"/>
                <w:spacing w:line="360" w:lineRule="auto"/>
                <w:jc w:val="left"/>
                <w:rPr>
                  <w:rFonts w:hint="eastAsia" w:ascii="宋体" w:hAnsi="宋体" w:eastAsia="宋体" w:cs="宋体"/>
                  <w:sz w:val="24"/>
                </w:rPr>
              </w:pPr>
              <w:r>
                <w:rPr>
                  <w:rFonts w:hint="eastAsia"/>
                </w:rPr>
                <w:t>3.6 整机无风扇设计，降低环境噪音干扰</w:t>
              </w:r>
            </w:p>
            <w:p>
              <w:pPr>
                <w:rPr>
                  <w:rFonts w:ascii="宋体" w:hAnsi="宋体"/>
                  <w:sz w:val="28"/>
                  <w:szCs w:val="28"/>
                </w:rPr>
              </w:pPr>
              <w:r>
                <w:rPr>
                  <w:rFonts w:hint="eastAsia"/>
                </w:rPr>
                <w:t>3.7 支持附件收纳盒设计，让床旁附件管理更有序、更高效</w:t>
              </w:r>
            </w:p>
            <w:p>
              <w:pPr>
                <w:pStyle w:val="8"/>
                <w:rPr>
                  <w:rFonts w:hint="eastAsia" w:eastAsia="宋体"/>
                  <w:lang w:eastAsia="zh-CN"/>
                </w:rPr>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8"/>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8"/>
        <w:ind w:left="-708" w:leftChars="-337"/>
        <w:rPr>
          <w:color w:val="auto"/>
        </w:rPr>
      </w:pPr>
      <w:r>
        <w:rPr>
          <w:rFonts w:hint="eastAsia"/>
          <w:color w:val="auto"/>
        </w:rPr>
        <w:t>2、投标人所投产品参数应同等或优于以上各项参数要求，产品、辅材及生产工艺符合国家相关规范。</w:t>
      </w:r>
    </w:p>
    <w:p>
      <w:pPr>
        <w:pStyle w:val="8"/>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8"/>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8"/>
        <w:ind w:left="-708" w:leftChars="-337"/>
        <w:rPr>
          <w:color w:val="auto"/>
        </w:rPr>
      </w:pPr>
      <w:r>
        <w:rPr>
          <w:rFonts w:hint="eastAsia"/>
          <w:color w:val="auto"/>
        </w:rPr>
        <w:t>5、投标产品如包括必备的易损易耗备品备件和专用工具，竞标人应提供完整清单。</w:t>
      </w:r>
    </w:p>
    <w:p>
      <w:pPr>
        <w:pStyle w:val="8"/>
        <w:ind w:left="-708" w:leftChars="-337"/>
        <w:rPr>
          <w:rFonts w:cs="宋体"/>
          <w:b/>
          <w:bCs/>
        </w:rPr>
      </w:pPr>
      <w:r>
        <w:rPr>
          <w:rFonts w:hint="eastAsia" w:cs="宋体"/>
          <w:b/>
          <w:bCs/>
        </w:rPr>
        <w:t>（四）商务要求</w:t>
      </w:r>
    </w:p>
    <w:p>
      <w:pPr>
        <w:pStyle w:val="8"/>
        <w:ind w:left="-708" w:leftChars="-337"/>
        <w:rPr>
          <w:rFonts w:cs="宋体"/>
        </w:rPr>
      </w:pPr>
      <w:r>
        <w:rPr>
          <w:rFonts w:hint="eastAsia" w:cs="宋体"/>
        </w:rPr>
        <w:t>1.投标人为独立法人，并具备统一社会信用代码。</w:t>
      </w:r>
    </w:p>
    <w:p>
      <w:pPr>
        <w:pStyle w:val="8"/>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8"/>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68ba6eb0-02a4-497b-b0fd-07eef003fc73}"/>
        </w:placeholder>
        <w15:color w:val="FF0000"/>
      </w:sdtPr>
      <w:sdtEndPr>
        <w:rPr>
          <w:rFonts w:hint="eastAsia" w:cs="Times New Roman"/>
        </w:rPr>
      </w:sdtEndPr>
      <w:sdtContent>
        <w:p>
          <w:pPr>
            <w:pStyle w:val="8"/>
            <w:ind w:left="-708" w:leftChars="-337"/>
            <w:rPr>
              <w:rFonts w:cs="宋体"/>
            </w:rPr>
          </w:pPr>
          <w:r>
            <w:rPr>
              <w:rFonts w:hint="eastAsia" w:cs="宋体"/>
            </w:rPr>
            <w:t>4.投标人所投产品三证齐全：投标公司的《医疗器械经营许可证》、生产厂家的《医疗器械生产许可证》（国外产品可不提供）、器械的《中华人民共和国医疗器械注册证》</w:t>
          </w:r>
        </w:p>
        <w:p>
          <w:pPr>
            <w:pStyle w:val="8"/>
            <w:ind w:left="-708" w:leftChars="-337"/>
            <w:rPr>
              <w:rFonts w:hint="eastAsia" w:cs="宋体"/>
              <w:color w:val="auto"/>
            </w:rPr>
          </w:pPr>
          <w:r>
            <w:rPr>
              <w:rFonts w:hint="eastAsia" w:cs="宋体"/>
              <w:color w:val="FF0000"/>
            </w:rPr>
            <w:t>本项目不接收联合体投标</w:t>
          </w:r>
          <w:r>
            <w:rPr>
              <w:rFonts w:hint="eastAsia" w:cs="宋体"/>
              <w:color w:val="auto"/>
            </w:rPr>
            <w:t>。</w:t>
          </w:r>
        </w:p>
        <w:p>
          <w:pPr>
            <w:pStyle w:val="8"/>
            <w:ind w:left="-708" w:leftChars="-337"/>
            <w:rPr>
              <w:rFonts w:hint="eastAsia"/>
            </w:rPr>
          </w:pPr>
          <w:r>
            <w:rPr>
              <w:rFonts w:hint="eastAsia"/>
            </w:rPr>
            <w:t>★5.投标文件中必须提供货物生产厂家针对本项目的售后服务承诺书。</w:t>
          </w:r>
        </w:p>
        <w:p>
          <w:pPr>
            <w:pStyle w:val="8"/>
            <w:ind w:left="-708" w:leftChars="-337"/>
          </w:pP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68ba6eb0-02a4-497b-b0fd-07eef003fc73}"/>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rPr>
            <w:t>★</w:t>
          </w:r>
          <w:r>
            <w:rPr>
              <w:rFonts w:hint="eastAsia"/>
              <w:color w:val="000000"/>
              <w:kern w:val="0"/>
              <w:sz w:val="24"/>
              <w:szCs w:val="24"/>
            </w:rPr>
            <w:t>1</w:t>
          </w:r>
          <w:r>
            <w:rPr>
              <w:rFonts w:hint="eastAsia"/>
            </w:rPr>
            <w:t>.</w:t>
          </w:r>
          <w:r>
            <w:rPr>
              <w:rFonts w:hint="eastAsia"/>
              <w:color w:val="000000"/>
              <w:kern w:val="0"/>
              <w:sz w:val="24"/>
              <w:szCs w:val="24"/>
            </w:rPr>
            <w:t>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r>
            <w:rPr>
              <w:rFonts w:hint="eastAsia"/>
            </w:rPr>
            <w:t>如有相关耗材（三年以内要更换或耗损的）、试剂或易损器械（三年以内要更换或耗损的），请提供它们的优惠价格。</w:t>
          </w:r>
        </w:p>
        <w:p>
          <w:pPr>
            <w:widowControl/>
            <w:spacing w:line="360" w:lineRule="auto"/>
            <w:ind w:left="-708" w:leftChars="-338" w:hanging="2"/>
            <w:jc w:val="left"/>
            <w:rPr>
              <w:color w:val="000000"/>
              <w:kern w:val="0"/>
              <w:sz w:val="24"/>
              <w:szCs w:val="24"/>
            </w:rPr>
          </w:pPr>
          <w:r>
            <w:rPr>
              <w:rFonts w:hint="eastAsia"/>
            </w:rPr>
            <w:t>2.</w:t>
          </w:r>
          <w:r>
            <w:rPr>
              <w:rFonts w:hint="eastAsia"/>
              <w:color w:val="000000"/>
              <w:kern w:val="0"/>
              <w:sz w:val="24"/>
              <w:szCs w:val="24"/>
            </w:rPr>
            <w:t>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8"/>
            <w:ind w:left="-708" w:leftChars="-337"/>
          </w:pPr>
          <w:r>
            <w:rPr>
              <w:rFonts w:hint="eastAsia"/>
            </w:rPr>
            <w:t>3.投标产品必须是按厂家标准配置的整套全新，具备正规合法经销渠道的，符合国家各项有关质量标准的合格产品。相关部件及服务满足以上各项要求。若产品在运输过程中损坏或擦伤须无偿调换相同产品。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8"/>
            <w:ind w:left="-708" w:leftChars="-337"/>
          </w:pPr>
          <w:r>
            <w:rPr>
              <w:rFonts w:hint="eastAsia"/>
            </w:rPr>
            <w:t>4.按厂家规定保修，同时提供产品“三包”服务；定期安排相关人员回访进行质量跟踪；保证提供临床应用和售后技术服务支持方式；保修期后提供终身维修服务及配件供应；其他售后服务按厂家承诺实行。</w:t>
          </w:r>
        </w:p>
        <w:p>
          <w:r>
            <w:rPr>
              <w:rFonts w:hint="eastAsia"/>
            </w:rPr>
            <w:t>★5.质保期：设备安装完毕通过验收投入使用之日起不少于3年。</w:t>
          </w:r>
        </w:p>
        <w:p>
          <w:pPr>
            <w:pStyle w:val="8"/>
            <w:ind w:left="-708" w:leftChars="-337"/>
            <w:rPr>
              <w:rFonts w:hint="eastAsia"/>
            </w:rPr>
          </w:pPr>
          <w:r>
            <w:rPr>
              <w:rFonts w:hint="eastAsia"/>
            </w:rPr>
            <w:t>6.故障处理：厂家须设有24小时免费服务电话，中标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keepNext w:val="0"/>
            <w:keepLines w:val="0"/>
            <w:widowControl/>
            <w:suppressLineNumbers w:val="0"/>
            <w:jc w:val="left"/>
          </w:pPr>
          <w:r>
            <w:rPr>
              <w:rFonts w:hint="eastAsia"/>
            </w:rPr>
            <w:t>7</w:t>
          </w:r>
          <w:r>
            <w:rPr>
              <w:rFonts w:hint="default"/>
            </w:rPr>
            <w:t>.</w:t>
          </w:r>
          <w:r>
            <w:rPr>
              <w:rFonts w:hint="eastAsia"/>
            </w:rPr>
            <w:t xml:space="preserve">国家法律法规规定的需计量强检、第三方验收的设备，其相应的计量强检费、第三方验收服务费等费用全由中标方负责。 </w:t>
          </w:r>
        </w:p>
        <w:p>
          <w:pPr>
            <w:pStyle w:val="8"/>
            <w:ind w:left="-708" w:leftChars="-337"/>
            <w:rPr>
              <w:rFonts w:hint="eastAsia"/>
            </w:rPr>
          </w:pPr>
        </w:p>
        <w:p>
          <w:pPr>
            <w:pStyle w:val="8"/>
            <w:ind w:left="-708" w:leftChars="-337"/>
          </w:pP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68ba6eb0-02a4-497b-b0fd-07eef003fc73}"/>
          </w:placeholder>
          <w15:color w:val="FF0000"/>
        </w:sdtPr>
        <w:sdtEndPr>
          <w:rPr>
            <w:color w:val="FF0000"/>
            <w:kern w:val="0"/>
            <w:sz w:val="24"/>
            <w:szCs w:val="24"/>
            <w:u w:val="single"/>
          </w:rPr>
        </w:sdtEndPr>
        <w:sdtContent>
          <w:r>
            <w:rPr>
              <w:rFonts w:hint="eastAsia"/>
            </w:rPr>
            <w:t>10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68ba6eb0-02a4-497b-b0fd-07eef003fc73}"/>
          </w:placeholder>
          <w15:color w:val="FF0000"/>
        </w:sdtPr>
        <w:sdtEndPr>
          <w:rPr>
            <w:kern w:val="0"/>
            <w:sz w:val="24"/>
            <w:szCs w:val="24"/>
            <w:u w:val="single"/>
          </w:rPr>
        </w:sdtEndPr>
        <w:sdtContent>
          <w:r>
            <w:rPr>
              <w:rFonts w:hint="eastAsia"/>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68ba6eb0-02a4-497b-b0fd-07eef003fc73}"/>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68ba6eb0-02a4-497b-b0fd-07eef003fc73}"/>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68ba6eb0-02a4-497b-b0fd-07eef003fc73}"/>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68ba6eb0-02a4-497b-b0fd-07eef003fc73}"/>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68ba6eb0-02a4-497b-b0fd-07eef003fc73}"/>
        </w:placeholder>
        <w:showingPlcHdr/>
        <w15:color w:val="FF0000"/>
      </w:sdtPr>
      <w:sdtContent>
        <w:p>
          <w:pPr>
            <w:pStyle w:val="8"/>
          </w:pPr>
          <w:r>
            <w:rPr>
              <w:rStyle w:val="9"/>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68ba6eb0-02a4-497b-b0fd-07eef003fc73}"/>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68ba6eb0-02a4-497b-b0fd-07eef003fc73}"/>
          </w:placeholder>
          <w15:color w:val="FF0000"/>
        </w:sdtPr>
        <w:sdtEndPr>
          <w:rPr>
            <w:rFonts w:hint="eastAsia" w:cs="宋体"/>
            <w:kern w:val="0"/>
            <w:sz w:val="24"/>
            <w:szCs w:val="24"/>
            <w:u w:val="single"/>
          </w:rPr>
        </w:sdtEndPr>
        <w:sdtContent>
          <w:r>
            <w:rPr>
              <w:rFonts w:hint="eastAsia"/>
            </w:rPr>
            <w:t>合理低价中标法</w:t>
          </w:r>
        </w:sdtContent>
      </w:sdt>
      <w:r>
        <w:rPr>
          <w:rFonts w:cs="宋体"/>
          <w:kern w:val="0"/>
          <w:sz w:val="24"/>
          <w:szCs w:val="24"/>
          <w:u w:val="single"/>
        </w:rPr>
        <w:t xml:space="preserve">  </w:t>
      </w:r>
      <w:r>
        <w:rPr>
          <w:rFonts w:hint="eastAsia" w:cs="宋体"/>
          <w:kern w:val="0"/>
          <w:sz w:val="24"/>
          <w:szCs w:val="24"/>
        </w:rPr>
        <w:t>确定中标候选人。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48230029">
      <w:pPr>
        <w:pStyle w:val="3"/>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7606"/>
    <w:multiLevelType w:val="multilevel"/>
    <w:tmpl w:val="1D15760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50E8B6C"/>
    <w:multiLevelType w:val="singleLevel"/>
    <w:tmpl w:val="350E8B6C"/>
    <w:lvl w:ilvl="0" w:tentative="0">
      <w:start w:val="2"/>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666A7"/>
    <w:rsid w:val="4CA6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annotation text"/>
    <w:basedOn w:val="1"/>
    <w:qFormat/>
    <w:uiPriority w:val="99"/>
    <w:pPr>
      <w:jc w:val="left"/>
    </w:pPr>
  </w:style>
  <w:style w:type="table" w:styleId="5">
    <w:name w:val="Table Grid"/>
    <w:basedOn w:val="4"/>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semiHidden/>
    <w:qFormat/>
    <w:uiPriority w:val="99"/>
    <w:rPr>
      <w:sz w:val="21"/>
      <w:szCs w:val="21"/>
    </w:rPr>
  </w:style>
  <w:style w:type="paragraph" w:customStyle="1" w:styleId="8">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styleId="9">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8ba6eb0-02a4-497b-b0fd-07eef003fc73}"/>
        <w:style w:val=""/>
        <w:category>
          <w:name w:val="常规"/>
          <w:gallery w:val="placeholder"/>
        </w:category>
        <w:types>
          <w:type w:val="bbPlcHdr"/>
        </w:types>
        <w:behaviors>
          <w:behavior w:val="content"/>
        </w:behaviors>
        <w:description w:val=""/>
        <w:guid w:val="{68ba6eb0-02a4-497b-b0fd-07eef003fc73}"/>
      </w:docPartPr>
      <w:docPartBody>
        <w:p>
          <w:r>
            <w:rPr>
              <w:rStyle w:val="3"/>
            </w:rPr>
            <w:t>单击或点击此处输入文字。</w:t>
          </w:r>
        </w:p>
      </w:docPartBody>
    </w:docPart>
    <w:docPart>
      <w:docPartPr>
        <w:name w:val="{99b4ed8c-1819-479a-b82d-6db8f6ae8a95}"/>
        <w:style w:val=""/>
        <w:category>
          <w:name w:val="常规"/>
          <w:gallery w:val="placeholder"/>
        </w:category>
        <w:types>
          <w:type w:val="bbPlcHdr"/>
        </w:types>
        <w:behaviors>
          <w:behavior w:val="content"/>
        </w:behaviors>
        <w:description w:val=""/>
        <w:guid w:val="{99b4ed8c-1819-479a-b82d-6db8f6ae8a95}"/>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2021-11-24T01:13:00Z</dcterms:created>
  <dc:creator>lenovo</dc:creator>
  <cp:lastModifiedBy>lenovo</cp:lastModifiedBy>
  <dcterms:modified xsi:type="dcterms:W3CDTF">2021-11-24T01:14:02Z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A48AC0CF065A4A7EB9ED27056C0F184C</vt:lpwstr>
  </property>
</Properties>
</file>