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widowControl/>
        <w:spacing w:line="360" w:lineRule="auto"/>
        <w:ind w:left="-708" w:leftChars="-338" w:hanging="2"/>
        <w:jc w:val="left"/>
        <w:rPr>
          <w:rFonts w:cs="宋体"/>
          <w:kern w:val="0"/>
        </w:rPr>
      </w:pPr>
      <w:r>
        <w:rPr>
          <w:rFonts w:hint="eastAsia" w:cs="宋体"/>
          <w:kern w:val="0"/>
        </w:rPr>
        <w:t>1、本一览表中如涉及有品牌型号、技术参数及其性能（配置），仅起参考作用，竞标人可选用其他品牌型号替代，但这些替代的品牌型号要实质上相当于或优于参考品牌型号及其技术参数性能（配置）要求，同时在投标文件中标明明细。</w:t>
      </w:r>
    </w:p>
    <w:p>
      <w:pPr>
        <w:pStyle w:val="9"/>
        <w:ind w:left="-708" w:leftChars="-338" w:hanging="2"/>
        <w:rPr>
          <w:color w:val="FF0000"/>
          <w:sz w:val="21"/>
          <w:szCs w:val="21"/>
        </w:rPr>
      </w:pPr>
      <w:r>
        <w:rPr>
          <w:rFonts w:hint="eastAsia"/>
          <w:color w:val="FF0000"/>
          <w:sz w:val="21"/>
          <w:szCs w:val="21"/>
        </w:rPr>
        <w:t>2、★ 部分为核心参数，不满足视为无效投标。</w:t>
      </w:r>
    </w:p>
    <w:p>
      <w:pPr>
        <w:pStyle w:val="9"/>
        <w:ind w:left="-708" w:leftChars="-337"/>
        <w:rPr>
          <w:rFonts w:cs="宋体"/>
          <w:b/>
          <w:bCs/>
          <w:sz w:val="28"/>
          <w:szCs w:val="28"/>
        </w:rPr>
      </w:pPr>
      <w:r>
        <w:rPr>
          <w:rFonts w:hint="eastAsia" w:cs="宋体"/>
          <w:b/>
          <w:bCs/>
          <w:sz w:val="28"/>
          <w:szCs w:val="28"/>
        </w:rPr>
        <w:t>一、采购清单、技术规格参数、质量标准和要求</w:t>
      </w:r>
    </w:p>
    <w:p>
      <w:pPr>
        <w:pStyle w:val="9"/>
        <w:ind w:left="-708" w:leftChars="-337"/>
        <w:rPr>
          <w:color w:val="FF0000"/>
          <w:sz w:val="21"/>
          <w:szCs w:val="21"/>
        </w:rPr>
      </w:pPr>
      <w:r>
        <w:rPr>
          <w:rFonts w:hint="eastAsia" w:cs="宋体"/>
          <w:b/>
          <w:bCs/>
        </w:rPr>
        <w:t>（一）</w:t>
      </w:r>
      <w:commentRangeStart w:id="0"/>
      <w:r>
        <w:rPr>
          <w:rFonts w:hint="eastAsia" w:cs="宋体"/>
          <w:b/>
          <w:bCs/>
        </w:rPr>
        <w:t>采购清单</w:t>
      </w:r>
      <w:commentRangeEnd w:id="0"/>
      <w:r>
        <w:rPr>
          <w:rStyle w:val="8"/>
          <w:color w:val="auto"/>
          <w:kern w:val="2"/>
        </w:rPr>
        <w:commentReference w:id="0"/>
      </w:r>
      <w:r>
        <w:rPr>
          <w:b/>
          <w:bCs/>
        </w:rPr>
        <w:t> </w:t>
      </w:r>
    </w:p>
    <w:tbl>
      <w:tblPr>
        <w:tblStyle w:val="6"/>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846"/>
        <w:gridCol w:w="439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840" w:type="dxa"/>
          </w:tcPr>
          <w:p>
            <w:pPr>
              <w:pStyle w:val="9"/>
              <w:jc w:val="both"/>
            </w:pPr>
            <w:r>
              <w:rPr>
                <w:rFonts w:hint="eastAsia"/>
              </w:rPr>
              <w:t>项目名称</w:t>
            </w:r>
          </w:p>
        </w:tc>
        <w:tc>
          <w:tcPr>
            <w:tcW w:w="846" w:type="dxa"/>
          </w:tcPr>
          <w:p>
            <w:pPr>
              <w:pStyle w:val="9"/>
              <w:jc w:val="both"/>
            </w:pPr>
            <w:r>
              <w:rPr>
                <w:rFonts w:hint="eastAsia"/>
              </w:rPr>
              <w:t>数量</w:t>
            </w:r>
          </w:p>
        </w:tc>
        <w:tc>
          <w:tcPr>
            <w:tcW w:w="4394" w:type="dxa"/>
          </w:tcPr>
          <w:p>
            <w:pPr>
              <w:pStyle w:val="9"/>
              <w:jc w:val="both"/>
            </w:pPr>
            <w:r>
              <w:rPr>
                <w:rFonts w:hint="eastAsia"/>
              </w:rPr>
              <w:t>产品用途与说明</w:t>
            </w:r>
          </w:p>
        </w:tc>
        <w:tc>
          <w:tcPr>
            <w:tcW w:w="1701" w:type="dxa"/>
          </w:tcPr>
          <w:p>
            <w:pPr>
              <w:pStyle w:val="9"/>
              <w:jc w:val="both"/>
            </w:pPr>
            <w:r>
              <w:rPr>
                <w:rFonts w:hint="eastAsia"/>
              </w:rPr>
              <w:t>实施地点</w:t>
            </w:r>
          </w:p>
        </w:tc>
      </w:tr>
      <w:sdt>
        <w:sdtPr>
          <w:alias w:val="根据实际情况填写"/>
          <w:tag w:val="根据实际情况填写"/>
          <w:id w:val="-1110810611"/>
          <w:placeholder>
            <w:docPart w:val="{513df90a-442b-47c2-9859-d6a3d5e8c906}"/>
          </w:placeholder>
          <w15:color w:val="FF6600"/>
        </w:sdt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840" w:type="dxa"/>
              </w:tcPr>
              <w:p>
                <w:pPr>
                  <w:pStyle w:val="9"/>
                  <w:jc w:val="both"/>
                  <w:rPr>
                    <w:rFonts w:hint="eastAsia"/>
                  </w:rPr>
                </w:pPr>
                <w:r>
                  <w:t>全自动化学发光免疫分析仪</w:t>
                </w:r>
              </w:p>
            </w:tc>
            <w:tc>
              <w:tcPr>
                <w:tcW w:w="846" w:type="dxa"/>
              </w:tcPr>
              <w:p>
                <w:pPr>
                  <w:pStyle w:val="9"/>
                  <w:jc w:val="both"/>
                  <w:rPr>
                    <w:rFonts w:hint="eastAsia"/>
                  </w:rPr>
                </w:pPr>
                <w:r>
                  <w:rPr>
                    <w:rFonts w:hint="eastAsia"/>
                  </w:rPr>
                  <w:t>1台</w:t>
                </w:r>
              </w:p>
            </w:tc>
            <w:tc>
              <w:tcPr>
                <w:tcW w:w="4394" w:type="dxa"/>
              </w:tcPr>
              <w:p>
                <w:pPr>
                  <w:rPr>
                    <w:rFonts w:hint="eastAsia"/>
                  </w:rPr>
                </w:pPr>
                <w:r>
                  <w:rPr>
                    <w:rFonts w:hint="eastAsia"/>
                  </w:rPr>
                  <w:t>采用AMPPT和碱性磷酸酶的间接化学发光法，与配套的免疫检测试剂盒一起使用，在临床上用于对来源于人体的血清、血浆、全血、尿液及脑脊液等样本中被检测物的定量或定性检测。</w:t>
                </w:r>
              </w:p>
            </w:tc>
            <w:tc>
              <w:tcPr>
                <w:tcW w:w="1701" w:type="dxa"/>
              </w:tcPr>
              <w:p>
                <w:pPr>
                  <w:pStyle w:val="9"/>
                  <w:jc w:val="both"/>
                </w:pPr>
                <w:r>
                  <w:rPr>
                    <w:rFonts w:hint="eastAsia"/>
                  </w:rPr>
                  <w:t>广西桂东人民医院指定地点</w:t>
                </w:r>
              </w:p>
            </w:tc>
          </w:tr>
        </w:sdtContent>
      </w:sdt>
    </w:tbl>
    <w:p>
      <w:pPr>
        <w:widowControl/>
        <w:numPr>
          <w:ilvl w:val="0"/>
          <w:numId w:val="1"/>
        </w:numPr>
        <w:spacing w:line="360" w:lineRule="auto"/>
        <w:ind w:left="-708" w:leftChars="-337"/>
        <w:jc w:val="left"/>
      </w:pPr>
      <w:r>
        <w:rPr>
          <w:rFonts w:hint="eastAsia" w:cs="宋体"/>
          <w:b/>
          <w:bCs/>
          <w:kern w:val="0"/>
          <w:sz w:val="24"/>
          <w:szCs w:val="24"/>
        </w:rPr>
        <w:t>技术规格参数</w:t>
      </w:r>
    </w:p>
    <w:sdt>
      <w:sdtPr>
        <w:rPr>
          <w:rFonts w:hint="eastAsia"/>
          <w:color w:val="000000"/>
          <w:kern w:val="0"/>
          <w:sz w:val="24"/>
          <w:szCs w:val="24"/>
        </w:rPr>
        <w:id w:val="147471302"/>
        <w15:repeatingSection/>
      </w:sdtPr>
      <w:sdtEndPr>
        <w:rPr>
          <w:rFonts w:hint="eastAsia"/>
          <w:color w:val="000000"/>
          <w:kern w:val="0"/>
          <w:sz w:val="24"/>
          <w:szCs w:val="24"/>
        </w:rPr>
      </w:sdtEndPr>
      <w:sdtContent>
        <w:sdt>
          <w:sdtPr>
            <w:rPr>
              <w:rFonts w:hint="eastAsia"/>
              <w:color w:val="000000"/>
              <w:kern w:val="0"/>
              <w:sz w:val="24"/>
              <w:szCs w:val="24"/>
            </w:rPr>
            <w:id w:val="147471276"/>
            <w:placeholder>
              <w:docPart w:val="{b29ef6cb-de72-4e5c-9906-6f2d62df28e4}"/>
            </w:placeholder>
            <w15:repeatingSectionItem/>
          </w:sdtPr>
          <w:sdtEndPr>
            <w:rPr>
              <w:rFonts w:hint="eastAsia"/>
              <w:color w:val="000000"/>
              <w:kern w:val="0"/>
              <w:sz w:val="24"/>
              <w:szCs w:val="24"/>
            </w:rPr>
          </w:sdtEndPr>
          <w:sdtContent>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1.速度通量：具有批处理模式，正常项目：24T/18min，VD项目：24T/40min，L3%项目：12T/38min</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2.出第一个结果时间：≤18min</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3.配套试剂盒规格：单人份包装</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rPr>
                <w:t>4.通道数量：24通道</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rPr>
                <w:t>5.支持样本类型检测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6.进样量:50-500ul,10ul递进</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7.进样方式：采用一次性取样头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8.条形码：兼容医院采血管的一维条形码，试剂条采用一维条码，盒内另附一维条形码卡片。可以采用通用读码器进行读取信息。</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9.读码器：具有2个，试剂条内置兼容一维和二维条形码，手持式读码器，兼容一维和二维条形码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10.孵育温度：37±0.5℃，达到37℃所需要的升温时间&lt;30min。</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rPr>
                <w:t>11.具有避光保护：为保护光子计数器，检测模块在使用中及断电后均应处于密闭状态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eastAsia="zh-CN"/>
                </w:rPr>
              </w:pPr>
              <w:r>
                <w:rPr>
                  <w:rFonts w:hint="eastAsia"/>
                </w:rPr>
                <w:t>12.携带污染率&lt;1PPM，加样环节采用一次性Tip头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13.支持血清、全血、血浆等不同样本类型检测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rPr>
                <w:t>14.动态范围106，可使用的范围，并非光子计数器的线性范围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15.暗背景：背景光不高于光子计数器的电子噪音</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16.分析方法：4参数Logistic拟合算法</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17.定标方式：2点定标方式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18.支持急诊功能，可设置一个单元为急诊单元</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19.设备无液路,免维护</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20.支持质控功能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21.支持LIS功能</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22.批内测量重复性：CV&lt;8%</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lang w:val="en-US" w:eastAsia="zh-CN"/>
                </w:rPr>
              </w:pPr>
              <w:r>
                <w:rPr>
                  <w:rFonts w:hint="eastAsia"/>
                </w:rPr>
                <w:t>23.线性相关性：在不小于2个数量级的浓度范围内，线性相关系数（r）≥0.99</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rPr>
                <w:t>24.可检测特殊项目：肝癌三联检组合（DCP、AFP、L3）、VD</w:t>
              </w:r>
            </w:p>
            <w:p>
              <w:pPr>
                <w:pStyle w:val="9"/>
              </w:pPr>
            </w:p>
          </w:sdtContent>
        </w:sdt>
      </w:sdtContent>
    </w:sdt>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rPr>
        <w:t>基本要求</w:t>
      </w:r>
    </w:p>
    <w:p>
      <w:pPr>
        <w:pStyle w:val="9"/>
        <w:ind w:left="-708" w:leftChars="-337"/>
        <w:rPr>
          <w:color w:val="auto"/>
        </w:rPr>
      </w:pPr>
      <w:r>
        <w:rPr>
          <w:rFonts w:hint="eastAsia"/>
          <w:color w:val="auto"/>
        </w:rPr>
        <w:t>1、以上产品必须是具备合法资质的制造商生产的全新正品，并完全满足招标采购文件的要求，若产品在运输或安装过程中损坏或擦伤须无偿调换相同产品。</w:t>
      </w:r>
    </w:p>
    <w:p>
      <w:pPr>
        <w:pStyle w:val="9"/>
        <w:ind w:left="-708" w:leftChars="-337"/>
        <w:rPr>
          <w:color w:val="auto"/>
        </w:rPr>
      </w:pPr>
      <w:r>
        <w:rPr>
          <w:rFonts w:hint="eastAsia"/>
          <w:color w:val="auto"/>
        </w:rPr>
        <w:t>2、投标人所投产品参数应同等或优于以上各项参数要求，产品、辅材及生产工艺符合国家相关规范。</w:t>
      </w:r>
    </w:p>
    <w:p>
      <w:pPr>
        <w:pStyle w:val="9"/>
        <w:ind w:left="-708" w:leftChars="-337"/>
        <w:rPr>
          <w:color w:val="auto"/>
        </w:rPr>
      </w:pPr>
      <w:r>
        <w:rPr>
          <w:rFonts w:hint="eastAsia"/>
          <w:color w:val="auto"/>
        </w:rPr>
        <w:t>3、投标人应保证所提供的货物或其任何一部分均不会侵犯任何第三方的专利权、商标权等，如在使用过程中出现的一切经济和法律责任均由投标人负责。</w:t>
      </w:r>
    </w:p>
    <w:p>
      <w:pPr>
        <w:pStyle w:val="9"/>
        <w:ind w:left="-708" w:leftChars="-337"/>
        <w:rPr>
          <w:color w:val="auto"/>
        </w:rPr>
      </w:pPr>
      <w:r>
        <w:rPr>
          <w:rFonts w:hint="eastAsia"/>
          <w:color w:val="auto"/>
        </w:rPr>
        <w:t>4、投标总价必须包含货物及货物运抵指定交货地点的各种费用和安装调校、售后服务、税金、验收检验及其它所有费用的总和，如另有要求请在投标文件中注明。</w:t>
      </w:r>
    </w:p>
    <w:p>
      <w:pPr>
        <w:pStyle w:val="9"/>
        <w:ind w:left="-708" w:leftChars="-337"/>
        <w:rPr>
          <w:color w:val="auto"/>
        </w:rPr>
      </w:pPr>
      <w:r>
        <w:rPr>
          <w:rFonts w:hint="eastAsia"/>
          <w:color w:val="auto"/>
        </w:rPr>
        <w:t>5、投标产品如包括必备的易损易耗备品备件和专用工具，竞标人应提供完整清单。</w:t>
      </w:r>
    </w:p>
    <w:p>
      <w:pPr>
        <w:pStyle w:val="9"/>
        <w:ind w:left="-708" w:leftChars="-337"/>
        <w:rPr>
          <w:rFonts w:cs="宋体"/>
          <w:b/>
          <w:bCs/>
        </w:rPr>
      </w:pPr>
      <w:r>
        <w:rPr>
          <w:rFonts w:hint="eastAsia" w:cs="宋体"/>
          <w:b/>
          <w:bCs/>
        </w:rPr>
        <w:t>（四）商务要求</w:t>
      </w:r>
    </w:p>
    <w:p>
      <w:pPr>
        <w:pStyle w:val="9"/>
        <w:ind w:left="-708" w:leftChars="-337"/>
        <w:rPr>
          <w:rFonts w:cs="宋体"/>
        </w:rPr>
      </w:pPr>
      <w:r>
        <w:rPr>
          <w:rFonts w:hint="eastAsia" w:cs="宋体"/>
        </w:rPr>
        <w:t>1.投标人为独立法人，并具备统一社会信用代码。</w:t>
      </w:r>
    </w:p>
    <w:p>
      <w:pPr>
        <w:pStyle w:val="9"/>
        <w:ind w:left="-708" w:leftChars="-337"/>
        <w:rPr>
          <w:rFonts w:cs="宋体"/>
        </w:rPr>
      </w:pPr>
      <w:r>
        <w:rPr>
          <w:rFonts w:hint="eastAsia" w:cs="宋体"/>
        </w:rPr>
        <w:t>2、被列入失信被执行人、重大税收违法案件当事人名单、政府采购严重违法失信行为记录名单及其他不符合《中华人民共和国政府采购法》第二十二条规定条件的供应商，将被拒绝其参与本次招投标活动。（在“信用中国”网站（www.creditchina.gov.cn）或“中国政府采购网”（www.ccgp.gov.cn）查询相关供应商主体信用记录。）</w:t>
      </w:r>
    </w:p>
    <w:p>
      <w:pPr>
        <w:pStyle w:val="9"/>
        <w:ind w:left="-708" w:leftChars="-337"/>
        <w:rPr>
          <w:rFonts w:cs="宋体"/>
        </w:rPr>
      </w:pPr>
      <w:r>
        <w:rPr>
          <w:rFonts w:hint="eastAsia" w:cs="宋体"/>
        </w:rPr>
        <w:t>3、被列入我院投标人黑名单（在我院招投标活动中存在2次违规行为）未满3年的投标人将被拒绝其参与本次招投标活动。</w:t>
      </w:r>
    </w:p>
    <w:sdt>
      <w:sdtPr>
        <w:rPr>
          <w:rFonts w:hint="eastAsia" w:cs="宋体"/>
        </w:rPr>
        <w:alias w:val="根据实际情况填写，这里为设备和维保模板"/>
        <w:tag w:val="根据实际情况填写，这里为设备和维保模板"/>
        <w:id w:val="545178371"/>
        <w:placeholder>
          <w:docPart w:val="{513df90a-442b-47c2-9859-d6a3d5e8c906}"/>
        </w:placeholder>
        <w15:color w:val="FF0000"/>
      </w:sdtPr>
      <w:sdtEndPr>
        <w:rPr>
          <w:rFonts w:hint="eastAsia" w:cs="Times New Roman"/>
        </w:rPr>
      </w:sdtEndPr>
      <w:sdtContent>
        <w:p>
          <w:pPr>
            <w:pStyle w:val="9"/>
            <w:ind w:left="-708" w:leftChars="-337"/>
            <w:rPr>
              <w:rFonts w:cs="宋体"/>
            </w:rPr>
          </w:pPr>
          <w:r>
            <w:rPr>
              <w:rFonts w:hint="eastAsia" w:cs="宋体"/>
            </w:rPr>
            <w:t>4.投标人所投产品三证齐全：投标公司的《医疗器械经营许可证》、生产厂家的《医疗器械生产许可证》（国外产品可不提供）、器械的《中华人民共和国医疗器械注册证》</w:t>
          </w:r>
        </w:p>
        <w:p>
          <w:pPr>
            <w:pStyle w:val="9"/>
            <w:ind w:left="-708" w:leftChars="-337"/>
            <w:rPr>
              <w:rFonts w:hint="eastAsia" w:cs="宋体"/>
              <w:color w:val="auto"/>
            </w:rPr>
          </w:pPr>
          <w:r>
            <w:rPr>
              <w:rFonts w:hint="eastAsia" w:cs="宋体"/>
            </w:rPr>
            <w:t>5、</w:t>
          </w:r>
          <w:r>
            <w:rPr>
              <w:rFonts w:hint="eastAsia" w:cs="宋体"/>
              <w:color w:val="FF0000"/>
            </w:rPr>
            <w:t>本项目不接收联合体投标</w:t>
          </w:r>
          <w:r>
            <w:rPr>
              <w:rFonts w:hint="eastAsia" w:cs="宋体"/>
              <w:color w:val="auto"/>
            </w:rPr>
            <w:t>。</w:t>
          </w:r>
        </w:p>
        <w:p>
          <w:pPr>
            <w:pStyle w:val="9"/>
            <w:ind w:left="-708" w:leftChars="-337"/>
            <w:rPr>
              <w:rFonts w:hint="eastAsia"/>
            </w:rPr>
          </w:pPr>
          <w:r>
            <w:rPr>
              <w:rFonts w:hint="eastAsia"/>
            </w:rPr>
            <w:t>★6.投标人在投标文件中必须提供设备配置清单及配套的试剂。</w:t>
          </w:r>
        </w:p>
        <w:p>
          <w:pPr>
            <w:pStyle w:val="9"/>
            <w:ind w:left="-708" w:leftChars="-337"/>
            <w:rPr>
              <w:rFonts w:hint="eastAsia"/>
            </w:rPr>
          </w:pPr>
          <w:r>
            <w:rPr>
              <w:rFonts w:hint="eastAsia"/>
            </w:rPr>
            <w:t>★7.投标人必须承诺在机器质保期无条件提供维修密码，并随设置更改同步告知用户，并提供安装盘、维修密码和维修资料。当产品在质保期内出现质量问题时，保证能协助采购方获得生产商的合理赔偿。</w:t>
          </w:r>
        </w:p>
        <w:p>
          <w:pPr>
            <w:pStyle w:val="9"/>
            <w:ind w:left="-708" w:leftChars="-337"/>
            <w:rPr>
              <w:rFonts w:hint="eastAsia"/>
            </w:rPr>
          </w:pPr>
          <w:r>
            <w:rPr>
              <w:rFonts w:hint="eastAsia"/>
            </w:rPr>
            <w:t>★8.投标文件中必须提供货物生产厂家针对本项目的售后服务承诺书。</w:t>
          </w:r>
        </w:p>
        <w:p>
          <w:pPr>
            <w:pStyle w:val="9"/>
            <w:ind w:left="-708" w:leftChars="-337"/>
          </w:pPr>
        </w:p>
      </w:sdtContent>
    </w:sdt>
    <w:p>
      <w:pPr>
        <w:widowControl/>
        <w:spacing w:line="360" w:lineRule="auto"/>
        <w:ind w:left="-708" w:leftChars="-338" w:hanging="2"/>
        <w:jc w:val="left"/>
        <w:rPr>
          <w:rFonts w:cs="宋体"/>
          <w:b/>
          <w:bCs/>
          <w:color w:val="000000"/>
          <w:kern w:val="0"/>
          <w:sz w:val="24"/>
          <w:szCs w:val="24"/>
        </w:rPr>
      </w:pPr>
      <w:r>
        <w:rPr>
          <w:rFonts w:hint="eastAsia" w:cs="宋体"/>
          <w:b/>
          <w:bCs/>
          <w:color w:val="000000"/>
          <w:kern w:val="0"/>
          <w:sz w:val="24"/>
          <w:szCs w:val="24"/>
        </w:rPr>
        <w:t>（五）售后服务和服务承诺</w:t>
      </w:r>
    </w:p>
    <w:sdt>
      <w:sdtPr>
        <w:rPr>
          <w:rFonts w:hint="eastAsia"/>
          <w:color w:val="000000"/>
          <w:kern w:val="0"/>
          <w:sz w:val="24"/>
          <w:szCs w:val="24"/>
        </w:rPr>
        <w:alias w:val="根据实际情况修改"/>
        <w:tag w:val="根据实际情况修改"/>
        <w:id w:val="1526364755"/>
        <w:placeholder>
          <w:docPart w:val="{513df90a-442b-47c2-9859-d6a3d5e8c906}"/>
        </w:placeholder>
        <w15:color w:val="FF0000"/>
      </w:sdtPr>
      <w:sdtEndPr>
        <w:rPr>
          <w:rFonts w:hint="eastAsia"/>
          <w:color w:val="000000"/>
          <w:kern w:val="0"/>
          <w:sz w:val="24"/>
          <w:szCs w:val="24"/>
        </w:rPr>
      </w:sdtEndPr>
      <w:sdtContent>
        <w:p>
          <w:pPr>
            <w:widowControl/>
            <w:spacing w:line="360" w:lineRule="auto"/>
            <w:ind w:left="-708" w:leftChars="-338" w:hanging="2"/>
            <w:jc w:val="left"/>
            <w:rPr>
              <w:color w:val="000000"/>
              <w:kern w:val="0"/>
              <w:sz w:val="24"/>
              <w:szCs w:val="24"/>
            </w:rPr>
          </w:pPr>
          <w:r>
            <w:rPr>
              <w:rFonts w:hint="eastAsia"/>
            </w:rPr>
            <w:t>1.</w:t>
          </w:r>
          <w:r>
            <w:rPr>
              <w:rFonts w:hint="eastAsia"/>
              <w:color w:val="000000"/>
              <w:kern w:val="0"/>
              <w:sz w:val="24"/>
              <w:szCs w:val="24"/>
            </w:rPr>
            <w:t>为了防止虚假应标，项目成交结果公示期间，招标人</w:t>
          </w:r>
          <w:r>
            <w:rPr>
              <w:rFonts w:hint="eastAsia"/>
              <w:color w:val="FF0000"/>
              <w:kern w:val="0"/>
              <w:sz w:val="24"/>
              <w:szCs w:val="24"/>
            </w:rPr>
            <w:t>有权要求拟中标的投标人提供所投标产品以供测试</w:t>
          </w:r>
          <w:r>
            <w:rPr>
              <w:rFonts w:hint="eastAsia"/>
              <w:color w:val="000000"/>
              <w:kern w:val="0"/>
              <w:sz w:val="24"/>
              <w:szCs w:val="24"/>
            </w:rPr>
            <w:t>；若测试达不到应答指标，以虚假应标论处。</w:t>
          </w:r>
        </w:p>
        <w:p>
          <w:pPr>
            <w:pStyle w:val="9"/>
            <w:ind w:left="-708" w:leftChars="-337"/>
          </w:pPr>
          <w:r>
            <w:rPr>
              <w:rFonts w:hint="eastAsia"/>
            </w:rPr>
            <w:t>2.投标产品必须是按厂家标准配置的整套全新，具备正规合法经销渠道的，符合国家各项有关质量标准的合格产品。相关部件及服务满足以上各项要求。若产品在运输过程中损坏或擦伤须无偿调换相同产品。</w:t>
          </w:r>
        </w:p>
        <w:p>
          <w:pPr>
            <w:pStyle w:val="9"/>
            <w:ind w:left="-708" w:leftChars="-337"/>
          </w:pPr>
          <w:r>
            <w:rPr>
              <w:rFonts w:hint="eastAsia"/>
            </w:rPr>
            <w:t>3.按厂家规定保修，同时提供产品“三包”服务；定期安排相关人员回访进行质量跟踪；保证提供临床应用和售后技术服务支持方式；保修期后提供终身维修服务及配件供应；其他售后服务按厂家承诺实行。</w:t>
          </w:r>
        </w:p>
        <w:p>
          <w:pPr>
            <w:pStyle w:val="9"/>
            <w:ind w:left="-708" w:leftChars="-337"/>
            <w:rPr>
              <w:rFonts w:hint="eastAsia"/>
              <w:color w:val="FF0000"/>
            </w:rPr>
          </w:pPr>
          <w:r>
            <w:rPr>
              <w:rFonts w:hint="eastAsia"/>
            </w:rPr>
            <w:t>4.</w:t>
          </w:r>
          <w:r>
            <w:rPr>
              <w:rFonts w:hint="eastAsia"/>
              <w:color w:val="FF0000"/>
            </w:rPr>
            <w:t>质保期：设备安装完毕通过验收投入使用之日起不少于1年</w:t>
          </w:r>
          <w:r>
            <w:rPr>
              <w:rFonts w:hint="eastAsia"/>
            </w:rPr>
            <w:t>，如厂家质保期更长的按厂家质保期。</w:t>
          </w:r>
        </w:p>
        <w:p>
          <w:pPr>
            <w:pStyle w:val="9"/>
            <w:ind w:left="-708" w:leftChars="-337"/>
          </w:pPr>
          <w:r>
            <w:rPr>
              <w:rFonts w:hint="eastAsia"/>
            </w:rPr>
            <w:t>5.</w:t>
          </w:r>
          <w:r>
            <w:rPr>
              <w:rFonts w:hint="eastAsia"/>
              <w:color w:val="FF0000"/>
            </w:rPr>
            <w:t>故障处理</w:t>
          </w:r>
          <w:r>
            <w:rPr>
              <w:rFonts w:hint="eastAsia"/>
            </w:rPr>
            <w:t>：厂家须设有24小时免费服务电话，中标供应商应提供</w:t>
          </w:r>
          <w:r>
            <w:rPr>
              <w:rFonts w:hint="eastAsia"/>
              <w:color w:val="FF0000"/>
            </w:rPr>
            <w:t>常驻广西维保人员</w:t>
          </w:r>
          <w:r>
            <w:rPr>
              <w:rFonts w:hint="eastAsia"/>
            </w:rPr>
            <w:t>名单、联系电话等。质保期内，在使用过程中发现质量问题或故障时，须接到通知后24小时内派工程师到达用户现场及提供常用备件，按国家及行业标准对故障进行及时处理或更换，以保证采购单位的正常使用，所发生的一切费用由成交供应商负责。</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二、交货期要求</w:t>
      </w:r>
    </w:p>
    <w:p>
      <w:pPr>
        <w:widowControl/>
        <w:spacing w:line="360" w:lineRule="auto"/>
        <w:ind w:left="-710" w:leftChars="-338" w:firstLine="480" w:firstLineChars="200"/>
        <w:jc w:val="left"/>
        <w:rPr>
          <w:rFonts w:cs="宋体"/>
          <w:kern w:val="0"/>
          <w:sz w:val="24"/>
          <w:szCs w:val="24"/>
        </w:rPr>
      </w:pPr>
      <w:r>
        <w:rPr>
          <w:rFonts w:hint="eastAsia" w:cs="宋体"/>
          <w:kern w:val="0"/>
          <w:sz w:val="24"/>
          <w:szCs w:val="24"/>
        </w:rPr>
        <w:t>签订合同后，</w:t>
      </w:r>
      <w:r>
        <w:rPr>
          <w:color w:val="FF0000"/>
          <w:kern w:val="0"/>
          <w:sz w:val="24"/>
          <w:szCs w:val="24"/>
          <w:u w:val="single"/>
        </w:rPr>
        <w:t xml:space="preserve">  </w:t>
      </w:r>
      <w:sdt>
        <w:sdtPr>
          <w:rPr>
            <w:color w:val="FF0000"/>
            <w:kern w:val="0"/>
            <w:sz w:val="24"/>
            <w:szCs w:val="24"/>
            <w:u w:val="single"/>
          </w:rPr>
          <w:alias w:val="根据实际情况填写"/>
          <w:tag w:val="根据实际情况填写"/>
          <w:id w:val="445283709"/>
          <w:placeholder>
            <w:docPart w:val="{513df90a-442b-47c2-9859-d6a3d5e8c906}"/>
          </w:placeholder>
          <w15:color w:val="FF0000"/>
        </w:sdtPr>
        <w:sdtEndPr>
          <w:rPr>
            <w:color w:val="FF0000"/>
            <w:kern w:val="0"/>
            <w:sz w:val="24"/>
            <w:szCs w:val="24"/>
            <w:u w:val="single"/>
          </w:rPr>
        </w:sdtEndPr>
        <w:sdtContent>
          <w:r>
            <w:t>20</w:t>
          </w:r>
        </w:sdtContent>
      </w:sdt>
      <w:r>
        <w:rPr>
          <w:color w:val="FF0000"/>
          <w:kern w:val="0"/>
          <w:sz w:val="24"/>
          <w:szCs w:val="24"/>
          <w:u w:val="single"/>
        </w:rPr>
        <w:t xml:space="preserve">    </w:t>
      </w:r>
      <w:r>
        <w:rPr>
          <w:rFonts w:hint="eastAsia" w:cs="宋体"/>
          <w:kern w:val="0"/>
          <w:sz w:val="24"/>
          <w:szCs w:val="24"/>
        </w:rPr>
        <w:t>天内仪器设备安装调试结束并交付使用。投标人予以特别注意：如出现未能到期供货的情况，采购人有权单方终止合同的执行，所有的经济损失由逾期供货商单方承担。</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三、交货地点</w:t>
      </w:r>
    </w:p>
    <w:p>
      <w:pPr>
        <w:widowControl/>
        <w:spacing w:line="360" w:lineRule="auto"/>
        <w:ind w:left="-708" w:leftChars="-338" w:hanging="2"/>
        <w:jc w:val="left"/>
        <w:rPr>
          <w:rFonts w:cs="宋体"/>
          <w:kern w:val="0"/>
          <w:sz w:val="24"/>
          <w:szCs w:val="24"/>
        </w:rPr>
      </w:pPr>
      <w:r>
        <w:rPr>
          <w:rFonts w:hint="eastAsia" w:cs="宋体"/>
          <w:kern w:val="0"/>
          <w:sz w:val="24"/>
          <w:szCs w:val="24"/>
        </w:rPr>
        <w:t>交货地点为：广西壮族自治区桂东人民医院</w:t>
      </w:r>
      <w:r>
        <w:rPr>
          <w:kern w:val="0"/>
          <w:sz w:val="24"/>
          <w:szCs w:val="24"/>
        </w:rPr>
        <w:t xml:space="preserve"> </w:t>
      </w:r>
      <w:r>
        <w:rPr>
          <w:kern w:val="0"/>
          <w:sz w:val="24"/>
          <w:szCs w:val="24"/>
          <w:u w:val="single"/>
        </w:rPr>
        <w:t xml:space="preserve"> </w:t>
      </w:r>
      <w:sdt>
        <w:sdtPr>
          <w:rPr>
            <w:kern w:val="0"/>
            <w:sz w:val="24"/>
            <w:szCs w:val="24"/>
            <w:u w:val="single"/>
          </w:rPr>
          <w:alias w:val="根据实际情况填写"/>
          <w:tag w:val="根据实际情况填写"/>
          <w:id w:val="1589662405"/>
          <w:placeholder>
            <w:docPart w:val="{513df90a-442b-47c2-9859-d6a3d5e8c906}"/>
          </w:placeholder>
          <w15:color w:val="FF0000"/>
        </w:sdtPr>
        <w:sdtEndPr>
          <w:rPr>
            <w:kern w:val="0"/>
            <w:sz w:val="24"/>
            <w:szCs w:val="24"/>
            <w:u w:val="single"/>
          </w:rPr>
        </w:sdtEndPr>
        <w:sdtContent>
          <w:r>
            <w:rPr>
              <w:rFonts w:hint="eastAsia"/>
              <w:kern w:val="0"/>
              <w:sz w:val="24"/>
              <w:szCs w:val="24"/>
              <w:u w:val="single"/>
            </w:rPr>
            <w:t>指定地点</w:t>
          </w:r>
        </w:sdtContent>
      </w:sdt>
      <w:r>
        <w:rPr>
          <w:kern w:val="0"/>
          <w:sz w:val="24"/>
          <w:szCs w:val="24"/>
          <w:u w:val="single"/>
        </w:rPr>
        <w:t xml:space="preserve">     </w:t>
      </w:r>
      <w:r>
        <w:rPr>
          <w:kern w:val="0"/>
          <w:sz w:val="24"/>
          <w:szCs w:val="24"/>
        </w:rPr>
        <w:t xml:space="preserve">         </w:t>
      </w:r>
      <w:r>
        <w:rPr>
          <w:rFonts w:hint="eastAsia" w:cs="宋体"/>
          <w:kern w:val="0"/>
          <w:sz w:val="24"/>
          <w:szCs w:val="24"/>
        </w:rPr>
        <w:t>。</w:t>
      </w:r>
    </w:p>
    <w:p>
      <w:pPr>
        <w:widowControl/>
        <w:spacing w:line="360" w:lineRule="auto"/>
        <w:ind w:left="-708" w:leftChars="-338" w:hanging="2"/>
        <w:jc w:val="left"/>
        <w:rPr>
          <w:rFonts w:cs="宋体"/>
          <w:b/>
          <w:bCs/>
          <w:kern w:val="0"/>
          <w:sz w:val="28"/>
          <w:szCs w:val="28"/>
        </w:rPr>
      </w:pPr>
      <w:r>
        <w:rPr>
          <w:rFonts w:hint="eastAsia" w:cs="宋体"/>
          <w:b/>
          <w:bCs/>
          <w:kern w:val="0"/>
          <w:sz w:val="28"/>
          <w:szCs w:val="28"/>
        </w:rPr>
        <w:t>四、付款方式</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经安装调试验收合格后，付合同款的</w:t>
      </w:r>
      <w:sdt>
        <w:sdtPr>
          <w:rPr>
            <w:rFonts w:hint="eastAsia" w:cs="宋体"/>
            <w:kern w:val="0"/>
            <w:sz w:val="24"/>
            <w:szCs w:val="24"/>
          </w:rPr>
          <w:alias w:val="根据实际情况修改"/>
          <w:tag w:val="根据实际情况修改"/>
          <w:id w:val="1199816932"/>
          <w:placeholder>
            <w:docPart w:val="{513df90a-442b-47c2-9859-d6a3d5e8c906}"/>
          </w:placeholder>
          <w15:color w:val="FF0000"/>
        </w:sdtPr>
        <w:sdtEndPr>
          <w:rPr>
            <w:rFonts w:hint="eastAsia" w:cs="宋体"/>
            <w:color w:val="FF0000"/>
            <w:kern w:val="0"/>
            <w:sz w:val="24"/>
            <w:szCs w:val="24"/>
            <w:u w:val="single"/>
          </w:rPr>
        </w:sdtEndPr>
        <w:sdtContent>
          <w:r>
            <w:rPr>
              <w:rFonts w:cs="宋体"/>
              <w:color w:val="FF0000"/>
              <w:kern w:val="0"/>
              <w:sz w:val="24"/>
              <w:szCs w:val="24"/>
              <w:u w:val="single"/>
            </w:rPr>
            <w:t> </w:t>
          </w:r>
          <w:r>
            <w:rPr>
              <w:rFonts w:hint="eastAsia" w:cs="宋体"/>
              <w:color w:val="FF0000"/>
              <w:kern w:val="0"/>
              <w:sz w:val="24"/>
              <w:szCs w:val="24"/>
              <w:u w:val="single"/>
            </w:rPr>
            <w:t>90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hint="eastAsia" w:cs="宋体"/>
          <w:kern w:val="0"/>
          <w:sz w:val="24"/>
          <w:szCs w:val="24"/>
        </w:rPr>
        <w:t>，其余</w:t>
      </w:r>
      <w:r>
        <w:rPr>
          <w:rFonts w:cs="宋体"/>
          <w:color w:val="FF0000"/>
          <w:kern w:val="0"/>
          <w:sz w:val="24"/>
          <w:szCs w:val="24"/>
        </w:rPr>
        <w:t> </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525755077"/>
          <w:placeholder>
            <w:docPart w:val="{513df90a-442b-47c2-9859-d6a3d5e8c906}"/>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10</w:t>
          </w:r>
        </w:sdtContent>
      </w:sdt>
      <w:r>
        <w:rPr>
          <w:rFonts w:hint="eastAsia" w:cs="宋体"/>
          <w:color w:val="FF0000"/>
          <w:kern w:val="0"/>
          <w:sz w:val="24"/>
          <w:szCs w:val="24"/>
          <w:u w:val="single"/>
        </w:rPr>
        <w:t>%</w:t>
      </w:r>
      <w:r>
        <w:rPr>
          <w:rFonts w:cs="宋体"/>
          <w:color w:val="FF0000"/>
          <w:kern w:val="0"/>
          <w:sz w:val="24"/>
          <w:szCs w:val="24"/>
          <w:u w:val="single"/>
        </w:rPr>
        <w:t xml:space="preserve"> </w:t>
      </w:r>
      <w:r>
        <w:rPr>
          <w:rFonts w:cs="宋体"/>
          <w:kern w:val="0"/>
          <w:sz w:val="24"/>
          <w:szCs w:val="24"/>
        </w:rPr>
        <w:t> </w:t>
      </w:r>
      <w:r>
        <w:rPr>
          <w:rFonts w:hint="eastAsia" w:cs="宋体"/>
          <w:kern w:val="0"/>
          <w:sz w:val="24"/>
          <w:szCs w:val="24"/>
        </w:rPr>
        <w:t>作为质保金，</w:t>
      </w:r>
      <w:r>
        <w:rPr>
          <w:rFonts w:cs="宋体"/>
          <w:color w:val="FF0000"/>
          <w:kern w:val="0"/>
          <w:sz w:val="24"/>
          <w:szCs w:val="24"/>
          <w:u w:val="single"/>
        </w:rPr>
        <w:t xml:space="preserve"> </w:t>
      </w:r>
      <w:sdt>
        <w:sdtPr>
          <w:rPr>
            <w:rFonts w:cs="宋体"/>
            <w:color w:val="FF0000"/>
            <w:kern w:val="0"/>
            <w:sz w:val="24"/>
            <w:szCs w:val="24"/>
            <w:u w:val="single"/>
          </w:rPr>
          <w:alias w:val="根据实际情况修改"/>
          <w:tag w:val="根据实际情况修改"/>
          <w:id w:val="1762253292"/>
          <w:placeholder>
            <w:docPart w:val="{513df90a-442b-47c2-9859-d6a3d5e8c906}"/>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1</w:t>
          </w:r>
        </w:sdtContent>
      </w:sdt>
      <w:r>
        <w:rPr>
          <w:rFonts w:cs="宋体"/>
          <w:color w:val="FF0000"/>
          <w:kern w:val="0"/>
          <w:sz w:val="24"/>
          <w:szCs w:val="24"/>
          <w:u w:val="single"/>
        </w:rPr>
        <w:t xml:space="preserve"> </w:t>
      </w:r>
      <w:r>
        <w:rPr>
          <w:rFonts w:hint="eastAsia" w:cs="宋体"/>
          <w:kern w:val="0"/>
          <w:sz w:val="24"/>
          <w:szCs w:val="24"/>
        </w:rPr>
        <w:t>年（根据项目特点定）内无质量问题后付清（无息）。</w:t>
      </w:r>
    </w:p>
    <w:p>
      <w:pPr>
        <w:widowControl/>
        <w:spacing w:line="400" w:lineRule="exact"/>
        <w:ind w:left="-710" w:leftChars="-338" w:firstLine="480" w:firstLineChars="200"/>
        <w:jc w:val="left"/>
        <w:rPr>
          <w:rFonts w:cs="宋体"/>
          <w:kern w:val="0"/>
          <w:sz w:val="24"/>
          <w:szCs w:val="24"/>
        </w:rPr>
      </w:pPr>
      <w:r>
        <w:rPr>
          <w:rFonts w:hint="eastAsia" w:cs="宋体"/>
          <w:kern w:val="0"/>
          <w:sz w:val="24"/>
          <w:szCs w:val="24"/>
        </w:rPr>
        <w:t>如验收不合格以及发现伪劣产品等，招标人将视情形采取退货、拒付款、终止合同、索赔等措施，直至通过有关部门，依法维权。</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五、合同签订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513df90a-442b-47c2-9859-d6a3d5e8c906}"/>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rPr>
            <w:t>5</w:t>
          </w:r>
        </w:sdtContent>
      </w:sdt>
      <w:r>
        <w:rPr>
          <w:rFonts w:hint="eastAsia" w:cs="宋体"/>
          <w:kern w:val="0"/>
          <w:sz w:val="24"/>
          <w:szCs w:val="24"/>
        </w:rPr>
        <w:t>工作日内签订采购合同。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cs="宋体"/>
          <w:b/>
          <w:bCs/>
          <w:kern w:val="0"/>
          <w:sz w:val="28"/>
          <w:szCs w:val="28"/>
        </w:rPr>
        <w:t>六、其他</w:t>
      </w:r>
    </w:p>
    <w:sdt>
      <w:sdtPr>
        <w:alias w:val="可添加特殊要求事项"/>
        <w:tag w:val="可添加特殊要求事项"/>
        <w:id w:val="455912131"/>
        <w:placeholder>
          <w:docPart w:val="{513df90a-442b-47c2-9859-d6a3d5e8c906}"/>
        </w:placeholder>
        <w:showingPlcHdr/>
        <w15:color w:val="FF0000"/>
      </w:sdtPr>
      <w:sdtContent>
        <w:p>
          <w:pPr>
            <w:pStyle w:val="9"/>
          </w:pPr>
          <w:r>
            <w:rPr>
              <w:rStyle w:val="10"/>
            </w:rPr>
            <w:t>单击或点击此处输入文字。</w:t>
          </w:r>
        </w:p>
      </w:sdtContent>
    </w:sdt>
    <w:p>
      <w:pPr>
        <w:widowControl/>
        <w:spacing w:line="360" w:lineRule="auto"/>
        <w:ind w:left="-708" w:leftChars="-338" w:hanging="2"/>
        <w:jc w:val="left"/>
        <w:rPr>
          <w:rFonts w:cs="宋体"/>
          <w:b/>
          <w:bCs/>
          <w:kern w:val="0"/>
          <w:sz w:val="28"/>
          <w:szCs w:val="28"/>
        </w:rPr>
      </w:pPr>
      <w:r>
        <w:rPr>
          <w:rFonts w:hint="eastAsia" w:cs="宋体"/>
          <w:b/>
          <w:bCs/>
          <w:kern w:val="0"/>
          <w:sz w:val="28"/>
          <w:szCs w:val="28"/>
        </w:rPr>
        <w:t>七、特别说明</w:t>
      </w:r>
    </w:p>
    <w:sdt>
      <w:sdtPr>
        <w:rPr>
          <w:rFonts w:cs="宋体"/>
          <w:kern w:val="0"/>
          <w:sz w:val="24"/>
          <w:szCs w:val="24"/>
        </w:rPr>
        <w:alias w:val="选填"/>
        <w:tag w:val="选填"/>
        <w:id w:val="50653589"/>
        <w:placeholder>
          <w:docPart w:val="{513df90a-442b-47c2-9859-d6a3d5e8c906}"/>
        </w:placeholder>
        <w15:color w:val="FF0000"/>
      </w:sdtPr>
      <w:sdtEndPr>
        <w:rPr>
          <w:rFonts w:hint="eastAsia" w:cs="宋体"/>
          <w:kern w:val="0"/>
          <w:sz w:val="24"/>
          <w:szCs w:val="24"/>
        </w:rPr>
      </w:sdtEndPr>
      <w:sdtContent>
        <w:p>
          <w:pPr>
            <w:widowControl/>
            <w:spacing w:line="400" w:lineRule="exact"/>
            <w:ind w:left="-708" w:leftChars="-338" w:hanging="2"/>
            <w:jc w:val="left"/>
            <w:rPr>
              <w:rFonts w:cs="宋体"/>
              <w:kern w:val="0"/>
              <w:sz w:val="24"/>
              <w:szCs w:val="24"/>
            </w:rPr>
          </w:pPr>
          <w:r>
            <w:rPr>
              <w:rFonts w:cs="宋体"/>
              <w:kern w:val="0"/>
              <w:sz w:val="24"/>
              <w:szCs w:val="24"/>
            </w:rPr>
            <w:t>.1</w:t>
          </w: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sdtContent>
    </w:sdt>
    <w:p>
      <w:pPr>
        <w:widowControl/>
        <w:spacing w:line="400" w:lineRule="exact"/>
        <w:jc w:val="left"/>
        <w:rPr>
          <w:b/>
          <w:bCs/>
          <w:kern w:val="0"/>
        </w:rPr>
      </w:pPr>
      <w:r>
        <w:rPr>
          <w:b/>
          <w:bCs/>
          <w:kern w:val="0"/>
        </w:rPr>
        <w:br w:type="page"/>
      </w:r>
      <w:r>
        <w:rPr>
          <w:rFonts w:hint="eastAsia"/>
          <w:b/>
          <w:bCs/>
          <w:kern w:val="0"/>
          <w:lang w:val="en-US" w:eastAsia="zh-CN"/>
        </w:rPr>
        <w:t xml:space="preserve">                 </w:t>
      </w: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bookmarkStart w:id="0" w:name="_GoBack"/>
      <w:bookmarkEnd w:id="0"/>
      <w:r>
        <w:rPr>
          <w:rFonts w:hint="eastAsia" w:cs="宋体"/>
          <w:b/>
          <w:bCs/>
          <w:kern w:val="0"/>
          <w:sz w:val="28"/>
          <w:szCs w:val="28"/>
        </w:rPr>
        <w:t>评标方法与定标原则</w:t>
      </w:r>
    </w:p>
    <w:p>
      <w:pPr>
        <w:widowControl/>
        <w:spacing w:line="360" w:lineRule="auto"/>
        <w:ind w:firstLine="480" w:firstLineChars="200"/>
        <w:jc w:val="left"/>
        <w:rPr>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kern w:val="0"/>
          <w:sz w:val="24"/>
          <w:szCs w:val="24"/>
          <w:u w:val="single"/>
        </w:rPr>
        <w:t xml:space="preserve"> </w:t>
      </w:r>
      <w:sdt>
        <w:sdtPr>
          <w:rPr>
            <w:rFonts w:hint="eastAsia" w:cs="宋体"/>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513df90a-442b-47c2-9859-d6a3d5e8c906}"/>
          </w:placeholder>
          <w15:color w:val="FF0000"/>
        </w:sdtPr>
        <w:sdtEndPr>
          <w:rPr>
            <w:rFonts w:hint="eastAsia" w:cs="宋体"/>
            <w:kern w:val="0"/>
            <w:sz w:val="24"/>
            <w:szCs w:val="24"/>
            <w:u w:val="single"/>
          </w:rPr>
        </w:sdtEndPr>
        <w:sdtContent>
          <w:r>
            <w:rPr>
              <w:rFonts w:hint="eastAsia"/>
            </w:rPr>
            <w:t>综合评分法</w:t>
          </w:r>
        </w:sdtContent>
      </w:sdt>
      <w:r>
        <w:rPr>
          <w:rFonts w:cs="宋体"/>
          <w:kern w:val="0"/>
          <w:sz w:val="24"/>
          <w:szCs w:val="24"/>
          <w:u w:val="single"/>
        </w:rPr>
        <w:t xml:space="preserve">  </w:t>
      </w:r>
      <w:r>
        <w:rPr>
          <w:rFonts w:hint="eastAsia" w:cs="宋体"/>
          <w:kern w:val="0"/>
          <w:sz w:val="24"/>
          <w:szCs w:val="24"/>
        </w:rPr>
        <w:t>确定中标候选人。</w:t>
      </w:r>
    </w:p>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 k" w:date="2021-01-18T15:48:00Z" w:initials="ck">
    <w:p w14:paraId="6FF118C3">
      <w:pPr>
        <w:pStyle w:val="4"/>
      </w:pPr>
      <w:r>
        <w:rPr>
          <w:rFonts w:hint="eastAsia"/>
        </w:rPr>
        <w:t>总清单，具体细节可在（二）技术规格参数中具体列明。</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F118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 k">
    <w15:presenceInfo w15:providerId="Windows Live" w15:userId="dd1b3a7fea7c43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501E7"/>
    <w:rsid w:val="75F5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unhideWhenUsed/>
    <w:qFormat/>
    <w:uiPriority w:val="0"/>
    <w:pPr>
      <w:spacing w:after="120"/>
    </w:pPr>
  </w:style>
  <w:style w:type="paragraph" w:styleId="4">
    <w:name w:val="annotation text"/>
    <w:basedOn w:val="1"/>
    <w:qFormat/>
    <w:uiPriority w:val="99"/>
    <w:pPr>
      <w:jc w:val="left"/>
    </w:pPr>
  </w:style>
  <w:style w:type="table" w:styleId="6">
    <w:name w:val="Table Grid"/>
    <w:basedOn w:val="5"/>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semiHidden/>
    <w:qFormat/>
    <w:uiPriority w:val="99"/>
    <w:rPr>
      <w:sz w:val="21"/>
      <w:szCs w:val="21"/>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styleId="10">
    <w:name w:val="Placeholder Text"/>
    <w:basedOn w:val="7"/>
    <w:semiHidden/>
    <w:qFormat/>
    <w:uiPriority w:val="99"/>
    <w:rPr>
      <w:color w:val="80808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3df90a-442b-47c2-9859-d6a3d5e8c906}"/>
        <w:style w:val=""/>
        <w:category>
          <w:name w:val="常规"/>
          <w:gallery w:val="placeholder"/>
        </w:category>
        <w:types>
          <w:type w:val="bbPlcHdr"/>
        </w:types>
        <w:behaviors>
          <w:behavior w:val="content"/>
        </w:behaviors>
        <w:description w:val=""/>
        <w:guid w:val="{513df90a-442b-47c2-9859-d6a3d5e8c906}"/>
      </w:docPartPr>
      <w:docPartBody>
        <w:p>
          <w:r>
            <w:rPr>
              <w:rStyle w:val="3"/>
            </w:rPr>
            <w:t>单击或点击此处输入文字。</w:t>
          </w:r>
        </w:p>
      </w:docPartBody>
    </w:docPart>
    <w:docPart>
      <w:docPartPr>
        <w:name w:val="{b29ef6cb-de72-4e5c-9906-6f2d62df28e4}"/>
        <w:style w:val=""/>
        <w:category>
          <w:name w:val="常规"/>
          <w:gallery w:val="placeholder"/>
        </w:category>
        <w:types>
          <w:type w:val="bbPlcHdr"/>
        </w:types>
        <w:behaviors>
          <w:behavior w:val="content"/>
        </w:behaviors>
        <w:description w:val=""/>
        <w:guid w:val="{b29ef6cb-de72-4e5c-9906-6f2d62df28e4}"/>
      </w:docPartPr>
      <w:docPartBody>
        <w:p>
          <w:r>
            <w:rPr>
              <w:color w:val="808080"/>
            </w:rPr>
            <w:t>输入要重复的任何内容(包括其他内容控件)。您也可以在表格行周围插入此控件，以便重复部分表格。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2021-11-24T02:45:00Z</dcterms:created>
  <dc:creator>lenovo</dc:creator>
  <cp:lastModifiedBy>lenovo</cp:lastModifiedBy>
  <dcterms:modified xsi:type="dcterms:W3CDTF">2021-11-24T02:45:56Z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13BBC9CA16F043D1BC2BFD9DB6101DB7</vt:lpwstr>
  </property>
</Properties>
</file>