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9"/>
        <w:ind w:left="-708" w:leftChars="-338" w:hanging="2"/>
        <w:rPr>
          <w:color w:val="FF0000"/>
          <w:sz w:val="21"/>
          <w:szCs w:val="21"/>
        </w:rPr>
      </w:pPr>
      <w:r>
        <w:rPr>
          <w:rFonts w:hint="eastAsia"/>
          <w:color w:val="FF0000"/>
          <w:sz w:val="21"/>
          <w:szCs w:val="21"/>
        </w:rPr>
        <w:t>2、★ 部分为核心参数，不满足视为无效投标。</w:t>
      </w:r>
    </w:p>
    <w:p>
      <w:pPr>
        <w:pStyle w:val="9"/>
        <w:ind w:left="-708" w:leftChars="-337"/>
        <w:rPr>
          <w:rFonts w:cs="宋体"/>
          <w:b/>
          <w:bCs/>
          <w:sz w:val="28"/>
          <w:szCs w:val="28"/>
        </w:rPr>
      </w:pPr>
      <w:r>
        <w:rPr>
          <w:rFonts w:hint="eastAsia" w:cs="宋体"/>
          <w:b/>
          <w:bCs/>
          <w:sz w:val="28"/>
          <w:szCs w:val="28"/>
        </w:rPr>
        <w:t>一、采购清单、技术规格参数、质量标准和要求</w:t>
      </w:r>
    </w:p>
    <w:p>
      <w:pPr>
        <w:pStyle w:val="9"/>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8"/>
          <w:color w:val="auto"/>
          <w:kern w:val="2"/>
        </w:rPr>
        <w:commentReference w:id="0"/>
      </w:r>
      <w:r>
        <w:rPr>
          <w:b/>
          <w:bCs/>
        </w:rPr>
        <w:t> </w:t>
      </w:r>
    </w:p>
    <w:tbl>
      <w:tblPr>
        <w:tblStyle w:val="6"/>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9"/>
              <w:jc w:val="both"/>
            </w:pPr>
            <w:r>
              <w:rPr>
                <w:rFonts w:hint="eastAsia"/>
              </w:rPr>
              <w:t>项目名称</w:t>
            </w:r>
          </w:p>
        </w:tc>
        <w:tc>
          <w:tcPr>
            <w:tcW w:w="846" w:type="dxa"/>
          </w:tcPr>
          <w:p>
            <w:pPr>
              <w:pStyle w:val="9"/>
              <w:jc w:val="both"/>
            </w:pPr>
            <w:r>
              <w:rPr>
                <w:rFonts w:hint="eastAsia"/>
              </w:rPr>
              <w:t>数量</w:t>
            </w:r>
          </w:p>
        </w:tc>
        <w:tc>
          <w:tcPr>
            <w:tcW w:w="4394" w:type="dxa"/>
          </w:tcPr>
          <w:p>
            <w:pPr>
              <w:pStyle w:val="9"/>
              <w:jc w:val="both"/>
            </w:pPr>
            <w:r>
              <w:rPr>
                <w:rFonts w:hint="eastAsia"/>
              </w:rPr>
              <w:t>产品用途与说明</w:t>
            </w:r>
          </w:p>
        </w:tc>
        <w:tc>
          <w:tcPr>
            <w:tcW w:w="1701" w:type="dxa"/>
          </w:tcPr>
          <w:p>
            <w:pPr>
              <w:pStyle w:val="9"/>
              <w:jc w:val="both"/>
            </w:pPr>
            <w:r>
              <w:rPr>
                <w:rFonts w:hint="eastAsia"/>
              </w:rPr>
              <w:t>实施地点</w:t>
            </w:r>
          </w:p>
        </w:tc>
      </w:tr>
      <w:sdt>
        <w:sdtPr>
          <w:alias w:val="根据实际情况填写"/>
          <w:tag w:val="根据实际情况填写"/>
          <w:id w:val="-1110810611"/>
          <w:placeholder>
            <w:docPart w:val="{e0e3e468-e08e-4d50-9c81-7cbe12d96786}"/>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9"/>
                  <w:jc w:val="both"/>
                  <w:rPr>
                    <w:rFonts w:hint="eastAsia"/>
                  </w:rPr>
                </w:pPr>
                <w:r>
                  <w:rPr>
                    <w:rFonts w:hint="eastAsia"/>
                  </w:rPr>
                  <w:t>电动手术床（骨科手术床）</w:t>
                </w:r>
              </w:p>
            </w:tc>
            <w:tc>
              <w:tcPr>
                <w:tcW w:w="846" w:type="dxa"/>
              </w:tcPr>
              <w:p>
                <w:pPr>
                  <w:pStyle w:val="9"/>
                  <w:jc w:val="both"/>
                  <w:rPr>
                    <w:rFonts w:hint="eastAsia"/>
                  </w:rPr>
                </w:pPr>
                <w:r>
                  <w:rPr>
                    <w:rFonts w:hint="eastAsia"/>
                  </w:rPr>
                  <w:t>1张</w:t>
                </w:r>
              </w:p>
            </w:tc>
            <w:tc>
              <w:tcPr>
                <w:tcW w:w="4394" w:type="dxa"/>
              </w:tcPr>
              <w:p/>
            </w:tc>
            <w:tc>
              <w:tcPr>
                <w:tcW w:w="1701" w:type="dxa"/>
              </w:tcPr>
              <w:p>
                <w:pPr>
                  <w:pStyle w:val="9"/>
                  <w:jc w:val="both"/>
                </w:pPr>
                <w:r>
                  <w:rPr>
                    <w:rFonts w:hint="eastAsia"/>
                  </w:rPr>
                  <w:t>广西桂东人民医院指定地点</w:t>
                </w:r>
              </w:p>
              <w:p>
                <w:pPr>
                  <w:pStyle w:val="9"/>
                  <w:jc w:val="both"/>
                </w:pP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71276"/>
            <w:placeholder>
              <w:docPart w:val="{8e181e6b-6229-4e1b-84b3-64ac3ef54a4c}"/>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 xml:space="preserve"> 1.电动手术床技术需求：</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Arial" w:hAnsi="Arial" w:cs="Arial"/>
                  <w:color w:val="000000"/>
                  <w:sz w:val="24"/>
                  <w:szCs w:val="24"/>
                </w:rPr>
              </w:pPr>
              <w:r>
                <w:rPr>
                  <w:rFonts w:hint="eastAsia"/>
                </w:rPr>
                <w:t>1.1手术床工作环境：适用于在气温-20ºC~50ºC之间，相对湿度10~95%环境下运输，能在环境温度10ºC~40ºC和相对湿度30~75%下工作，噪声水平&lt;58db，电池供应电工作时为AP型。电源供电为间歇式。</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★1.2 台面板：床面为碳素纤维材料，为术中使用C形臂或术中造影提供最便利的条件，确保颈部、胸部、腹部、腿部拍片没有任何阻挡。</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cs="宋体"/>
                  <w:color w:val="000000"/>
                  <w:kern w:val="0"/>
                  <w:sz w:val="24"/>
                  <w:szCs w:val="24"/>
                  <w:shd w:val="clear" w:color="auto" w:fill="FFFFFF"/>
                  <w:lang w:bidi="ar"/>
                </w:rPr>
              </w:pPr>
              <w:r>
                <w:rPr>
                  <w:rFonts w:hint="eastAsia"/>
                </w:rPr>
                <w:t>★1.3 电动机械驱动系统：驱动系统采用进口微电机驱动齿轮贴合机械结构，确保手术体位摆放精准，运行速度均匀平稳。</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1.4 控制系统：由A、B两套控制器构成，A套作为正常使用、B套作为备用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1.5 结构：</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cs="宋体"/>
                  <w:color w:val="000000"/>
                  <w:kern w:val="0"/>
                  <w:sz w:val="24"/>
                  <w:szCs w:val="24"/>
                  <w:shd w:val="clear" w:color="auto" w:fill="FFFFFF"/>
                  <w:lang w:bidi="ar"/>
                </w:rPr>
              </w:pPr>
              <w:r>
                <w:rPr>
                  <w:rFonts w:hint="eastAsia"/>
                </w:rPr>
                <w:t>1.5.1床板：由头板、背板、坐板、分体式腿板部分组成，头板可拆卸，便于安装神经外科头架。腿板可拆卸及下折，便于安装悬空式骨科牵引架、妇产科、泌尿科冲洗设备。</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★1.5.2移动性：手术床采用电磁刹车固定，具有极佳的移动性和转向性，锁定机构确保手术床牢固稳定.</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1.6体位调节方式：全电动手术床设计，以下体位采用电动调节并且在控制器上具有相应的一键式功能键：床面升降、头脚倾斜、左右倾斜、背板倾斜、水平位平移.</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1.7 电动控制系统：</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1.7.1具有两套独立的电子控制操作系统（有线控制和手术床体备用操作主板）</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★1.7.2控制器为全功能轻触式设计，具有一键回“0”功能</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1.8 材料要求</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★1.8.1整床基座及附件要求：手术床整床及附件均为高含量镍铬比例18：10不锈钢材料，使用中不生锈，附件不易损坏，床板由透X光的碳纤维材料制成。经久耐用，并且保证无任何死角，便于清洁</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1.8.2床垫：采用特殊泡沫海绵芯制成，厚度≥80mm,可依照病人体温和体形重新自然塑形，避免病人点受力，有效防止长时间手术病人褥疮形成。接缝采用超声波焊接工艺，密封性能好。具有X光可透性，导静电，不漏液体，可拆卸等特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sz w:val="24"/>
                  <w:szCs w:val="24"/>
                </w:rPr>
              </w:pPr>
              <w:r>
                <w:rPr>
                  <w:rFonts w:hint="eastAsia"/>
                </w:rPr>
                <w:t>2.手术床总体技术参数要求：</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2.1台面高度调节范围：≥200mm</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2.2 床面长度: ≥ 2020mm</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eastAsia="宋体" w:cs="宋体"/>
                  <w:color w:val="000000"/>
                  <w:kern w:val="0"/>
                  <w:sz w:val="24"/>
                  <w:szCs w:val="24"/>
                  <w:shd w:val="clear" w:color="auto" w:fill="FFFFFF"/>
                  <w:lang w:eastAsia="zh-CN" w:bidi="ar"/>
                </w:rPr>
              </w:pPr>
              <w:r>
                <w:rPr>
                  <w:rFonts w:hint="eastAsia"/>
                </w:rPr>
                <w:t>2.3床面宽度：540mm（±10mm）</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cs="宋体"/>
                  <w:color w:val="000000"/>
                  <w:kern w:val="0"/>
                  <w:sz w:val="24"/>
                  <w:szCs w:val="24"/>
                  <w:shd w:val="clear" w:color="auto" w:fill="FFFFFF"/>
                  <w:lang w:val="en-US" w:eastAsia="zh-CN" w:bidi="ar"/>
                </w:rPr>
              </w:pPr>
              <w:r>
                <w:rPr>
                  <w:rFonts w:hint="eastAsia"/>
                </w:rPr>
                <w:t>★2.4 床面最低高度：≥600mm</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cs="宋体"/>
                  <w:color w:val="000000"/>
                  <w:kern w:val="0"/>
                  <w:sz w:val="24"/>
                  <w:szCs w:val="24"/>
                  <w:shd w:val="clear" w:color="auto" w:fill="FFFFFF"/>
                  <w:lang w:bidi="ar"/>
                </w:rPr>
              </w:pPr>
              <w:r>
                <w:rPr>
                  <w:rFonts w:hint="eastAsia"/>
                </w:rPr>
                <w:t>2.5头倾、脚倾：≥28°</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2.6左倾、右倾：≥20°</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2.7 最大承重量：≥450kg</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3.手术床的具体技术要求：</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3.1 标准头板上折/下折角度：≥45°/ 90°</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 xml:space="preserve">3.2背板(上下)角度：≥65°/ 20°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3.3腿板(上下)角度：≥35°/ 90°</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4.配置要求</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4.1标准床板：1 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4.2 80mm泡沫芯自动塑性软垫：1 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4.3 分体式腿板：1 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ascii="Arial" w:hAnsi="Arial" w:cs="Arial"/>
                  <w:color w:val="000000"/>
                  <w:sz w:val="24"/>
                  <w:szCs w:val="24"/>
                </w:rPr>
              </w:pPr>
              <w:r>
                <w:rPr>
                  <w:rFonts w:hint="eastAsia"/>
                </w:rPr>
                <w:t>4.4 手臂托板：1 套 (2个)</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Arial" w:hAnsi="Arial" w:eastAsia="宋体" w:cs="Arial"/>
                  <w:color w:val="000000"/>
                  <w:sz w:val="24"/>
                  <w:szCs w:val="24"/>
                  <w:lang w:eastAsia="zh-CN"/>
                </w:rPr>
              </w:pPr>
              <w:r>
                <w:rPr>
                  <w:rFonts w:hint="eastAsia"/>
                </w:rPr>
                <w:t>4.5 麻醉屏架  1 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cs="宋体"/>
                  <w:color w:val="000000"/>
                  <w:kern w:val="0"/>
                  <w:sz w:val="24"/>
                  <w:szCs w:val="24"/>
                  <w:shd w:val="clear" w:color="auto" w:fill="FFFFFF"/>
                  <w:lang w:bidi="ar"/>
                </w:rPr>
              </w:pPr>
              <w:r>
                <w:rPr>
                  <w:rFonts w:hint="eastAsia"/>
                </w:rPr>
                <w:t>4.6 有线遥控器：1 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default" w:ascii="宋体" w:hAnsi="宋体" w:eastAsia="宋体" w:cs="宋体"/>
                  <w:color w:val="000000"/>
                  <w:kern w:val="0"/>
                  <w:sz w:val="24"/>
                  <w:szCs w:val="24"/>
                  <w:shd w:val="clear" w:color="auto" w:fill="FFFFFF"/>
                  <w:lang w:val="en-US" w:eastAsia="zh-CN" w:bidi="ar"/>
                </w:rPr>
              </w:pPr>
              <w:r>
                <w:rPr>
                  <w:rFonts w:hint="eastAsia"/>
                </w:rPr>
                <w:t>4.7 托腿架：1对</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cs="宋体"/>
                  <w:b w:val="0"/>
                  <w:bCs w:val="0"/>
                  <w:color w:val="000000"/>
                  <w:kern w:val="0"/>
                  <w:sz w:val="24"/>
                  <w:szCs w:val="24"/>
                  <w:shd w:val="clear" w:color="auto" w:fill="FFFFFF"/>
                  <w:lang w:val="en-US" w:eastAsia="zh-CN" w:bidi="ar"/>
                </w:rPr>
              </w:pPr>
              <w:r>
                <w:rPr>
                  <w:rFonts w:hint="eastAsia"/>
                </w:rPr>
                <w:t>4.8 碳素纤维骨科牵引架：1套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contextualSpacing/>
                <w:jc w:val="left"/>
                <w:textAlignment w:val="auto"/>
                <w:rPr>
                  <w:rFonts w:hint="eastAsia" w:ascii="宋体" w:hAnsi="宋体" w:cs="宋体"/>
                  <w:b w:val="0"/>
                  <w:bCs w:val="0"/>
                  <w:color w:val="000000"/>
                  <w:kern w:val="0"/>
                  <w:sz w:val="24"/>
                  <w:szCs w:val="24"/>
                  <w:shd w:val="clear" w:color="auto" w:fill="FFFFFF"/>
                  <w:lang w:val="en-US" w:eastAsia="zh-CN" w:bidi="ar"/>
                </w:rPr>
              </w:pPr>
              <w:r>
                <w:rPr>
                  <w:rFonts w:hint="eastAsia"/>
                </w:rPr>
                <w:t>4.9 侧卧位托手架：1套</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color w:val="FF0000"/>
                  <w:sz w:val="28"/>
                  <w:szCs w:val="28"/>
                </w:rPr>
              </w:pPr>
              <w:r>
                <w:rPr>
                  <w:rFonts w:hint="eastAsia"/>
                </w:rPr>
                <w:t>4.10马镫型腿架（两套）</w:t>
              </w:r>
            </w:p>
            <w:p>
              <w:pPr>
                <w:pStyle w:val="9"/>
                <w:rPr>
                  <w:rFonts w:hint="eastAsia" w:eastAsia="宋体"/>
                  <w:lang w:eastAsia="zh-CN"/>
                </w:rPr>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9"/>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9"/>
        <w:ind w:left="-708" w:leftChars="-337"/>
        <w:rPr>
          <w:color w:val="auto"/>
        </w:rPr>
      </w:pPr>
      <w:r>
        <w:rPr>
          <w:rFonts w:hint="eastAsia"/>
          <w:color w:val="auto"/>
        </w:rPr>
        <w:t>2、投标人所投产品参数应同等或优于以上各项参数要求，产品、辅材及生产工艺符合国家相关规范。</w:t>
      </w:r>
    </w:p>
    <w:p>
      <w:pPr>
        <w:pStyle w:val="9"/>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9"/>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9"/>
        <w:ind w:left="-708" w:leftChars="-337"/>
        <w:rPr>
          <w:color w:val="auto"/>
        </w:rPr>
      </w:pPr>
      <w:r>
        <w:rPr>
          <w:rFonts w:hint="eastAsia"/>
          <w:color w:val="auto"/>
        </w:rPr>
        <w:t>5、投标产品如包括必备的易损易耗备品备件和专用工具，竞标人应提供完整清单。</w:t>
      </w:r>
    </w:p>
    <w:p>
      <w:pPr>
        <w:pStyle w:val="9"/>
        <w:ind w:left="-708" w:leftChars="-337"/>
        <w:rPr>
          <w:rFonts w:cs="宋体"/>
          <w:b/>
          <w:bCs/>
        </w:rPr>
      </w:pPr>
      <w:r>
        <w:rPr>
          <w:rFonts w:hint="eastAsia" w:cs="宋体"/>
          <w:b/>
          <w:bCs/>
        </w:rPr>
        <w:t>（四）商务要求</w:t>
      </w:r>
    </w:p>
    <w:p>
      <w:pPr>
        <w:pStyle w:val="9"/>
        <w:ind w:left="-708" w:leftChars="-337"/>
        <w:rPr>
          <w:rFonts w:cs="宋体"/>
        </w:rPr>
      </w:pPr>
      <w:r>
        <w:rPr>
          <w:rFonts w:hint="eastAsia" w:cs="宋体"/>
        </w:rPr>
        <w:t>1.投标人为独立法人，并具备统一社会信用代码。</w:t>
      </w:r>
    </w:p>
    <w:p>
      <w:pPr>
        <w:pStyle w:val="9"/>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9"/>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e0e3e468-e08e-4d50-9c81-7cbe12d96786}"/>
        </w:placeholder>
        <w15:color w:val="FF0000"/>
      </w:sdtPr>
      <w:sdtEndPr>
        <w:rPr>
          <w:rFonts w:hint="eastAsia" w:cs="Times New Roman"/>
        </w:rPr>
      </w:sdtEndPr>
      <w:sdtContent>
        <w:p>
          <w:pPr>
            <w:pStyle w:val="9"/>
            <w:ind w:left="-708" w:leftChars="-337"/>
            <w:rPr>
              <w:rFonts w:cs="宋体"/>
            </w:rPr>
          </w:pPr>
          <w:r>
            <w:rPr>
              <w:rFonts w:hint="eastAsia" w:cs="宋体"/>
            </w:rPr>
            <w:t>4.投标人所投产品三证齐全：投标公司的《医疗器械经营许可证》、生产厂家的《医疗器械生产许可证》（国外产品可不提供）、器械的《中华人民共和国医疗器械注册证》</w:t>
          </w:r>
        </w:p>
        <w:p>
          <w:pPr>
            <w:pStyle w:val="9"/>
            <w:ind w:left="-708" w:leftChars="-337"/>
            <w:rPr>
              <w:rFonts w:cs="宋体"/>
            </w:rPr>
          </w:pPr>
          <w:r>
            <w:rPr>
              <w:rFonts w:hint="eastAsia" w:cs="宋体"/>
            </w:rPr>
            <w:t>5、</w:t>
          </w:r>
          <w:r>
            <w:rPr>
              <w:rFonts w:hint="eastAsia" w:cs="宋体"/>
              <w:color w:val="FF0000"/>
            </w:rPr>
            <w:t>本项目不接收联合体投标</w:t>
          </w:r>
          <w:r>
            <w:rPr>
              <w:rFonts w:hint="eastAsia" w:cs="宋体"/>
              <w:color w:val="auto"/>
            </w:rPr>
            <w:t>。</w:t>
          </w:r>
        </w:p>
        <w:p>
          <w:pPr>
            <w:pStyle w:val="9"/>
            <w:ind w:left="-708" w:leftChars="-337"/>
            <w:rPr>
              <w:rFonts w:hint="eastAsia"/>
            </w:rPr>
          </w:pPr>
          <w:r>
            <w:rPr>
              <w:rFonts w:hint="eastAsia"/>
            </w:rPr>
            <w:t>★6.投标文件中必须提供货物生产厂家针对本项目的售后服务承诺书。</w:t>
          </w:r>
        </w:p>
        <w:p>
          <w:pPr>
            <w:pStyle w:val="9"/>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e0e3e468-e08e-4d50-9c81-7cbe12d96786}"/>
        </w:placeholder>
        <w15:color w:val="FF0000"/>
      </w:sdtPr>
      <w:sdtEndPr>
        <w:rPr>
          <w:rFonts w:hint="eastAsia"/>
          <w:color w:val="000000"/>
          <w:kern w:val="0"/>
          <w:sz w:val="24"/>
          <w:szCs w:val="24"/>
        </w:rPr>
      </w:sdtEndPr>
      <w:sdtContent>
        <w:p>
          <w:pPr>
            <w:widowControl/>
            <w:spacing w:line="360" w:lineRule="auto"/>
            <w:ind w:left="-708" w:leftChars="-338" w:hanging="2"/>
            <w:jc w:val="left"/>
            <w:rPr>
              <w:color w:val="000000"/>
              <w:kern w:val="0"/>
              <w:sz w:val="24"/>
              <w:szCs w:val="24"/>
            </w:rPr>
          </w:pPr>
          <w:r>
            <w:rPr>
              <w:rFonts w:hint="eastAsia"/>
            </w:rPr>
            <w:t>1.</w:t>
          </w:r>
          <w:r>
            <w:rPr>
              <w:rFonts w:hint="eastAsia"/>
              <w:color w:val="000000"/>
              <w:kern w:val="0"/>
              <w:sz w:val="24"/>
              <w:szCs w:val="24"/>
            </w:rPr>
            <w:t>竞价人在竞价文件中必须提交设备配置清单，如设备</w:t>
          </w:r>
          <w:r>
            <w:rPr>
              <w:rFonts w:hint="eastAsia"/>
              <w:color w:val="FF0000"/>
              <w:kern w:val="0"/>
              <w:sz w:val="24"/>
              <w:szCs w:val="24"/>
            </w:rPr>
            <w:t>有配套耗材及定期更换的配件请投标时与设备一起报价</w:t>
          </w:r>
          <w:r>
            <w:rPr>
              <w:rFonts w:hint="eastAsia"/>
              <w:color w:val="000000"/>
              <w:kern w:val="0"/>
              <w:sz w:val="24"/>
              <w:szCs w:val="24"/>
            </w:rPr>
            <w:t>。</w:t>
          </w:r>
        </w:p>
        <w:p>
          <w:pPr>
            <w:widowControl/>
            <w:spacing w:line="360" w:lineRule="auto"/>
            <w:ind w:left="-708" w:leftChars="-338" w:hanging="2"/>
            <w:jc w:val="left"/>
            <w:rPr>
              <w:color w:val="000000"/>
              <w:kern w:val="0"/>
              <w:sz w:val="24"/>
              <w:szCs w:val="24"/>
            </w:rPr>
          </w:pPr>
          <w:r>
            <w:rPr>
              <w:rFonts w:hint="eastAsia"/>
            </w:rPr>
            <w:t>2.</w:t>
          </w:r>
          <w:r>
            <w:rPr>
              <w:rFonts w:hint="eastAsia"/>
              <w:color w:val="000000"/>
              <w:kern w:val="0"/>
              <w:sz w:val="24"/>
              <w:szCs w:val="24"/>
            </w:rPr>
            <w:t>为了防止虚假应标，项目成交结果公示期间，招标人</w:t>
          </w:r>
          <w:r>
            <w:rPr>
              <w:rFonts w:hint="eastAsia"/>
              <w:color w:val="FF0000"/>
              <w:kern w:val="0"/>
              <w:sz w:val="24"/>
              <w:szCs w:val="24"/>
            </w:rPr>
            <w:t>有权要求拟中标的投标人提供所投标产品以供测试</w:t>
          </w:r>
          <w:r>
            <w:rPr>
              <w:rFonts w:hint="eastAsia"/>
              <w:color w:val="000000"/>
              <w:kern w:val="0"/>
              <w:sz w:val="24"/>
              <w:szCs w:val="24"/>
            </w:rPr>
            <w:t>；若测试达不到应答指标，以虚假应标论处。</w:t>
          </w:r>
        </w:p>
        <w:p>
          <w:pPr>
            <w:pStyle w:val="9"/>
            <w:ind w:left="-708" w:leftChars="-337"/>
          </w:pPr>
          <w:r>
            <w:rPr>
              <w:rFonts w:hint="eastAsia"/>
            </w:rPr>
            <w:t>3.投标产品必须是按厂家标准配置的整套全新，具备正规合法经销渠道的，符合国家各项有关质量标准的合格产品。相关部件及服务满足以上各项要求。若产品在运输过程中损坏或擦伤须无偿调换相同产品。</w:t>
          </w:r>
        </w:p>
        <w:p>
          <w:pPr>
            <w:pStyle w:val="9"/>
            <w:ind w:left="-708" w:leftChars="-337"/>
          </w:pPr>
          <w:r>
            <w:rPr>
              <w:rFonts w:hint="eastAsia"/>
            </w:rPr>
            <w:t>4.按厂家规定保修，同时提供产品“三包”服务；定期安排相关人员回访进行质量跟踪；保证提供临床应用和售后技术服务支持方式；保修期后提供终身维修服务及配件供应；其他售后服务按厂家承诺实行。</w:t>
          </w:r>
        </w:p>
        <w:p>
          <w:r>
            <w:rPr>
              <w:rFonts w:hint="eastAsia"/>
            </w:rPr>
            <w:t>★5.</w:t>
          </w:r>
          <w:r>
            <w:rPr>
              <w:rFonts w:hint="eastAsia"/>
              <w:color w:val="FF0000"/>
            </w:rPr>
            <w:t>质保期：设备安装完毕通过验收投入使用之日起不少于</w:t>
          </w:r>
          <w:r>
            <w:rPr>
              <w:rFonts w:hint="eastAsia"/>
            </w:rPr>
            <w:t>1</w:t>
          </w:r>
          <w:r>
            <w:rPr>
              <w:rFonts w:hint="eastAsia"/>
              <w:color w:val="FF0000"/>
            </w:rPr>
            <w:t>年。</w:t>
          </w:r>
          <w:r>
            <w:rPr>
              <w:rFonts w:hint="eastAsia"/>
            </w:rPr>
            <w:t>每年至少两次现场免费维护保养（包括整机清洁、维护保养、定期巡查、性能调整等内容），并提供实施方案</w:t>
          </w:r>
        </w:p>
        <w:p>
          <w:pPr>
            <w:pStyle w:val="9"/>
            <w:ind w:left="-708" w:leftChars="-337"/>
            <w:rPr>
              <w:rFonts w:hint="eastAsia"/>
            </w:rPr>
          </w:pPr>
          <w:r>
            <w:rPr>
              <w:rFonts w:hint="eastAsia"/>
            </w:rPr>
            <w:t>6</w:t>
          </w:r>
          <w:r>
            <w:rPr>
              <w:rFonts w:hint="eastAsia"/>
              <w:color w:val="FF0000"/>
            </w:rPr>
            <w:t>故障处理</w:t>
          </w:r>
          <w:r>
            <w:rPr>
              <w:rFonts w:hint="eastAsia"/>
            </w:rPr>
            <w:t>：厂家须设有24小时免费服务电话，中标供应商应提供</w:t>
          </w:r>
          <w:r>
            <w:rPr>
              <w:rFonts w:hint="eastAsia"/>
              <w:color w:val="FF0000"/>
            </w:rPr>
            <w:t>常驻广西维保人员</w:t>
          </w:r>
          <w:r>
            <w:rPr>
              <w:rFonts w:hint="eastAsia"/>
            </w:rPr>
            <w:t>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p>
          <w:pPr>
            <w:pStyle w:val="9"/>
            <w:ind w:left="-708" w:leftChars="-337"/>
            <w:rPr>
              <w:rFonts w:hint="eastAsia"/>
            </w:rPr>
          </w:pPr>
        </w:p>
        <w:p>
          <w:pPr>
            <w:pStyle w:val="9"/>
            <w:ind w:left="-708" w:leftChars="-337"/>
          </w:pP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e0e3e468-e08e-4d50-9c81-7cbe12d96786}"/>
          </w:placeholder>
          <w15:color w:val="FF0000"/>
        </w:sdtPr>
        <w:sdtEndPr>
          <w:rPr>
            <w:color w:val="FF0000"/>
            <w:kern w:val="0"/>
            <w:sz w:val="24"/>
            <w:szCs w:val="24"/>
            <w:u w:val="single"/>
          </w:rPr>
        </w:sdtEndPr>
        <w:sdtContent>
          <w:r>
            <w:rPr>
              <w:rFonts w:hint="eastAsia"/>
            </w:rPr>
            <w:t>20</w:t>
          </w:r>
        </w:sdtContent>
      </w:sdt>
      <w:r>
        <w:rPr>
          <w:color w:val="FF0000"/>
          <w:kern w:val="0"/>
          <w:sz w:val="24"/>
          <w:szCs w:val="24"/>
          <w:u w:val="single"/>
        </w:rPr>
        <w:t xml:space="preserve">    </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e0e3e468-e08e-4d50-9c81-7cbe12d96786}"/>
          </w:placeholder>
          <w15:color w:val="FF0000"/>
        </w:sdtPr>
        <w:sdtEndPr>
          <w:rPr>
            <w:kern w:val="0"/>
            <w:sz w:val="24"/>
            <w:szCs w:val="24"/>
            <w:u w:val="single"/>
          </w:rPr>
        </w:sdtEndPr>
        <w:sdtContent>
          <w:r>
            <w:rPr>
              <w:rFonts w:hint="eastAsia"/>
            </w:rPr>
            <w:t>指定地点</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kern w:val="0"/>
            <w:sz w:val="24"/>
            <w:szCs w:val="24"/>
          </w:rPr>
          <w:alias w:val="根据实际情况修改"/>
          <w:tag w:val="根据实际情况修改"/>
          <w:id w:val="1199816932"/>
          <w:placeholder>
            <w:docPart w:val="{e0e3e468-e08e-4d50-9c81-7cbe12d96786}"/>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e0e3e468-e08e-4d50-9c81-7cbe12d96786}"/>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e0e3e468-e08e-4d50-9c81-7cbe12d96786}"/>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e0e3e468-e08e-4d50-9c81-7cbe12d96786}"/>
          </w:placeholder>
          <w15:color w:val="FF0000"/>
        </w:sdtPr>
        <w:sdtEndPr>
          <w:rPr>
            <w:rFonts w:hint="eastAsia" w:cs="宋体"/>
            <w:color w:val="FF0000"/>
            <w:kern w:val="0"/>
            <w:sz w:val="24"/>
            <w:szCs w:val="24"/>
            <w:u w:val="single"/>
          </w:rPr>
        </w:sdtEndPr>
        <w:sdtContent>
          <w:r>
            <w:rPr>
              <w:rFonts w:hint="eastAsia"/>
            </w:rPr>
            <w:t>7</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e0e3e468-e08e-4d50-9c81-7cbe12d96786}"/>
        </w:placeholder>
        <w:showingPlcHdr/>
        <w15:color w:val="FF0000"/>
      </w:sdtPr>
      <w:sdtContent>
        <w:p>
          <w:pPr>
            <w:pStyle w:val="9"/>
          </w:pPr>
          <w:r>
            <w:rPr>
              <w:rStyle w:val="10"/>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e0e3e468-e08e-4d50-9c81-7cbe12d96786}"/>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bookmarkStart w:id="0" w:name="_GoBack"/>
      <w:bookmarkEnd w:id="0"/>
      <w:r>
        <w:rPr>
          <w:rFonts w:hint="eastAsia" w:cs="宋体"/>
          <w:b/>
          <w:bCs/>
          <w:kern w:val="0"/>
          <w:sz w:val="28"/>
          <w:szCs w:val="28"/>
        </w:rPr>
        <w:t>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0e3e468-e08e-4d50-9c81-7cbe12d96786}"/>
          </w:placeholder>
          <w15:color w:val="FF0000"/>
        </w:sdtPr>
        <w:sdtEndPr>
          <w:rPr>
            <w:rFonts w:hint="eastAsia" w:cs="宋体"/>
            <w:kern w:val="0"/>
            <w:sz w:val="24"/>
            <w:szCs w:val="24"/>
            <w:u w:val="single"/>
          </w:rPr>
        </w:sdtEndPr>
        <w:sdtContent>
          <w:r>
            <w:rPr>
              <w:rFonts w:hint="eastAsia"/>
            </w:rPr>
            <w:t>综合评分法</w:t>
          </w:r>
        </w:sdtContent>
      </w:sdt>
      <w:r>
        <w:rPr>
          <w:rFonts w:cs="宋体"/>
          <w:kern w:val="0"/>
          <w:sz w:val="24"/>
          <w:szCs w:val="24"/>
          <w:u w:val="single"/>
        </w:rPr>
        <w:t xml:space="preserve">  </w:t>
      </w:r>
      <w:r>
        <w:rPr>
          <w:rFonts w:hint="eastAsia" w:cs="宋体"/>
          <w:kern w:val="0"/>
          <w:sz w:val="24"/>
          <w:szCs w:val="24"/>
        </w:rPr>
        <w:t>确定中标候选人。</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5AFB23AA">
      <w:pPr>
        <w:pStyle w:val="4"/>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FB23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05877"/>
    <w:rsid w:val="10505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120" w:line="240" w:lineRule="auto"/>
      <w:ind w:firstLine="420" w:firstLineChars="100"/>
    </w:pPr>
    <w:rPr>
      <w:kern w:val="2"/>
    </w:rPr>
  </w:style>
  <w:style w:type="paragraph" w:styleId="3">
    <w:name w:val="Body Text"/>
    <w:basedOn w:val="1"/>
    <w:next w:val="1"/>
    <w:unhideWhenUsed/>
    <w:qFormat/>
    <w:uiPriority w:val="0"/>
    <w:pPr>
      <w:spacing w:after="120"/>
    </w:pPr>
  </w:style>
  <w:style w:type="paragraph" w:styleId="4">
    <w:name w:val="annotation text"/>
    <w:basedOn w:val="1"/>
    <w:qFormat/>
    <w:uiPriority w:val="99"/>
    <w:pPr>
      <w:jc w:val="left"/>
    </w:pPr>
  </w:style>
  <w:style w:type="table" w:styleId="6">
    <w:name w:val="Table Grid"/>
    <w:basedOn w:val="5"/>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semiHidden/>
    <w:qFormat/>
    <w:uiPriority w:val="99"/>
    <w:rPr>
      <w:sz w:val="21"/>
      <w:szCs w:val="21"/>
    </w:rPr>
  </w:style>
  <w:style w:type="paragraph" w:customStyle="1" w:styleId="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styleId="10">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0e3e468-e08e-4d50-9c81-7cbe12d96786}"/>
        <w:style w:val=""/>
        <w:category>
          <w:name w:val="常规"/>
          <w:gallery w:val="placeholder"/>
        </w:category>
        <w:types>
          <w:type w:val="bbPlcHdr"/>
        </w:types>
        <w:behaviors>
          <w:behavior w:val="content"/>
        </w:behaviors>
        <w:description w:val=""/>
        <w:guid w:val="{e0e3e468-e08e-4d50-9c81-7cbe12d96786}"/>
      </w:docPartPr>
      <w:docPartBody>
        <w:p>
          <w:r>
            <w:rPr>
              <w:rStyle w:val="3"/>
            </w:rPr>
            <w:t>单击或点击此处输入文字。</w:t>
          </w:r>
        </w:p>
      </w:docPartBody>
    </w:docPart>
    <w:docPart>
      <w:docPartPr>
        <w:name w:val="{8e181e6b-6229-4e1b-84b3-64ac3ef54a4c}"/>
        <w:style w:val=""/>
        <w:category>
          <w:name w:val="常规"/>
          <w:gallery w:val="placeholder"/>
        </w:category>
        <w:types>
          <w:type w:val="bbPlcHdr"/>
        </w:types>
        <w:behaviors>
          <w:behavior w:val="content"/>
        </w:behaviors>
        <w:description w:val=""/>
        <w:guid w:val="{8e181e6b-6229-4e1b-84b3-64ac3ef54a4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2021-11-24T03:39:00Z</dcterms:created>
  <dc:creator>lenovo</dc:creator>
  <cp:lastModifiedBy>lenovo</cp:lastModifiedBy>
  <dcterms:modified xsi:type="dcterms:W3CDTF">2021-11-24T03:40:17Z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728A68F4F28E4341BC218F0DD850858E</vt:lpwstr>
  </property>
</Properties>
</file>