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宋体" w:hAnsi="宋体"/>
          <w:kern w:val="0"/>
          <w:sz w:val="21"/>
          <w:szCs w:val="21"/>
        </w:rPr>
      </w:pPr>
      <w:bookmarkStart w:id="0" w:name="_Toc88672081"/>
      <w:r>
        <w:rPr>
          <w:rFonts w:hint="eastAsia"/>
          <w:sz w:val="36"/>
          <w:szCs w:val="36"/>
        </w:rPr>
        <w:t>第三章</w:t>
      </w:r>
      <w:r>
        <w:rPr>
          <w:sz w:val="36"/>
          <w:szCs w:val="36"/>
        </w:rPr>
        <w:t xml:space="preserve">  </w:t>
      </w:r>
      <w:r>
        <w:rPr>
          <w:rFonts w:hint="eastAsia"/>
          <w:sz w:val="36"/>
          <w:szCs w:val="36"/>
        </w:rPr>
        <w:t>项目需求和质量标准</w:t>
      </w:r>
      <w:bookmarkEnd w:id="0"/>
    </w:p>
    <w:p>
      <w:pPr>
        <w:pStyle w:val="2"/>
        <w:spacing w:line="360" w:lineRule="auto"/>
        <w:ind w:left="-708" w:leftChars="-337"/>
        <w:rPr>
          <w:rFonts w:ascii="宋体" w:hAnsi="宋体" w:cs="宋体"/>
          <w:b/>
          <w:bCs/>
          <w:sz w:val="28"/>
          <w:szCs w:val="28"/>
        </w:rPr>
      </w:pPr>
      <w:r>
        <w:rPr>
          <w:rFonts w:hint="eastAsia" w:ascii="宋体" w:hAnsi="宋体" w:cs="宋体"/>
          <w:b/>
          <w:bCs/>
          <w:sz w:val="28"/>
          <w:szCs w:val="28"/>
        </w:rPr>
        <w:t>一、采购清单、技术规格参数、质量标准（</w:t>
      </w:r>
      <w:r>
        <w:rPr>
          <w:rFonts w:hint="eastAsia" w:ascii="宋体" w:hAnsi="宋体"/>
          <w:color w:val="auto"/>
          <w:sz w:val="28"/>
          <w:szCs w:val="28"/>
        </w:rPr>
        <w:t>★ 部分为核心参数，不满足视为无效投标</w:t>
      </w:r>
      <w:r>
        <w:rPr>
          <w:rFonts w:hint="eastAsia" w:ascii="宋体" w:hAnsi="宋体" w:cs="宋体"/>
          <w:b/>
          <w:bCs/>
          <w:sz w:val="28"/>
          <w:szCs w:val="28"/>
        </w:rPr>
        <w:t>）</w:t>
      </w:r>
    </w:p>
    <w:p>
      <w:pPr>
        <w:pStyle w:val="2"/>
        <w:spacing w:line="360" w:lineRule="auto"/>
        <w:ind w:left="-708" w:leftChars="-337"/>
        <w:rPr>
          <w:rFonts w:ascii="宋体" w:hAnsi="宋体"/>
          <w:b/>
          <w:bCs/>
          <w:sz w:val="28"/>
          <w:szCs w:val="28"/>
        </w:rPr>
      </w:pPr>
      <w:r>
        <w:rPr>
          <w:rFonts w:hint="eastAsia" w:ascii="宋体" w:hAnsi="宋体" w:cs="宋体"/>
          <w:b/>
          <w:bCs/>
          <w:sz w:val="28"/>
          <w:szCs w:val="28"/>
        </w:rPr>
        <w:t>1、检测项目</w:t>
      </w:r>
    </w:p>
    <w:tbl>
      <w:tblPr>
        <w:tblStyle w:val="6"/>
        <w:tblW w:w="10206" w:type="dxa"/>
        <w:tblInd w:w="-459" w:type="dxa"/>
        <w:tblLayout w:type="autofit"/>
        <w:tblCellMar>
          <w:top w:w="0" w:type="dxa"/>
          <w:left w:w="108" w:type="dxa"/>
          <w:bottom w:w="0" w:type="dxa"/>
          <w:right w:w="108" w:type="dxa"/>
        </w:tblCellMar>
      </w:tblPr>
      <w:tblGrid>
        <w:gridCol w:w="993"/>
        <w:gridCol w:w="4994"/>
        <w:gridCol w:w="4219"/>
      </w:tblGrid>
      <w:tr>
        <w:tblPrEx>
          <w:tblCellMar>
            <w:top w:w="0" w:type="dxa"/>
            <w:left w:w="108" w:type="dxa"/>
            <w:bottom w:w="0" w:type="dxa"/>
            <w:right w:w="108" w:type="dxa"/>
          </w:tblCellMar>
        </w:tblPrEx>
        <w:trPr>
          <w:trHeight w:val="28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序号</w:t>
            </w:r>
          </w:p>
        </w:tc>
        <w:tc>
          <w:tcPr>
            <w:tcW w:w="499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项目名称</w:t>
            </w:r>
          </w:p>
        </w:tc>
        <w:tc>
          <w:tcPr>
            <w:tcW w:w="421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b/>
                <w:bCs/>
                <w:color w:val="000000"/>
                <w:kern w:val="0"/>
              </w:rPr>
            </w:pPr>
            <w:r>
              <w:rPr>
                <w:rFonts w:hint="eastAsia" w:ascii="宋体" w:hAnsi="宋体" w:cs="宋体"/>
                <w:b/>
                <w:bCs/>
                <w:color w:val="000000"/>
                <w:kern w:val="0"/>
              </w:rPr>
              <w:t>肿瘤类型</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1</w:t>
            </w:r>
          </w:p>
        </w:tc>
        <w:tc>
          <w:tcPr>
            <w:tcW w:w="499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肺癌个体化诊疗基因突变检测（10-90个基因）</w:t>
            </w:r>
          </w:p>
        </w:tc>
        <w:tc>
          <w:tcPr>
            <w:tcW w:w="421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肺癌</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2</w:t>
            </w:r>
          </w:p>
        </w:tc>
        <w:tc>
          <w:tcPr>
            <w:tcW w:w="499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结直肠癌个体化诊疗基因检测（10-90个基因）</w:t>
            </w:r>
          </w:p>
        </w:tc>
        <w:tc>
          <w:tcPr>
            <w:tcW w:w="421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结直肠癌</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3</w:t>
            </w:r>
          </w:p>
        </w:tc>
        <w:tc>
          <w:tcPr>
            <w:tcW w:w="499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胃癌基因检测（30-90个基因）</w:t>
            </w:r>
          </w:p>
        </w:tc>
        <w:tc>
          <w:tcPr>
            <w:tcW w:w="421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胃癌</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4</w:t>
            </w:r>
          </w:p>
        </w:tc>
        <w:tc>
          <w:tcPr>
            <w:tcW w:w="499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ascii="宋体" w:hAnsi="宋体" w:cs="宋体"/>
                <w:color w:val="000000"/>
                <w:kern w:val="0"/>
              </w:rPr>
              <w:t>乳腺癌基因检测</w:t>
            </w:r>
            <w:r>
              <w:rPr>
                <w:rFonts w:hint="eastAsia" w:ascii="宋体" w:hAnsi="宋体" w:cs="宋体"/>
                <w:color w:val="000000"/>
                <w:kern w:val="0"/>
              </w:rPr>
              <w:t>（30-120个基因）</w:t>
            </w:r>
          </w:p>
        </w:tc>
        <w:tc>
          <w:tcPr>
            <w:tcW w:w="421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乳腺癌</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5</w:t>
            </w:r>
          </w:p>
        </w:tc>
        <w:tc>
          <w:tcPr>
            <w:tcW w:w="499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甲状腺癌基因检测（30-90个基因）</w:t>
            </w:r>
          </w:p>
        </w:tc>
        <w:tc>
          <w:tcPr>
            <w:tcW w:w="421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甲状腺癌</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6</w:t>
            </w:r>
          </w:p>
        </w:tc>
        <w:tc>
          <w:tcPr>
            <w:tcW w:w="499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妇科肿瘤基因检测（30-120个基因）</w:t>
            </w:r>
          </w:p>
        </w:tc>
        <w:tc>
          <w:tcPr>
            <w:tcW w:w="421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妇科肿瘤（卵巢癌、子宫内膜癌）</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7</w:t>
            </w:r>
          </w:p>
        </w:tc>
        <w:tc>
          <w:tcPr>
            <w:tcW w:w="499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泌尿系统肿瘤基因检测（30-90个基因）</w:t>
            </w:r>
          </w:p>
        </w:tc>
        <w:tc>
          <w:tcPr>
            <w:tcW w:w="421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泌尿系统肿瘤</w:t>
            </w:r>
          </w:p>
        </w:tc>
      </w:tr>
      <w:tr>
        <w:tblPrEx>
          <w:tblCellMar>
            <w:top w:w="0" w:type="dxa"/>
            <w:left w:w="108" w:type="dxa"/>
            <w:bottom w:w="0" w:type="dxa"/>
            <w:right w:w="108" w:type="dxa"/>
          </w:tblCellMar>
        </w:tblPrEx>
        <w:trPr>
          <w:trHeight w:val="285"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8</w:t>
            </w:r>
          </w:p>
        </w:tc>
        <w:tc>
          <w:tcPr>
            <w:tcW w:w="4994"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黑色素瘤基因检测（不低于80个基因）</w:t>
            </w:r>
          </w:p>
        </w:tc>
        <w:tc>
          <w:tcPr>
            <w:tcW w:w="421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黑色素瘤</w:t>
            </w:r>
          </w:p>
        </w:tc>
      </w:tr>
      <w:tr>
        <w:tblPrEx>
          <w:tblCellMar>
            <w:top w:w="0" w:type="dxa"/>
            <w:left w:w="108" w:type="dxa"/>
            <w:bottom w:w="0" w:type="dxa"/>
            <w:right w:w="108" w:type="dxa"/>
          </w:tblCellMar>
        </w:tblPrEx>
        <w:trPr>
          <w:trHeight w:val="28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9</w:t>
            </w:r>
          </w:p>
        </w:tc>
        <w:tc>
          <w:tcPr>
            <w:tcW w:w="499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肿瘤个体化诊疗基因突变检测（650个基因以上）</w:t>
            </w:r>
          </w:p>
        </w:tc>
        <w:tc>
          <w:tcPr>
            <w:tcW w:w="421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实体瘤泛癌种</w:t>
            </w:r>
          </w:p>
        </w:tc>
      </w:tr>
      <w:tr>
        <w:tblPrEx>
          <w:tblCellMar>
            <w:top w:w="0" w:type="dxa"/>
            <w:left w:w="108" w:type="dxa"/>
            <w:bottom w:w="0" w:type="dxa"/>
            <w:right w:w="108" w:type="dxa"/>
          </w:tblCellMar>
        </w:tblPrEx>
        <w:trPr>
          <w:trHeight w:val="285"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000000"/>
                <w:kern w:val="0"/>
                <w:lang w:val="en-US" w:eastAsia="zh-CN"/>
              </w:rPr>
            </w:pPr>
            <w:r>
              <w:rPr>
                <w:rFonts w:hint="eastAsia" w:ascii="宋体" w:hAnsi="宋体" w:cs="宋体"/>
                <w:color w:val="000000"/>
                <w:kern w:val="0"/>
              </w:rPr>
              <w:t>1</w:t>
            </w:r>
            <w:r>
              <w:rPr>
                <w:rFonts w:hint="eastAsia" w:ascii="宋体" w:hAnsi="宋体" w:cs="宋体"/>
                <w:color w:val="000000"/>
                <w:kern w:val="0"/>
                <w:lang w:val="en-US" w:eastAsia="zh-CN"/>
              </w:rPr>
              <w:t>0</w:t>
            </w:r>
          </w:p>
        </w:tc>
        <w:tc>
          <w:tcPr>
            <w:tcW w:w="499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实体瘤微小残留病灶检测（不低于2</w:t>
            </w:r>
            <w:r>
              <w:rPr>
                <w:rFonts w:ascii="宋体" w:hAnsi="宋体" w:cs="宋体"/>
                <w:color w:val="000000"/>
                <w:kern w:val="0"/>
              </w:rPr>
              <w:t>00</w:t>
            </w:r>
            <w:r>
              <w:rPr>
                <w:rFonts w:hint="eastAsia" w:ascii="宋体" w:hAnsi="宋体" w:cs="宋体"/>
                <w:color w:val="000000"/>
                <w:kern w:val="0"/>
              </w:rPr>
              <w:t>个基因）</w:t>
            </w:r>
          </w:p>
        </w:tc>
        <w:tc>
          <w:tcPr>
            <w:tcW w:w="421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rPr>
            </w:pPr>
            <w:r>
              <w:rPr>
                <w:rFonts w:hint="eastAsia" w:ascii="宋体" w:hAnsi="宋体" w:cs="宋体"/>
                <w:color w:val="000000"/>
                <w:kern w:val="0"/>
              </w:rPr>
              <w:t>实体瘤泛癌种</w:t>
            </w:r>
          </w:p>
        </w:tc>
      </w:tr>
    </w:tbl>
    <w:p>
      <w:pPr>
        <w:pStyle w:val="2"/>
        <w:spacing w:line="360" w:lineRule="auto"/>
        <w:ind w:left="-708" w:leftChars="-337"/>
        <w:rPr>
          <w:rFonts w:ascii="宋体" w:hAnsi="宋体" w:cs="宋体"/>
          <w:b/>
          <w:bCs/>
          <w:sz w:val="28"/>
          <w:szCs w:val="28"/>
        </w:rPr>
      </w:pPr>
      <w:r>
        <w:rPr>
          <w:rFonts w:ascii="宋体" w:hAnsi="宋体" w:cs="宋体"/>
          <w:b/>
          <w:bCs/>
          <w:sz w:val="28"/>
          <w:szCs w:val="28"/>
        </w:rPr>
        <w:t>2</w:t>
      </w:r>
      <w:r>
        <w:rPr>
          <w:rFonts w:hint="eastAsia" w:ascii="宋体" w:hAnsi="宋体" w:cs="宋体"/>
          <w:b/>
          <w:bCs/>
          <w:sz w:val="28"/>
          <w:szCs w:val="28"/>
        </w:rPr>
        <w:t>、技术要求</w:t>
      </w:r>
    </w:p>
    <w:p>
      <w:pPr>
        <w:pStyle w:val="5"/>
        <w:spacing w:before="0" w:line="360" w:lineRule="auto"/>
        <w:ind w:left="0"/>
        <w:rPr>
          <w:sz w:val="28"/>
          <w:szCs w:val="28"/>
          <w:lang w:eastAsia="zh-CN"/>
        </w:rPr>
      </w:pPr>
      <w:r>
        <w:rPr>
          <w:rFonts w:hint="eastAsia"/>
          <w:sz w:val="28"/>
          <w:szCs w:val="28"/>
          <w:lang w:eastAsia="zh-CN"/>
        </w:rPr>
        <w:t>2</w:t>
      </w:r>
      <w:r>
        <w:rPr>
          <w:sz w:val="28"/>
          <w:szCs w:val="28"/>
          <w:lang w:eastAsia="zh-CN"/>
        </w:rPr>
        <w:t>.1</w:t>
      </w:r>
      <w:r>
        <w:rPr>
          <w:rFonts w:hint="eastAsia"/>
          <w:sz w:val="28"/>
          <w:szCs w:val="28"/>
          <w:lang w:eastAsia="zh-CN"/>
        </w:rPr>
        <w:t>免疫治疗产品须涵盖TMB、MSI、HLA分型，其他包括免疫正负调控基因等；</w:t>
      </w:r>
    </w:p>
    <w:p>
      <w:pPr>
        <w:pStyle w:val="5"/>
        <w:spacing w:before="0" w:line="360" w:lineRule="auto"/>
        <w:ind w:left="0"/>
        <w:rPr>
          <w:sz w:val="28"/>
          <w:szCs w:val="28"/>
          <w:lang w:eastAsia="zh-CN"/>
        </w:rPr>
      </w:pPr>
      <w:r>
        <w:rPr>
          <w:rFonts w:hint="eastAsia"/>
          <w:sz w:val="28"/>
          <w:szCs w:val="28"/>
          <w:lang w:eastAsia="zh-CN"/>
        </w:rPr>
        <w:t>2</w:t>
      </w:r>
      <w:r>
        <w:rPr>
          <w:sz w:val="28"/>
          <w:szCs w:val="28"/>
          <w:lang w:eastAsia="zh-CN"/>
        </w:rPr>
        <w:t>.2</w:t>
      </w:r>
      <w:r>
        <w:rPr>
          <w:rFonts w:hint="eastAsia"/>
          <w:sz w:val="28"/>
          <w:szCs w:val="28"/>
          <w:lang w:eastAsia="zh-CN"/>
        </w:rPr>
        <w:t>妇科肿瘤需涵盖BRCA1/BRCA2、HRR相关基因；</w:t>
      </w:r>
    </w:p>
    <w:p>
      <w:pPr>
        <w:pStyle w:val="5"/>
        <w:spacing w:before="0" w:line="360" w:lineRule="auto"/>
        <w:ind w:left="0"/>
        <w:rPr>
          <w:sz w:val="28"/>
          <w:szCs w:val="28"/>
          <w:lang w:eastAsia="zh-CN"/>
        </w:rPr>
      </w:pPr>
      <w:r>
        <w:rPr>
          <w:rFonts w:hint="eastAsia"/>
          <w:sz w:val="28"/>
          <w:szCs w:val="28"/>
          <w:lang w:eastAsia="zh-CN"/>
        </w:rPr>
        <w:t>2</w:t>
      </w:r>
      <w:r>
        <w:rPr>
          <w:sz w:val="28"/>
          <w:szCs w:val="28"/>
          <w:lang w:eastAsia="zh-CN"/>
        </w:rPr>
        <w:t>.3</w:t>
      </w:r>
      <w:r>
        <w:rPr>
          <w:rFonts w:hint="eastAsia"/>
          <w:sz w:val="28"/>
          <w:szCs w:val="28"/>
          <w:lang w:eastAsia="zh-CN"/>
        </w:rPr>
        <w:t>应具备DNA、RNA双重融合突变检测能力。</w:t>
      </w:r>
    </w:p>
    <w:p>
      <w:pPr>
        <w:pStyle w:val="2"/>
        <w:spacing w:line="360" w:lineRule="auto"/>
        <w:ind w:left="-708" w:leftChars="-337"/>
        <w:rPr>
          <w:rFonts w:ascii="宋体" w:hAnsi="宋体" w:cs="宋体"/>
          <w:b/>
          <w:bCs/>
          <w:sz w:val="28"/>
          <w:szCs w:val="28"/>
        </w:rPr>
      </w:pPr>
      <w:r>
        <w:rPr>
          <w:rFonts w:hint="eastAsia" w:ascii="宋体" w:hAnsi="宋体" w:cs="宋体"/>
          <w:b/>
          <w:bCs/>
          <w:sz w:val="28"/>
          <w:szCs w:val="28"/>
        </w:rPr>
        <w:t>3、</w:t>
      </w:r>
      <w:r>
        <w:rPr>
          <w:rFonts w:ascii="宋体" w:hAnsi="宋体" w:cs="宋体"/>
          <w:b/>
          <w:bCs/>
          <w:sz w:val="28"/>
          <w:szCs w:val="28"/>
        </w:rPr>
        <w:t>检测资质要求</w:t>
      </w:r>
    </w:p>
    <w:p>
      <w:pPr>
        <w:pStyle w:val="5"/>
        <w:spacing w:before="0" w:line="360" w:lineRule="auto"/>
        <w:ind w:left="0"/>
        <w:rPr>
          <w:rFonts w:hint="eastAsia"/>
          <w:sz w:val="28"/>
          <w:szCs w:val="28"/>
          <w:lang w:eastAsia="zh-CN"/>
        </w:rPr>
      </w:pPr>
      <w:r>
        <w:rPr>
          <w:color w:val="auto"/>
          <w:sz w:val="28"/>
          <w:szCs w:val="28"/>
          <w:lang w:eastAsia="zh-CN"/>
        </w:rPr>
        <w:t xml:space="preserve">3.1 </w:t>
      </w:r>
      <w:r>
        <w:rPr>
          <w:sz w:val="28"/>
          <w:szCs w:val="28"/>
          <w:lang w:eastAsia="zh-CN"/>
        </w:rPr>
        <w:t>投标人应具备国际认可的实验室检验CAP资质</w:t>
      </w:r>
      <w:r>
        <w:rPr>
          <w:rFonts w:hint="eastAsia"/>
          <w:sz w:val="28"/>
          <w:szCs w:val="28"/>
          <w:lang w:eastAsia="zh-CN"/>
        </w:rPr>
        <w:t>；</w:t>
      </w:r>
    </w:p>
    <w:p>
      <w:pPr>
        <w:pStyle w:val="5"/>
        <w:spacing w:before="0" w:line="360" w:lineRule="auto"/>
        <w:ind w:left="0"/>
        <w:rPr>
          <w:sz w:val="28"/>
          <w:szCs w:val="28"/>
          <w:lang w:eastAsia="zh-CN"/>
        </w:rPr>
      </w:pPr>
      <w:r>
        <w:rPr>
          <w:rFonts w:hint="eastAsia"/>
          <w:sz w:val="28"/>
          <w:szCs w:val="28"/>
          <w:lang w:val="en-US" w:eastAsia="zh-CN"/>
        </w:rPr>
        <w:t>3.2</w:t>
      </w:r>
      <w:r>
        <w:rPr>
          <w:color w:val="auto"/>
          <w:sz w:val="28"/>
          <w:szCs w:val="28"/>
          <w:lang w:eastAsia="zh-CN"/>
        </w:rPr>
        <w:t>投标人应具备实验室检验资质，如 NCCL（卫健委国家临床检验中心）和PQCC(卫健委病理质控评价中心)的 EQA（室间质量评价）证书；</w:t>
      </w:r>
      <w:r>
        <w:rPr>
          <w:sz w:val="28"/>
          <w:szCs w:val="28"/>
          <w:lang w:eastAsia="zh-CN"/>
        </w:rPr>
        <w:t>其中须包括肿瘤体细胞突变高通量测序检测室间质评证书及肿瘤游离 DNA 基因突变检测室间质评证书。</w:t>
      </w:r>
    </w:p>
    <w:p>
      <w:pPr>
        <w:pStyle w:val="5"/>
        <w:spacing w:before="0" w:line="360" w:lineRule="auto"/>
        <w:ind w:left="0"/>
        <w:rPr>
          <w:color w:val="auto"/>
          <w:sz w:val="28"/>
          <w:szCs w:val="28"/>
          <w:lang w:eastAsia="zh-CN"/>
        </w:rPr>
      </w:pPr>
      <w:r>
        <w:rPr>
          <w:color w:val="auto"/>
          <w:sz w:val="28"/>
          <w:szCs w:val="28"/>
          <w:lang w:eastAsia="zh-CN"/>
        </w:rPr>
        <w:t>3.</w:t>
      </w:r>
      <w:r>
        <w:rPr>
          <w:rFonts w:hint="eastAsia"/>
          <w:color w:val="auto"/>
          <w:sz w:val="28"/>
          <w:szCs w:val="28"/>
          <w:lang w:val="en-US" w:eastAsia="zh-CN"/>
        </w:rPr>
        <w:t>3</w:t>
      </w:r>
      <w:r>
        <w:rPr>
          <w:color w:val="auto"/>
          <w:sz w:val="28"/>
          <w:szCs w:val="28"/>
          <w:lang w:eastAsia="zh-CN"/>
        </w:rPr>
        <w:t xml:space="preserve"> 投标人应具有临床基因扩增检验技术证明文件</w:t>
      </w:r>
      <w:r>
        <w:rPr>
          <w:rFonts w:hint="eastAsia"/>
          <w:color w:val="auto"/>
          <w:sz w:val="28"/>
          <w:szCs w:val="28"/>
          <w:lang w:eastAsia="zh-CN"/>
        </w:rPr>
        <w:t>；</w:t>
      </w:r>
    </w:p>
    <w:p>
      <w:pPr>
        <w:pStyle w:val="5"/>
        <w:spacing w:before="0" w:line="360" w:lineRule="auto"/>
        <w:ind w:left="0"/>
        <w:rPr>
          <w:rFonts w:hint="eastAsia"/>
          <w:color w:val="auto"/>
          <w:sz w:val="28"/>
          <w:szCs w:val="28"/>
          <w:lang w:eastAsia="zh-CN"/>
        </w:rPr>
      </w:pPr>
      <w:r>
        <w:rPr>
          <w:color w:val="auto"/>
          <w:sz w:val="28"/>
          <w:szCs w:val="28"/>
          <w:lang w:eastAsia="zh-CN"/>
        </w:rPr>
        <w:t>3.</w:t>
      </w:r>
      <w:r>
        <w:rPr>
          <w:rFonts w:hint="eastAsia"/>
          <w:color w:val="auto"/>
          <w:sz w:val="28"/>
          <w:szCs w:val="28"/>
          <w:lang w:val="en-US" w:eastAsia="zh-CN"/>
        </w:rPr>
        <w:t>4</w:t>
      </w:r>
      <w:r>
        <w:rPr>
          <w:color w:val="auto"/>
          <w:sz w:val="28"/>
          <w:szCs w:val="28"/>
          <w:lang w:eastAsia="zh-CN"/>
        </w:rPr>
        <w:t xml:space="preserve"> 投标人应具有</w:t>
      </w:r>
      <w:r>
        <w:rPr>
          <w:rFonts w:hint="eastAsia"/>
          <w:color w:val="auto"/>
          <w:sz w:val="28"/>
          <w:szCs w:val="28"/>
          <w:lang w:eastAsia="zh-CN"/>
        </w:rPr>
        <w:t>质</w:t>
      </w:r>
      <w:r>
        <w:rPr>
          <w:color w:val="auto"/>
          <w:sz w:val="28"/>
          <w:szCs w:val="28"/>
          <w:lang w:eastAsia="zh-CN"/>
        </w:rPr>
        <w:t>量管理体系认证</w:t>
      </w:r>
      <w:r>
        <w:rPr>
          <w:rFonts w:hint="eastAsia"/>
          <w:color w:val="auto"/>
          <w:sz w:val="28"/>
          <w:szCs w:val="28"/>
          <w:lang w:eastAsia="zh-CN"/>
        </w:rPr>
        <w:t>；</w:t>
      </w:r>
    </w:p>
    <w:p>
      <w:pPr>
        <w:pStyle w:val="5"/>
        <w:spacing w:before="0" w:line="360" w:lineRule="auto"/>
        <w:ind w:left="0"/>
        <w:rPr>
          <w:sz w:val="28"/>
          <w:szCs w:val="28"/>
          <w:lang w:eastAsia="zh-CN"/>
        </w:rPr>
      </w:pPr>
      <w:r>
        <w:rPr>
          <w:sz w:val="28"/>
          <w:szCs w:val="28"/>
          <w:lang w:eastAsia="zh-CN"/>
        </w:rPr>
        <w:t>3.5 该项目进行检测的人员需持有PCR上岗证或检验医师资格证。</w:t>
      </w:r>
    </w:p>
    <w:p>
      <w:pPr>
        <w:pStyle w:val="5"/>
        <w:spacing w:before="0" w:line="360" w:lineRule="auto"/>
        <w:ind w:left="0"/>
        <w:rPr>
          <w:color w:val="auto"/>
          <w:sz w:val="28"/>
          <w:szCs w:val="28"/>
          <w:lang w:eastAsia="zh-CN"/>
        </w:rPr>
      </w:pPr>
      <w:r>
        <w:rPr>
          <w:rFonts w:hint="eastAsia"/>
          <w:color w:val="auto"/>
          <w:sz w:val="28"/>
          <w:szCs w:val="28"/>
          <w:lang w:eastAsia="zh-CN"/>
        </w:rPr>
        <w:t>★</w:t>
      </w:r>
      <w:r>
        <w:rPr>
          <w:b/>
          <w:color w:val="auto"/>
          <w:sz w:val="28"/>
          <w:szCs w:val="28"/>
          <w:lang w:eastAsia="zh-CN"/>
        </w:rPr>
        <w:t>3.</w:t>
      </w:r>
      <w:r>
        <w:rPr>
          <w:rFonts w:hint="eastAsia"/>
          <w:b/>
          <w:color w:val="auto"/>
          <w:sz w:val="28"/>
          <w:szCs w:val="28"/>
          <w:lang w:val="en-US" w:eastAsia="zh-CN"/>
        </w:rPr>
        <w:t>6</w:t>
      </w:r>
      <w:r>
        <w:rPr>
          <w:b/>
          <w:color w:val="auto"/>
          <w:sz w:val="28"/>
          <w:szCs w:val="28"/>
          <w:lang w:eastAsia="zh-CN"/>
        </w:rPr>
        <w:t xml:space="preserve"> 投标人应具备完善的肿瘤高通量测序检测技术平台，其中应具有NMPA批准的测序仪，测序原理为边合成边测序和可逆终止技术。</w:t>
      </w:r>
    </w:p>
    <w:p>
      <w:pPr>
        <w:pStyle w:val="2"/>
        <w:spacing w:line="360" w:lineRule="auto"/>
        <w:ind w:left="-708" w:leftChars="-337"/>
        <w:rPr>
          <w:rFonts w:ascii="宋体" w:hAnsi="宋体" w:cs="宋体"/>
          <w:b/>
          <w:bCs/>
          <w:sz w:val="28"/>
          <w:szCs w:val="28"/>
        </w:rPr>
      </w:pPr>
      <w:r>
        <w:rPr>
          <w:rFonts w:ascii="宋体" w:hAnsi="宋体" w:cs="宋体"/>
          <w:b/>
          <w:bCs/>
          <w:sz w:val="28"/>
          <w:szCs w:val="28"/>
        </w:rPr>
        <w:t>4</w:t>
      </w:r>
      <w:r>
        <w:rPr>
          <w:rFonts w:hint="eastAsia" w:ascii="宋体" w:hAnsi="宋体" w:cs="宋体"/>
          <w:b/>
          <w:bCs/>
          <w:sz w:val="28"/>
          <w:szCs w:val="28"/>
        </w:rPr>
        <w:t>、服务</w:t>
      </w:r>
      <w:r>
        <w:rPr>
          <w:rFonts w:ascii="宋体" w:hAnsi="宋体" w:cs="宋体"/>
          <w:b/>
          <w:bCs/>
          <w:sz w:val="28"/>
          <w:szCs w:val="28"/>
        </w:rPr>
        <w:t>要求</w:t>
      </w:r>
    </w:p>
    <w:p>
      <w:pPr>
        <w:pStyle w:val="5"/>
        <w:spacing w:before="0" w:line="360" w:lineRule="auto"/>
        <w:ind w:left="0"/>
        <w:rPr>
          <w:sz w:val="28"/>
          <w:szCs w:val="28"/>
          <w:lang w:eastAsia="zh-CN"/>
        </w:rPr>
      </w:pPr>
      <w:r>
        <w:rPr>
          <w:sz w:val="28"/>
          <w:szCs w:val="28"/>
          <w:lang w:eastAsia="zh-CN"/>
        </w:rPr>
        <w:t xml:space="preserve">4.1 </w:t>
      </w:r>
      <w:r>
        <w:rPr>
          <w:rFonts w:hint="eastAsia"/>
          <w:sz w:val="28"/>
          <w:szCs w:val="28"/>
          <w:lang w:eastAsia="zh-CN"/>
        </w:rPr>
        <w:t>中标单位应配合采购单位不定期对样本运输、检测流程、检验结果等检验质量的监督检查。</w:t>
      </w:r>
    </w:p>
    <w:p>
      <w:pPr>
        <w:pStyle w:val="5"/>
        <w:spacing w:line="360" w:lineRule="auto"/>
        <w:ind w:left="0"/>
        <w:rPr>
          <w:sz w:val="28"/>
          <w:szCs w:val="28"/>
          <w:lang w:eastAsia="zh-CN"/>
        </w:rPr>
      </w:pPr>
      <w:r>
        <w:rPr>
          <w:sz w:val="28"/>
          <w:szCs w:val="28"/>
          <w:lang w:eastAsia="zh-CN"/>
        </w:rPr>
        <w:t xml:space="preserve">4.2 </w:t>
      </w:r>
      <w:r>
        <w:rPr>
          <w:rFonts w:hint="eastAsia"/>
          <w:sz w:val="28"/>
          <w:szCs w:val="28"/>
          <w:lang w:eastAsia="zh-CN"/>
        </w:rPr>
        <w:t>中标单位应向采购单位提供服务的流程在其公司的《标本采集手册》中详细规定，并作为采购合同的附件。</w:t>
      </w:r>
    </w:p>
    <w:p>
      <w:pPr>
        <w:pStyle w:val="5"/>
        <w:spacing w:line="360" w:lineRule="auto"/>
        <w:ind w:left="0"/>
        <w:rPr>
          <w:sz w:val="28"/>
          <w:szCs w:val="28"/>
          <w:lang w:eastAsia="zh-CN"/>
        </w:rPr>
      </w:pPr>
      <w:r>
        <w:rPr>
          <w:sz w:val="28"/>
          <w:szCs w:val="28"/>
          <w:lang w:eastAsia="zh-CN"/>
        </w:rPr>
        <w:t xml:space="preserve">4.3 </w:t>
      </w:r>
      <w:r>
        <w:rPr>
          <w:rFonts w:hint="eastAsia"/>
          <w:sz w:val="28"/>
          <w:szCs w:val="28"/>
          <w:lang w:eastAsia="zh-CN"/>
        </w:rPr>
        <w:t>中标单位对基因标本的全程管理符合检测需求和生物安全的要求。</w:t>
      </w:r>
    </w:p>
    <w:p>
      <w:pPr>
        <w:pStyle w:val="5"/>
        <w:spacing w:line="360" w:lineRule="auto"/>
        <w:ind w:left="0"/>
        <w:rPr>
          <w:sz w:val="28"/>
          <w:szCs w:val="28"/>
          <w:lang w:eastAsia="zh-CN"/>
        </w:rPr>
      </w:pPr>
      <w:r>
        <w:rPr>
          <w:sz w:val="28"/>
          <w:szCs w:val="28"/>
          <w:lang w:eastAsia="zh-CN"/>
        </w:rPr>
        <w:t xml:space="preserve">4.4 </w:t>
      </w:r>
      <w:r>
        <w:rPr>
          <w:rFonts w:hint="eastAsia"/>
          <w:sz w:val="28"/>
          <w:szCs w:val="28"/>
          <w:lang w:eastAsia="zh-CN"/>
        </w:rPr>
        <w:t>中标单位应对来自采购单位的所有标本、检测信息、患者隐私具有完善的保护措施，必须符合国家和行业内的相关规定，未经采购单位允许，不得擅自利用和泄露数据，标本的保存和销毁要符合国家相关规定及采购合同的约定。</w:t>
      </w:r>
    </w:p>
    <w:p>
      <w:pPr>
        <w:pStyle w:val="5"/>
        <w:spacing w:line="360" w:lineRule="auto"/>
        <w:ind w:left="0"/>
        <w:rPr>
          <w:sz w:val="28"/>
          <w:szCs w:val="28"/>
          <w:lang w:eastAsia="zh-CN"/>
        </w:rPr>
      </w:pPr>
      <w:r>
        <w:rPr>
          <w:sz w:val="28"/>
          <w:szCs w:val="28"/>
          <w:lang w:eastAsia="zh-CN"/>
        </w:rPr>
        <w:t xml:space="preserve">4.5 </w:t>
      </w:r>
      <w:r>
        <w:rPr>
          <w:rFonts w:hint="eastAsia"/>
          <w:sz w:val="28"/>
          <w:szCs w:val="28"/>
          <w:lang w:eastAsia="zh-CN"/>
        </w:rPr>
        <w:t>中标单位向采购单位提供服务的流程具体应包括：样本收取、报告和其他凭证的交接、检验项目临时变化等。</w:t>
      </w:r>
    </w:p>
    <w:p>
      <w:pPr>
        <w:pStyle w:val="5"/>
        <w:spacing w:before="0" w:line="360" w:lineRule="auto"/>
        <w:ind w:left="0"/>
        <w:rPr>
          <w:sz w:val="28"/>
          <w:szCs w:val="28"/>
          <w:lang w:eastAsia="zh-CN"/>
        </w:rPr>
      </w:pPr>
      <w:r>
        <w:rPr>
          <w:sz w:val="28"/>
          <w:szCs w:val="28"/>
          <w:lang w:eastAsia="zh-CN"/>
        </w:rPr>
        <w:t xml:space="preserve">4.6 </w:t>
      </w:r>
      <w:r>
        <w:rPr>
          <w:rFonts w:hint="eastAsia"/>
          <w:sz w:val="28"/>
          <w:szCs w:val="28"/>
          <w:lang w:eastAsia="zh-CN"/>
        </w:rPr>
        <w:t>人员要求：需要配置一定数量的专业技术人员若干，包括但不限于项目负责人、样本接收录入人员、实验操作人员、结果复核人员、数据整理及上传人员、数据分析维护人员等。</w:t>
      </w:r>
    </w:p>
    <w:p>
      <w:pPr>
        <w:widowControl/>
        <w:spacing w:line="360" w:lineRule="auto"/>
        <w:ind w:left="-708" w:leftChars="-338" w:hanging="2"/>
        <w:jc w:val="left"/>
        <w:rPr>
          <w:rFonts w:ascii="宋体" w:hAnsi="宋体" w:cs="宋体"/>
          <w:b/>
          <w:bCs/>
          <w:kern w:val="0"/>
          <w:sz w:val="28"/>
          <w:szCs w:val="28"/>
        </w:rPr>
      </w:pPr>
      <w:r>
        <w:rPr>
          <w:rFonts w:hint="eastAsia" w:ascii="宋体" w:hAnsi="宋体" w:cs="宋体"/>
          <w:b/>
          <w:bCs/>
          <w:kern w:val="0"/>
          <w:sz w:val="28"/>
          <w:szCs w:val="28"/>
        </w:rPr>
        <w:t>二、综合说明及其他要求</w:t>
      </w:r>
    </w:p>
    <w:p>
      <w:pPr>
        <w:pStyle w:val="5"/>
        <w:spacing w:before="0" w:line="360" w:lineRule="auto"/>
        <w:ind w:left="0"/>
        <w:rPr>
          <w:sz w:val="28"/>
          <w:szCs w:val="28"/>
          <w:lang w:eastAsia="zh-CN"/>
        </w:rPr>
      </w:pPr>
      <w:r>
        <w:rPr>
          <w:rFonts w:hint="eastAsia"/>
          <w:sz w:val="28"/>
          <w:szCs w:val="28"/>
          <w:lang w:eastAsia="zh-CN"/>
        </w:rPr>
        <w:t>1、投标单位必须说明其是否响应招标文件中提出的全部服务内容与要求，如果对其中某些条款不响应时，应在文件中逐条列出，未列出的视同响应。</w:t>
      </w:r>
    </w:p>
    <w:p>
      <w:pPr>
        <w:pStyle w:val="5"/>
        <w:spacing w:before="0" w:line="360" w:lineRule="auto"/>
        <w:ind w:left="0"/>
        <w:rPr>
          <w:sz w:val="28"/>
          <w:szCs w:val="28"/>
          <w:lang w:eastAsia="zh-CN"/>
        </w:rPr>
      </w:pPr>
      <w:r>
        <w:rPr>
          <w:rFonts w:hint="eastAsia"/>
          <w:sz w:val="28"/>
          <w:szCs w:val="28"/>
          <w:lang w:eastAsia="zh-CN"/>
        </w:rPr>
        <w:t>2、本次采购活动不接受联合报价及分包、转包。</w:t>
      </w:r>
    </w:p>
    <w:p>
      <w:pPr>
        <w:pStyle w:val="5"/>
        <w:spacing w:before="0" w:line="360" w:lineRule="auto"/>
        <w:ind w:left="0"/>
        <w:rPr>
          <w:color w:val="auto"/>
          <w:sz w:val="28"/>
          <w:szCs w:val="28"/>
          <w:lang w:eastAsia="zh-CN"/>
        </w:rPr>
      </w:pPr>
      <w:r>
        <w:rPr>
          <w:color w:val="auto"/>
          <w:sz w:val="28"/>
          <w:szCs w:val="28"/>
          <w:lang w:eastAsia="zh-CN"/>
        </w:rPr>
        <w:t>3</w:t>
      </w:r>
      <w:r>
        <w:rPr>
          <w:rFonts w:hint="eastAsia"/>
          <w:color w:val="auto"/>
          <w:sz w:val="28"/>
          <w:szCs w:val="28"/>
          <w:lang w:eastAsia="zh-CN"/>
        </w:rPr>
        <w:t>、服务时间：合同签订后</w:t>
      </w:r>
      <w:r>
        <w:rPr>
          <w:color w:val="auto"/>
          <w:sz w:val="28"/>
          <w:szCs w:val="28"/>
          <w:lang w:eastAsia="zh-CN"/>
        </w:rPr>
        <w:t>1</w:t>
      </w:r>
      <w:r>
        <w:rPr>
          <w:rFonts w:hint="eastAsia"/>
          <w:color w:val="auto"/>
          <w:sz w:val="28"/>
          <w:szCs w:val="28"/>
          <w:lang w:eastAsia="zh-CN"/>
        </w:rPr>
        <w:t>年。</w:t>
      </w:r>
    </w:p>
    <w:p>
      <w:pPr>
        <w:pStyle w:val="5"/>
        <w:spacing w:before="0" w:line="360" w:lineRule="auto"/>
        <w:ind w:left="0"/>
        <w:rPr>
          <w:sz w:val="28"/>
          <w:szCs w:val="28"/>
          <w:lang w:eastAsia="zh-CN"/>
        </w:rPr>
      </w:pPr>
      <w:r>
        <w:rPr>
          <w:sz w:val="28"/>
          <w:szCs w:val="28"/>
          <w:lang w:eastAsia="zh-CN"/>
        </w:rPr>
        <w:t>4</w:t>
      </w:r>
      <w:r>
        <w:rPr>
          <w:rFonts w:hint="eastAsia"/>
          <w:sz w:val="28"/>
          <w:szCs w:val="28"/>
          <w:lang w:eastAsia="zh-CN"/>
        </w:rPr>
        <w:t>、服务地点：采购单位指定地点。</w:t>
      </w:r>
    </w:p>
    <w:p>
      <w:pPr>
        <w:pStyle w:val="5"/>
        <w:spacing w:before="0" w:line="360" w:lineRule="auto"/>
        <w:ind w:left="0"/>
        <w:rPr>
          <w:sz w:val="28"/>
          <w:szCs w:val="28"/>
          <w:lang w:eastAsia="zh-CN"/>
        </w:rPr>
      </w:pPr>
      <w:r>
        <w:rPr>
          <w:sz w:val="28"/>
          <w:szCs w:val="28"/>
          <w:lang w:eastAsia="zh-CN"/>
        </w:rPr>
        <w:t>5</w:t>
      </w:r>
      <w:r>
        <w:rPr>
          <w:rFonts w:hint="eastAsia"/>
          <w:sz w:val="28"/>
          <w:szCs w:val="28"/>
          <w:lang w:eastAsia="zh-CN"/>
        </w:rPr>
        <w:t>、付款方式：按月为单位，根据实际外送检测项目数量和中标价格进行结算。</w:t>
      </w:r>
    </w:p>
    <w:p>
      <w:pPr>
        <w:pStyle w:val="5"/>
        <w:spacing w:before="0" w:line="360" w:lineRule="auto"/>
        <w:ind w:left="0"/>
        <w:rPr>
          <w:rFonts w:hint="eastAsia"/>
          <w:sz w:val="28"/>
          <w:szCs w:val="28"/>
          <w:lang w:eastAsia="zh-CN"/>
        </w:rPr>
      </w:pPr>
      <w:r>
        <w:rPr>
          <w:sz w:val="28"/>
          <w:szCs w:val="28"/>
          <w:lang w:eastAsia="zh-CN"/>
        </w:rPr>
        <w:t>6</w:t>
      </w:r>
      <w:r>
        <w:rPr>
          <w:rFonts w:hint="eastAsia"/>
          <w:sz w:val="28"/>
          <w:szCs w:val="28"/>
          <w:lang w:eastAsia="zh-CN"/>
        </w:rPr>
        <w:t>、合同签订：招标人和中标人应当自公示结束后3日内签订采购合同。</w:t>
      </w:r>
    </w:p>
    <w:p>
      <w:pPr>
        <w:pStyle w:val="4"/>
        <w:rPr>
          <w:rFonts w:hint="eastAsia"/>
          <w:sz w:val="28"/>
          <w:szCs w:val="28"/>
          <w:lang w:eastAsia="zh-CN"/>
        </w:rPr>
      </w:pPr>
    </w:p>
    <w:p>
      <w:pPr>
        <w:rPr>
          <w:rFonts w:hint="eastAsia"/>
          <w:sz w:val="28"/>
          <w:szCs w:val="28"/>
          <w:lang w:eastAsia="zh-CN"/>
        </w:rPr>
      </w:pPr>
    </w:p>
    <w:p>
      <w:pPr>
        <w:pStyle w:val="2"/>
        <w:rPr>
          <w:rFonts w:hint="eastAsia"/>
          <w:sz w:val="28"/>
          <w:szCs w:val="28"/>
          <w:lang w:eastAsia="zh-CN"/>
        </w:rPr>
      </w:pPr>
    </w:p>
    <w:p>
      <w:pPr>
        <w:pStyle w:val="2"/>
        <w:rPr>
          <w:rFonts w:hint="eastAsia"/>
          <w:sz w:val="28"/>
          <w:szCs w:val="28"/>
          <w:lang w:eastAsia="zh-CN"/>
        </w:rPr>
      </w:pPr>
    </w:p>
    <w:p>
      <w:pPr>
        <w:pStyle w:val="2"/>
        <w:rPr>
          <w:rFonts w:hint="eastAsia"/>
          <w:sz w:val="28"/>
          <w:szCs w:val="28"/>
          <w:lang w:eastAsia="zh-CN"/>
        </w:rPr>
      </w:pPr>
    </w:p>
    <w:p>
      <w:pPr>
        <w:pStyle w:val="2"/>
        <w:rPr>
          <w:rFonts w:hint="eastAsia"/>
          <w:sz w:val="28"/>
          <w:szCs w:val="28"/>
          <w:lang w:eastAsia="zh-CN"/>
        </w:rPr>
      </w:pPr>
    </w:p>
    <w:p>
      <w:pPr>
        <w:pStyle w:val="2"/>
        <w:rPr>
          <w:rFonts w:hint="eastAsia"/>
          <w:sz w:val="28"/>
          <w:szCs w:val="28"/>
          <w:lang w:eastAsia="zh-CN"/>
        </w:rPr>
      </w:pPr>
    </w:p>
    <w:p>
      <w:pPr>
        <w:pStyle w:val="3"/>
        <w:jc w:val="center"/>
        <w:rPr>
          <w:rFonts w:ascii="宋体" w:hAnsi="宋体"/>
          <w:b w:val="0"/>
          <w:bCs w:val="0"/>
          <w:kern w:val="0"/>
          <w:sz w:val="21"/>
          <w:szCs w:val="21"/>
        </w:rPr>
      </w:pPr>
      <w:bookmarkStart w:id="1" w:name="_Toc88672082"/>
      <w:r>
        <w:rPr>
          <w:rFonts w:hint="eastAsia"/>
          <w:sz w:val="36"/>
          <w:szCs w:val="36"/>
        </w:rPr>
        <w:t>第四章</w:t>
      </w:r>
      <w:r>
        <w:rPr>
          <w:sz w:val="36"/>
          <w:szCs w:val="36"/>
        </w:rPr>
        <w:t xml:space="preserve">  </w:t>
      </w:r>
      <w:r>
        <w:rPr>
          <w:rFonts w:hint="eastAsia"/>
          <w:sz w:val="36"/>
          <w:szCs w:val="36"/>
        </w:rPr>
        <w:t>评标方法与评分标准</w:t>
      </w:r>
      <w:bookmarkEnd w:id="1"/>
    </w:p>
    <w:p>
      <w:pPr>
        <w:widowControl/>
        <w:spacing w:line="360" w:lineRule="auto"/>
        <w:ind w:firstLine="562" w:firstLineChars="200"/>
        <w:jc w:val="left"/>
        <w:rPr>
          <w:rFonts w:ascii="宋体" w:hAnsi="宋体" w:cs="宋体"/>
          <w:b/>
          <w:bCs/>
          <w:kern w:val="0"/>
          <w:sz w:val="28"/>
          <w:szCs w:val="28"/>
        </w:rPr>
      </w:pPr>
      <w:r>
        <w:rPr>
          <w:rFonts w:hint="eastAsia" w:ascii="宋体" w:hAnsi="宋体" w:cs="宋体"/>
          <w:b/>
          <w:bCs/>
          <w:kern w:val="0"/>
          <w:sz w:val="28"/>
          <w:szCs w:val="28"/>
        </w:rPr>
        <w:t>一、评标方法与定标原则</w:t>
      </w:r>
    </w:p>
    <w:p>
      <w:pPr>
        <w:widowControl/>
        <w:spacing w:line="360" w:lineRule="auto"/>
        <w:ind w:firstLine="560" w:firstLineChars="200"/>
        <w:jc w:val="left"/>
        <w:rPr>
          <w:rFonts w:ascii="宋体" w:hAnsi="宋体"/>
          <w:kern w:val="0"/>
          <w:sz w:val="28"/>
          <w:szCs w:val="28"/>
        </w:rPr>
      </w:pPr>
      <w:r>
        <w:rPr>
          <w:rFonts w:hint="eastAsia" w:ascii="宋体" w:hAnsi="宋体" w:cs="宋体"/>
          <w:kern w:val="0"/>
          <w:sz w:val="28"/>
          <w:szCs w:val="28"/>
        </w:rPr>
        <w:t>评委会将对确定为实质性响应招标文件要求的投标文件进行评价和比较，评标采用</w:t>
      </w:r>
      <w:r>
        <w:rPr>
          <w:rFonts w:hint="eastAsia" w:ascii="宋体" w:hAnsi="宋体" w:cs="宋体"/>
          <w:b/>
          <w:bCs/>
          <w:kern w:val="0"/>
          <w:sz w:val="28"/>
          <w:szCs w:val="28"/>
          <w:u w:val="single"/>
        </w:rPr>
        <w:t>综合评分法</w:t>
      </w:r>
      <w:r>
        <w:rPr>
          <w:rFonts w:hint="eastAsia" w:ascii="宋体" w:hAnsi="宋体" w:cs="宋体"/>
          <w:kern w:val="0"/>
          <w:sz w:val="28"/>
          <w:szCs w:val="28"/>
        </w:rPr>
        <w:t>确定中标候选人。按得分由高到低顺序排列。得分相同的，按投标报价由低到高顺序排列。得分且投标报价相同的，按技术指标优劣顺序排列。</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86B66"/>
    <w:rsid w:val="3E2A294B"/>
    <w:rsid w:val="3FDA11F0"/>
    <w:rsid w:val="46A91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Normal Indent"/>
    <w:basedOn w:val="1"/>
    <w:next w:val="1"/>
    <w:qFormat/>
    <w:uiPriority w:val="0"/>
    <w:pPr>
      <w:adjustRightInd w:val="0"/>
      <w:ind w:firstLine="420"/>
      <w:jc w:val="left"/>
    </w:pPr>
    <w:rPr>
      <w:rFonts w:eastAsia="楷体_GB2312"/>
      <w:sz w:val="24"/>
    </w:rPr>
  </w:style>
  <w:style w:type="paragraph" w:styleId="5">
    <w:name w:val="Body Text"/>
    <w:basedOn w:val="1"/>
    <w:next w:val="4"/>
    <w:qFormat/>
    <w:uiPriority w:val="1"/>
    <w:pPr>
      <w:spacing w:before="133"/>
      <w:ind w:left="573"/>
      <w:jc w:val="left"/>
    </w:pPr>
    <w:rPr>
      <w:rFonts w:ascii="宋体" w:hAnsi="宋体"/>
      <w:kern w:val="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2022-01-11T02:03:52Z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BF0C8EA90A0F48F081B8B60A7722EF19</vt:lpwstr>
  </property>
</Properties>
</file>