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15"/>
        <w:ind w:left="-708" w:leftChars="-338" w:hanging="2"/>
        <w:rPr>
          <w:rFonts w:hint="eastAsia"/>
          <w:color w:val="FF0000"/>
          <w:sz w:val="21"/>
          <w:szCs w:val="21"/>
        </w:rPr>
      </w:pPr>
      <w:r>
        <w:rPr>
          <w:rFonts w:hint="eastAsia"/>
          <w:color w:val="FF0000"/>
          <w:sz w:val="21"/>
          <w:szCs w:val="21"/>
        </w:rPr>
        <w:t>2、★ 部分为核心参数，不满足视为无效投标。</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3、项目采购需求说明：</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（1）招标文件中标注“★”号的条款为实质性条款或指标、要求，必须满足（无偏离）或优于（正偏离），否则其投标作否决投标处理。</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（2）凡在“技术参数及性能（配置）要求”中表述为“标配”或“标准配置”的设备，投标人应在“设备配置清单”中将其标配参数详细列明。</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3）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（4）投标人所投标货物或服务如国家有强制性要求的应按国家规定执行，并提供相关证明材料。</w:t>
      </w:r>
    </w:p>
    <w:p>
      <w:pPr>
        <w:pStyle w:val="15"/>
        <w:ind w:left="-708" w:leftChars="-338" w:hanging="2"/>
        <w:rPr>
          <w:rFonts w:hint="eastAsia"/>
          <w:color w:val="FF0000"/>
          <w:sz w:val="21"/>
          <w:szCs w:val="21"/>
        </w:rPr>
      </w:pPr>
    </w:p>
    <w:p>
      <w:pPr>
        <w:pStyle w:val="15"/>
        <w:ind w:left="-708" w:leftChars="-337"/>
        <w:rPr>
          <w:rFonts w:cs="宋体"/>
          <w:b/>
          <w:bCs/>
          <w:sz w:val="28"/>
          <w:szCs w:val="28"/>
        </w:rPr>
      </w:pPr>
      <w:r>
        <w:rPr>
          <w:rFonts w:hint="eastAsia" w:cs="宋体"/>
          <w:b/>
          <w:bCs/>
          <w:sz w:val="28"/>
          <w:szCs w:val="28"/>
        </w:rPr>
        <w:t>一、采购清单、技术规格参数、质量标准和要求</w:t>
      </w:r>
    </w:p>
    <w:p>
      <w:pPr>
        <w:pStyle w:val="15"/>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4"/>
          <w:color w:val="auto"/>
          <w:kern w:val="2"/>
        </w:rPr>
        <w:commentReference w:id="0"/>
      </w:r>
      <w:r>
        <w:rPr>
          <w:b/>
          <w:bCs/>
        </w:rPr>
        <w:t> </w:t>
      </w:r>
    </w:p>
    <w:tbl>
      <w:tblPr>
        <w:tblStyle w:val="12"/>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15"/>
              <w:jc w:val="both"/>
            </w:pPr>
            <w:r>
              <w:rPr>
                <w:rFonts w:hint="eastAsia"/>
              </w:rPr>
              <w:t>项目名称</w:t>
            </w:r>
          </w:p>
        </w:tc>
        <w:tc>
          <w:tcPr>
            <w:tcW w:w="846" w:type="dxa"/>
          </w:tcPr>
          <w:p>
            <w:pPr>
              <w:pStyle w:val="15"/>
              <w:jc w:val="both"/>
            </w:pPr>
            <w:r>
              <w:rPr>
                <w:rFonts w:hint="eastAsia"/>
              </w:rPr>
              <w:t>数量</w:t>
            </w:r>
          </w:p>
        </w:tc>
        <w:tc>
          <w:tcPr>
            <w:tcW w:w="4394" w:type="dxa"/>
          </w:tcPr>
          <w:p>
            <w:pPr>
              <w:pStyle w:val="15"/>
              <w:jc w:val="both"/>
            </w:pPr>
            <w:r>
              <w:rPr>
                <w:rFonts w:hint="eastAsia"/>
              </w:rPr>
              <w:t>产品用途与说明</w:t>
            </w:r>
          </w:p>
        </w:tc>
        <w:tc>
          <w:tcPr>
            <w:tcW w:w="1701" w:type="dxa"/>
          </w:tcPr>
          <w:p>
            <w:pPr>
              <w:pStyle w:val="15"/>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15"/>
                  <w:jc w:val="both"/>
                  <w:rPr>
                    <w:rFonts w:hint="eastAsia"/>
                  </w:rPr>
                </w:pPr>
                <w:r>
                  <w:rPr>
                    <w:rFonts w:hint="eastAsia" w:ascii="宋体" w:hAnsi="宋体" w:eastAsia="宋体" w:cs="宋体"/>
                    <w:bCs/>
                    <w:color w:val="000000"/>
                    <w:szCs w:val="21"/>
                  </w:rPr>
                  <w:t>网络安全准入系统</w:t>
                </w:r>
              </w:p>
            </w:tc>
            <w:tc>
              <w:tcPr>
                <w:tcW w:w="846" w:type="dxa"/>
              </w:tcPr>
              <w:p>
                <w:pPr>
                  <w:pStyle w:val="15"/>
                  <w:jc w:val="both"/>
                </w:pPr>
              </w:p>
              <w:p>
                <w:pPr>
                  <w:pStyle w:val="15"/>
                  <w:jc w:val="both"/>
                </w:pPr>
              </w:p>
              <w:p>
                <w:pPr>
                  <w:pStyle w:val="15"/>
                  <w:jc w:val="both"/>
                  <w:rPr>
                    <w:rFonts w:hint="eastAsia" w:eastAsia="宋体"/>
                    <w:lang w:val="en-US" w:eastAsia="zh-CN"/>
                  </w:rPr>
                </w:pPr>
                <w:r>
                  <w:rPr>
                    <w:rFonts w:hint="eastAsia"/>
                    <w:lang w:val="en-US" w:eastAsia="zh-CN"/>
                  </w:rPr>
                  <w:t>1套</w:t>
                </w:r>
              </w:p>
              <w:p>
                <w:pPr>
                  <w:pStyle w:val="15"/>
                  <w:jc w:val="both"/>
                </w:pPr>
              </w:p>
            </w:tc>
            <w:tc>
              <w:tcPr>
                <w:tcW w:w="4394" w:type="dxa"/>
              </w:tcPr>
              <w:p>
                <w:pPr>
                  <w:pStyle w:val="15"/>
                  <w:jc w:val="both"/>
                  <w:rPr>
                    <w:rFonts w:hint="eastAsia"/>
                  </w:rPr>
                </w:pPr>
                <w:r>
                  <w:rPr>
                    <w:rFonts w:hint="eastAsia" w:ascii="宋体" w:hAnsi="宋体"/>
                    <w:szCs w:val="21"/>
                    <w:lang w:val="en-US" w:eastAsia="zh-CN"/>
                  </w:rPr>
                  <w:t>奇安信NAC-V3200、安恒信息或其他同等相关品牌</w:t>
                </w:r>
              </w:p>
            </w:tc>
            <w:tc>
              <w:tcPr>
                <w:tcW w:w="1701" w:type="dxa"/>
              </w:tcPr>
              <w:p>
                <w:pPr>
                  <w:pStyle w:val="15"/>
                  <w:jc w:val="both"/>
                </w:pPr>
                <w:r>
                  <w:rPr>
                    <w:rFonts w:hint="eastAsia"/>
                  </w:rPr>
                  <w:t>广西桂东人民医院指定地点</w:t>
                </w: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color w:val="000000"/>
          <w:kern w:val="0"/>
          <w:sz w:val="24"/>
          <w:szCs w:val="24"/>
        </w:rPr>
        <w:id w:val="147471302"/>
        <w15:repeatingSection/>
      </w:sdtPr>
      <w:sdtEndPr>
        <w:rPr>
          <w:rFonts w:hint="eastAsia"/>
          <w:color w:val="000000"/>
          <w:kern w:val="0"/>
          <w:sz w:val="24"/>
          <w:szCs w:val="24"/>
        </w:rPr>
      </w:sdtEndPr>
      <w:sdtContent>
        <w:sdt>
          <w:sdtPr>
            <w:rPr>
              <w:rFonts w:hint="eastAsia"/>
              <w:color w:val="000000"/>
              <w:kern w:val="0"/>
              <w:sz w:val="24"/>
              <w:szCs w:val="24"/>
            </w:rPr>
            <w:id w:val="147471276"/>
            <w:placeholder>
              <w:docPart w:val="{2fe68bf9-e570-429b-a8b5-0a9aed96709c}"/>
            </w:placeholder>
            <w15:repeatingSectionItem/>
          </w:sdtPr>
          <w:sdtEndPr>
            <w:rPr>
              <w:rFonts w:hint="eastAsia"/>
              <w:color w:val="000000"/>
              <w:kern w:val="0"/>
              <w:sz w:val="24"/>
              <w:szCs w:val="24"/>
            </w:rPr>
          </w:sdtEndPr>
          <w:sdtContent>
            <w:p>
              <w:pPr>
                <w:pStyle w:val="15"/>
                <w:rPr>
                  <w:rFonts w:hint="eastAsia"/>
                  <w:color w:val="000000"/>
                  <w:kern w:val="0"/>
                  <w:sz w:val="24"/>
                  <w:szCs w:val="24"/>
                </w:rPr>
              </w:pPr>
            </w:p>
            <w:tbl>
              <w:tblPr>
                <w:tblStyle w:val="11"/>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877"/>
                <w:gridCol w:w="548"/>
                <w:gridCol w:w="1206"/>
                <w:gridCol w:w="1206"/>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4"/>
                      </w:rPr>
                    </w:pPr>
                    <w:r>
                      <w:rPr>
                        <w:rFonts w:hint="eastAsia" w:ascii="宋体" w:hAnsi="宋体" w:cs="宋体"/>
                        <w:b/>
                        <w:kern w:val="0"/>
                        <w:sz w:val="24"/>
                      </w:rPr>
                      <w:t>项号</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 w:val="24"/>
                      </w:rPr>
                      <w:t>货物名称</w:t>
                    </w: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4"/>
                      </w:rPr>
                    </w:pPr>
                    <w:r>
                      <w:rPr>
                        <w:rFonts w:hint="eastAsia" w:ascii="宋体" w:hAnsi="宋体" w:cs="宋体"/>
                        <w:b/>
                        <w:kern w:val="0"/>
                        <w:sz w:val="24"/>
                      </w:rPr>
                      <w:t>数量</w:t>
                    </w:r>
                  </w:p>
                </w:tc>
                <w:tc>
                  <w:tcPr>
                    <w:tcW w:w="120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center"/>
                      <w:rPr>
                        <w:rFonts w:hint="eastAsia" w:ascii="宋体" w:hAnsi="宋体" w:eastAsia="宋体"/>
                        <w:b/>
                        <w:sz w:val="24"/>
                        <w:lang w:val="en-US" w:eastAsia="zh-CN"/>
                      </w:rPr>
                    </w:pPr>
                    <w:r>
                      <w:rPr>
                        <w:rFonts w:hint="eastAsia" w:ascii="宋体" w:hAnsi="宋体"/>
                        <w:b/>
                        <w:sz w:val="24"/>
                        <w:lang w:val="en-US" w:eastAsia="zh-CN"/>
                      </w:rPr>
                      <w:t>单位</w:t>
                    </w:r>
                  </w:p>
                </w:tc>
                <w:tc>
                  <w:tcPr>
                    <w:tcW w:w="120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center"/>
                      <w:rPr>
                        <w:rFonts w:hint="eastAsia" w:ascii="宋体" w:hAnsi="宋体" w:eastAsia="宋体" w:cs="宋体"/>
                        <w:kern w:val="0"/>
                        <w:sz w:val="24"/>
                        <w:lang w:val="en-US" w:eastAsia="zh-CN"/>
                      </w:rPr>
                    </w:pPr>
                    <w:r>
                      <w:rPr>
                        <w:rFonts w:hint="eastAsia" w:ascii="宋体" w:hAnsi="宋体"/>
                        <w:b/>
                        <w:sz w:val="24"/>
                      </w:rPr>
                      <w:t>品牌</w:t>
                    </w:r>
                    <w:r>
                      <w:rPr>
                        <w:rFonts w:hint="eastAsia" w:ascii="宋体" w:hAnsi="宋体"/>
                        <w:b/>
                        <w:sz w:val="24"/>
                        <w:lang w:val="en-US" w:eastAsia="zh-CN"/>
                      </w:rPr>
                      <w:t>型号</w:t>
                    </w:r>
                  </w:p>
                </w:tc>
                <w:tc>
                  <w:tcPr>
                    <w:tcW w:w="4534"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center"/>
                      <w:rPr>
                        <w:rFonts w:ascii="宋体" w:hAnsi="宋体"/>
                        <w:b/>
                        <w:bCs/>
                        <w:sz w:val="24"/>
                      </w:rPr>
                    </w:pPr>
                    <w:r>
                      <w:rPr>
                        <w:rFonts w:hint="eastAsia" w:ascii="宋体" w:hAnsi="宋体"/>
                        <w:b/>
                        <w:sz w:val="24"/>
                        <w:lang w:val="en-US" w:eastAsia="zh-CN"/>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6"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8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eastAsia" w:ascii="宋体" w:hAnsi="宋体" w:eastAsia="宋体" w:cs="宋体"/>
                        <w:bCs/>
                        <w:color w:val="000000"/>
                        <w:szCs w:val="21"/>
                      </w:rPr>
                    </w:pPr>
                  </w:p>
                  <w:p>
                    <w:pPr>
                      <w:snapToGrid w:val="0"/>
                      <w:jc w:val="center"/>
                      <w:rPr>
                        <w:rFonts w:hint="default" w:ascii="宋体" w:hAnsi="宋体" w:eastAsia="宋体"/>
                        <w:szCs w:val="21"/>
                        <w:lang w:val="en-US" w:eastAsia="zh-CN"/>
                      </w:rPr>
                    </w:pPr>
                    <w:r>
                      <w:rPr>
                        <w:rFonts w:hint="eastAsia" w:ascii="宋体" w:hAnsi="宋体" w:eastAsia="宋体" w:cs="宋体"/>
                        <w:bCs/>
                        <w:color w:val="000000"/>
                        <w:szCs w:val="21"/>
                      </w:rPr>
                      <w:t>网络安全准入系统</w:t>
                    </w: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120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eastAsia="宋体"/>
                        <w:szCs w:val="21"/>
                        <w:lang w:val="en-US" w:eastAsia="zh-CN"/>
                      </w:rPr>
                    </w:pPr>
                    <w:r>
                      <w:rPr>
                        <w:rFonts w:hint="eastAsia" w:ascii="宋体" w:hAnsi="宋体"/>
                        <w:szCs w:val="21"/>
                        <w:lang w:val="en-US" w:eastAsia="zh-CN"/>
                      </w:rPr>
                      <w:t>套</w:t>
                    </w:r>
                  </w:p>
                </w:tc>
                <w:tc>
                  <w:tcPr>
                    <w:tcW w:w="1206"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eastAsia" w:ascii="宋体" w:hAnsi="宋体"/>
                        <w:szCs w:val="21"/>
                        <w:lang w:val="en-US" w:eastAsia="zh-CN"/>
                      </w:rPr>
                    </w:pPr>
                  </w:p>
                  <w:p>
                    <w:pPr>
                      <w:numPr>
                        <w:ilvl w:val="0"/>
                        <w:numId w:val="0"/>
                      </w:numPr>
                      <w:ind w:leftChars="0" w:right="76" w:rightChars="0"/>
                      <w:jc w:val="center"/>
                      <w:rPr>
                        <w:rFonts w:hint="default" w:ascii="宋体" w:hAnsi="宋体" w:eastAsia="宋体"/>
                        <w:szCs w:val="21"/>
                        <w:lang w:val="en-US" w:eastAsia="zh-CN"/>
                      </w:rPr>
                    </w:pPr>
                    <w:r>
                      <w:rPr>
                        <w:rFonts w:hint="eastAsia" w:ascii="宋体" w:hAnsi="宋体"/>
                        <w:szCs w:val="21"/>
                        <w:lang w:val="en-US" w:eastAsia="zh-CN"/>
                      </w:rPr>
                      <w:t>奇安信NAC-V3200、安恒信息或其他同等相关品牌</w:t>
                    </w:r>
                  </w:p>
                </w:tc>
                <w:tc>
                  <w:tcPr>
                    <w:tcW w:w="4534"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pStyle w:val="24"/>
                      <w:widowControl w:val="0"/>
                      <w:numPr>
                        <w:ilvl w:val="3"/>
                        <w:numId w:val="2"/>
                      </w:numPr>
                      <w:spacing w:after="0"/>
                      <w:ind w:left="459" w:hanging="425"/>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★标准1U设备，配置6个10/100/1000Mbps自适应千兆电口，处理能力≥</w:t>
                    </w:r>
                    <w:r>
                      <w:rPr>
                        <w:rFonts w:ascii="宋体" w:hAnsi="宋体" w:eastAsia="宋体" w:cs="宋体"/>
                        <w:color w:val="000000" w:themeColor="text1"/>
                        <w:sz w:val="21"/>
                        <w:szCs w:val="21"/>
                        <w14:textFill>
                          <w14:solidFill>
                            <w14:schemeClr w14:val="tx1"/>
                          </w14:solidFill>
                        </w14:textFill>
                      </w:rPr>
                      <w:t>1.2G</w:t>
                    </w:r>
                    <w:r>
                      <w:rPr>
                        <w:rFonts w:hint="eastAsia" w:ascii="宋体" w:hAnsi="宋体" w:eastAsia="宋体" w:cs="宋体"/>
                        <w:color w:val="000000" w:themeColor="text1"/>
                        <w:sz w:val="21"/>
                        <w:szCs w:val="21"/>
                        <w14:textFill>
                          <w14:solidFill>
                            <w14:schemeClr w14:val="tx1"/>
                          </w14:solidFill>
                        </w14:textFill>
                      </w:rPr>
                      <w:t>bps，支持准入终端数≥1000，硬盘不少于</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TB；配置</w:t>
                    </w:r>
                    <w:r>
                      <w:rPr>
                        <w:rFonts w:ascii="宋体" w:hAnsi="宋体" w:eastAsia="宋体" w:cs="宋体"/>
                        <w:color w:val="000000" w:themeColor="text1"/>
                        <w:sz w:val="21"/>
                        <w:szCs w:val="21"/>
                        <w14:textFill>
                          <w14:solidFill>
                            <w14:schemeClr w14:val="tx1"/>
                          </w14:solidFill>
                        </w14:textFill>
                      </w:rPr>
                      <w:t>800</w:t>
                    </w:r>
                    <w:r>
                      <w:rPr>
                        <w:rFonts w:hint="eastAsia" w:ascii="宋体" w:hAnsi="宋体" w:eastAsia="宋体" w:cs="宋体"/>
                        <w:color w:val="000000" w:themeColor="text1"/>
                        <w:sz w:val="21"/>
                        <w:szCs w:val="21"/>
                        <w14:textFill>
                          <w14:solidFill>
                            <w14:schemeClr w14:val="tx1"/>
                          </w14:solidFill>
                        </w14:textFill>
                      </w:rPr>
                      <w:t>个准入许可授权，提供三年硬件维保服务及</w:t>
                    </w:r>
                    <w:r>
                      <w:rPr>
                        <w:rFonts w:ascii="宋体" w:hAnsi="宋体" w:eastAsia="宋体" w:cs="宋体"/>
                        <w:color w:val="000000" w:themeColor="text1"/>
                        <w:sz w:val="21"/>
                        <w:szCs w:val="21"/>
                        <w14:textFill>
                          <w14:solidFill>
                            <w14:schemeClr w14:val="tx1"/>
                          </w14:solidFill>
                        </w14:textFill>
                      </w:rPr>
                      <w:t>软件</w:t>
                    </w:r>
                    <w:r>
                      <w:rPr>
                        <w:rFonts w:hint="eastAsia" w:ascii="宋体" w:hAnsi="宋体" w:eastAsia="宋体" w:cs="宋体"/>
                        <w:color w:val="000000" w:themeColor="text1"/>
                        <w:sz w:val="21"/>
                        <w:szCs w:val="21"/>
                        <w14:textFill>
                          <w14:solidFill>
                            <w14:schemeClr w14:val="tx1"/>
                          </w14:solidFill>
                        </w14:textFill>
                      </w:rPr>
                      <w:t>升级</w:t>
                    </w:r>
                    <w:r>
                      <w:rPr>
                        <w:rFonts w:ascii="宋体" w:hAnsi="宋体" w:eastAsia="宋体" w:cs="宋体"/>
                        <w:color w:val="000000" w:themeColor="text1"/>
                        <w:sz w:val="21"/>
                        <w:szCs w:val="21"/>
                        <w14:textFill>
                          <w14:solidFill>
                            <w14:schemeClr w14:val="tx1"/>
                          </w14:solidFill>
                        </w14:textFill>
                      </w:rPr>
                      <w:t>服务</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★控制中心采用B/S架构管理，支持与终端安全管理系统使用同一个管理中心，具备分组管理、批量下发策略、批量升级等管理方式；</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具有多种准入方式，包括802.1X认证、应用准入、Web Portal认证、Mac认证等；</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★具有多种网络准入模式，包括通过安装终端安全管理软件-入网、注册-入网、注册-安装终端安全管理软件-入网三种方式灵活实现用户的准入需求（提供功能界面截图）；</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具备旁路部署能力，对网络不产生任何影响；</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提供本地账户认证方式、第三方账号联动认证；</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支持802.1X认证基于终端MID的身份认证方式，支持开机后台快速认证，安装客户端后执行快速入网，无需输入账号，不影响用户使用习惯；</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集中管理方式，一体化管理平台可集成杀毒、管控、审计、准入等模块，需对准入设备集中管理与监测，分权分域管理，实现分布式部署、集中管理的特点，满足大型网络环境下的部署要求（提供功能界面截图）；</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提供AD/LDAP、Email、HTTP、本地等方式认证，提供AD/LDAP用户导入，用户映射关系、组织架构导入；</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★具备交换机管理能力，能够对接入点交换机的添加、删除、编辑、导入、导出，可从SNMP获取交换机面板及端口信息，802.1x开启端口、端口列表等；</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802.1x认证具备终端绑定认证功能，用户绑定在终端上，只能在此终端上进行认证；用户也绑定交换机，只能在此交换机上进行认证；</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具备在管理中心上查看802.1X用户认证、主机认证、MAC认证的在线会话；查看Web认证的在线用户认证会话等；</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具备NAT发现功能，在部署客户端的情况下快速发现NAT，并可拦截NAT环境中的客户端访问保护区；</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具备NAT环境下的漫游管理功能，依据IP段及NAT情况分配新的设备通信地址，并具备查看漫游历史情况，按设备、设备组进行统计；</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具备用户管理功能，可设置账号的在线有效期，当账号过期时无法认证；</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对违规用户强制下线，提供永久、下线一次、定时下线机制；</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具备访客注册申请功能，提供注册用户入网申请流程，管理员可设置自动审批和手动审批访客申请；</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具备分布式部署准入硬件功能，支持所有管理的硬件全局配置下发、分组配置下发，查看设备在线、离线状态等；</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★控制中心可查看设备端口的流量监测，接收数据、发送数据、错误数据、丢弃数据等端口监测状态（提供功能界面截图）；</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★具备各阶段的容灾及逃生措施，支持双机热备、冷备、一键认证放行、软Bypass、域认证缓冲等逃生方式，保证各阶段的逃生措施（提供功能界面截图）；</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安检合规功能，支持操作系统检查、远程桌面检查、补丁检查、非法外联检查、U盘自动运行、防火墙、IP获取方式、文件共享、服务检查、进程检查、软件检查、IE代理、空密码检查、杀毒软件、域检查、文件检查、注册表检查、Guest账号检查、账号活跃检查等；</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安全检查失败，只能访问修复区、隔离机制终端ACL防火墙白名单，可设置ip或者url地址作为修复区，支持tcp和UDP协议；</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提供趋势图、柱状图、TOP10排名等入网访问报表展示，可查看认证时间、用户名、接入计算机IP、浏览器、访问地址、入网方式、认证失败记录等入网日志详情；</w:t>
                    </w:r>
                  </w:p>
                  <w:p>
                    <w:pPr>
                      <w:pStyle w:val="24"/>
                      <w:widowControl w:val="0"/>
                      <w:numPr>
                        <w:ilvl w:val="3"/>
                        <w:numId w:val="2"/>
                      </w:numPr>
                      <w:spacing w:after="0"/>
                      <w:ind w:left="459"/>
                      <w:contextualSpacing w:val="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可查看计算机名、IP、组织、检查时间、模板名称、检查项、违规项、入网隔离、各违规项具体内容等详情；</w:t>
                    </w:r>
                  </w:p>
                  <w:p>
                    <w:pPr>
                      <w:numPr>
                        <w:ilvl w:val="0"/>
                        <w:numId w:val="0"/>
                      </w:numPr>
                      <w:ind w:leftChars="0" w:right="76" w:rightChars="0"/>
                      <w:jc w:val="left"/>
                      <w:rPr>
                        <w:rFonts w:hint="eastAsia" w:ascii="宋体" w:hAnsi="宋体"/>
                        <w:szCs w:val="21"/>
                      </w:rPr>
                    </w:pPr>
                    <w:r>
                      <w:rPr>
                        <w:rFonts w:hint="eastAsia" w:ascii="宋体" w:hAnsi="宋体" w:eastAsia="宋体" w:cs="宋体"/>
                        <w:color w:val="000000" w:themeColor="text1"/>
                        <w:sz w:val="21"/>
                        <w:szCs w:val="21"/>
                        <w:lang w:val="en-US" w:eastAsia="zh-CN"/>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t>支持按分组统计、按违规项统计、违规次数统计等视角统计分析。</w:t>
                    </w:r>
                  </w:p>
                </w:tc>
              </w:tr>
            </w:tbl>
            <w:p>
              <w:pPr>
                <w:pStyle w:val="15"/>
                <w:rPr>
                  <w:rFonts w:hint="eastAsia"/>
                  <w:color w:val="000000"/>
                  <w:kern w:val="0"/>
                  <w:sz w:val="24"/>
                  <w:szCs w:val="24"/>
                </w:rPr>
              </w:pPr>
            </w:p>
            <w:p>
              <w:pPr>
                <w:pStyle w:val="15"/>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15"/>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15"/>
        <w:ind w:left="-708" w:leftChars="-337"/>
        <w:rPr>
          <w:color w:val="auto"/>
        </w:rPr>
      </w:pPr>
      <w:r>
        <w:rPr>
          <w:rFonts w:hint="eastAsia"/>
          <w:color w:val="auto"/>
        </w:rPr>
        <w:t>2、投标人所投产品参数应同等或优于以上各项参数要求，产品、辅材及生产工艺符合国家相关规范。</w:t>
      </w:r>
    </w:p>
    <w:p>
      <w:pPr>
        <w:pStyle w:val="15"/>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5"/>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15"/>
        <w:ind w:left="-708" w:leftChars="-337"/>
        <w:rPr>
          <w:color w:val="auto"/>
        </w:rPr>
      </w:pPr>
      <w:r>
        <w:rPr>
          <w:rFonts w:hint="eastAsia"/>
          <w:color w:val="auto"/>
        </w:rPr>
        <w:t>5、投标产品如包括必备的易损易耗备品备件和专用工具，竞标人应提供完整清单。</w:t>
      </w:r>
    </w:p>
    <w:p>
      <w:pPr>
        <w:pStyle w:val="15"/>
        <w:ind w:left="-708" w:leftChars="-337"/>
        <w:rPr>
          <w:rFonts w:cs="宋体"/>
          <w:b/>
          <w:bCs/>
        </w:rPr>
      </w:pPr>
      <w:r>
        <w:rPr>
          <w:rFonts w:hint="eastAsia" w:cs="宋体"/>
          <w:b/>
          <w:bCs/>
        </w:rPr>
        <w:t>（四）商务要求</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投标报价要求：</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本项目预算上控价为人民币</w:t>
      </w:r>
      <w:r>
        <w:rPr>
          <w:rFonts w:hint="eastAsia" w:ascii="Times New Roman" w:hAnsi="Times New Roman" w:eastAsia="宋体" w:cs="Times New Roman"/>
          <w:color w:val="auto"/>
          <w:lang w:val="en-US" w:eastAsia="zh-CN"/>
        </w:rPr>
        <w:t>250000</w:t>
      </w:r>
      <w:r>
        <w:rPr>
          <w:rFonts w:hint="eastAsia" w:ascii="Times New Roman" w:hAnsi="Times New Roman" w:eastAsia="宋体" w:cs="Times New Roman"/>
          <w:color w:val="auto"/>
        </w:rPr>
        <w:t>元整（人民币大写：</w:t>
      </w:r>
      <w:r>
        <w:rPr>
          <w:rFonts w:hint="eastAsia" w:ascii="Times New Roman" w:hAnsi="Times New Roman" w:eastAsia="宋体" w:cs="Times New Roman"/>
          <w:color w:val="auto"/>
          <w:lang w:val="en-US" w:eastAsia="zh-CN"/>
        </w:rPr>
        <w:t>贰拾</w:t>
      </w:r>
      <w:r>
        <w:rPr>
          <w:rFonts w:hint="eastAsia" w:ascii="Times New Roman" w:hAnsi="Times New Roman" w:eastAsia="宋体" w:cs="Times New Roman"/>
          <w:color w:val="auto"/>
        </w:rPr>
        <w:t>伍</w:t>
      </w:r>
      <w:r>
        <w:rPr>
          <w:rFonts w:hint="eastAsia" w:ascii="Times New Roman" w:hAnsi="Times New Roman" w:eastAsia="宋体" w:cs="Times New Roman"/>
          <w:color w:val="auto"/>
          <w:lang w:val="en-US" w:eastAsia="zh-CN"/>
        </w:rPr>
        <w:t>万</w:t>
      </w:r>
      <w:r>
        <w:rPr>
          <w:rFonts w:hint="eastAsia" w:ascii="Times New Roman" w:hAnsi="Times New Roman" w:eastAsia="宋体" w:cs="Times New Roman"/>
          <w:color w:val="auto"/>
        </w:rPr>
        <w:t>元整）。</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本项目为交钥匙项目，项目总报价包括货物采购、项目方案、运输、保管、设计、施工、安装、调试、验收、培训、相关检测部门测试验收等各种费用和售后服务、税金及其它所有成本费用的总和。</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质保期：本项目</w:t>
      </w:r>
      <w:r>
        <w:rPr>
          <w:rFonts w:hint="eastAsia" w:ascii="Times New Roman" w:hAnsi="Times New Roman" w:eastAsia="宋体" w:cs="Times New Roman"/>
          <w:color w:val="auto"/>
          <w:lang w:val="en-US" w:eastAsia="zh-CN"/>
        </w:rPr>
        <w:t>软</w:t>
      </w:r>
      <w:r>
        <w:rPr>
          <w:rFonts w:hint="eastAsia" w:ascii="Times New Roman" w:hAnsi="Times New Roman" w:eastAsia="宋体" w:cs="Times New Roman"/>
          <w:color w:val="auto"/>
        </w:rPr>
        <w:t>硬件质保期从验收合格之日起计算不少于</w:t>
      </w:r>
      <w:r>
        <w:rPr>
          <w:rFonts w:hint="eastAsia" w:ascii="Times New Roman" w:hAnsi="Times New Roman" w:eastAsia="宋体" w:cs="Times New Roman"/>
          <w:color w:val="auto"/>
          <w:lang w:val="en-US" w:eastAsia="zh-CN"/>
        </w:rPr>
        <w:t>叁</w:t>
      </w:r>
      <w:r>
        <w:rPr>
          <w:rFonts w:hint="eastAsia" w:ascii="Times New Roman" w:hAnsi="Times New Roman" w:eastAsia="宋体" w:cs="Times New Roman"/>
          <w:color w:val="auto"/>
        </w:rPr>
        <w:t>年。</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付款进度、交付使用期及地点：</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交付使用期：自签订合同之日起</w:t>
      </w:r>
      <w:r>
        <w:rPr>
          <w:rFonts w:hint="eastAsia" w:ascii="Times New Roman" w:hAnsi="Times New Roman" w:eastAsia="宋体" w:cs="Times New Roman"/>
          <w:color w:val="auto"/>
          <w:lang w:val="en-US" w:eastAsia="zh-CN"/>
        </w:rPr>
        <w:t>30</w:t>
      </w:r>
      <w:r>
        <w:rPr>
          <w:rFonts w:hint="eastAsia" w:ascii="Times New Roman" w:hAnsi="Times New Roman" w:eastAsia="宋体" w:cs="Times New Roman"/>
          <w:color w:val="auto"/>
        </w:rPr>
        <w:t>个工作日内，完成设备的安装部署、调试和集成工作。</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付款进度：货物到达指定地点、安装调试</w:t>
      </w:r>
      <w:r>
        <w:rPr>
          <w:rFonts w:hint="eastAsia" w:ascii="Times New Roman" w:hAnsi="Times New Roman" w:eastAsia="宋体" w:cs="Times New Roman"/>
          <w:color w:val="auto"/>
          <w:lang w:val="en-US" w:eastAsia="zh-CN"/>
        </w:rPr>
        <w:t>正常运行2个月</w:t>
      </w:r>
      <w:r>
        <w:rPr>
          <w:rFonts w:hint="eastAsia" w:ascii="Times New Roman" w:hAnsi="Times New Roman" w:eastAsia="宋体" w:cs="Times New Roman"/>
          <w:color w:val="auto"/>
        </w:rPr>
        <w:t>并验收合格后，凭双方签署验收合格证</w:t>
      </w:r>
      <w:r>
        <w:rPr>
          <w:rFonts w:hint="eastAsia" w:ascii="Times New Roman" w:hAnsi="Times New Roman" w:eastAsia="宋体" w:cs="Times New Roman"/>
          <w:color w:val="auto"/>
          <w:lang w:val="en-US" w:eastAsia="zh-CN"/>
        </w:rPr>
        <w:t>明</w:t>
      </w:r>
      <w:r>
        <w:rPr>
          <w:rFonts w:hint="eastAsia" w:ascii="Times New Roman" w:hAnsi="Times New Roman" w:eastAsia="宋体" w:cs="Times New Roman"/>
          <w:color w:val="auto"/>
        </w:rPr>
        <w:t>，中标人开具全额增值税发票</w:t>
      </w:r>
      <w:r>
        <w:rPr>
          <w:rFonts w:hint="eastAsia" w:ascii="Times New Roman" w:hAnsi="Times New Roman" w:eastAsia="宋体" w:cs="Times New Roman"/>
          <w:color w:val="auto"/>
          <w:lang w:val="en-US" w:eastAsia="zh-CN"/>
        </w:rPr>
        <w:t>及请款函</w:t>
      </w:r>
      <w:r>
        <w:rPr>
          <w:rFonts w:hint="eastAsia" w:ascii="Times New Roman" w:hAnsi="Times New Roman" w:eastAsia="宋体" w:cs="Times New Roman"/>
          <w:color w:val="auto"/>
        </w:rPr>
        <w:t>给采购人，</w:t>
      </w:r>
      <w:r>
        <w:rPr>
          <w:rFonts w:hint="eastAsia" w:ascii="Times New Roman" w:hAnsi="Times New Roman" w:eastAsia="宋体" w:cs="Times New Roman"/>
          <w:color w:val="auto"/>
          <w:lang w:val="en-US" w:eastAsia="zh-CN"/>
        </w:rPr>
        <w:t>采购人将在</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个工作日内</w:t>
      </w:r>
      <w:r>
        <w:rPr>
          <w:rFonts w:hint="eastAsia" w:ascii="Times New Roman" w:hAnsi="Times New Roman" w:eastAsia="宋体" w:cs="Times New Roman"/>
          <w:color w:val="auto"/>
          <w:lang w:val="en-US" w:eastAsia="zh-CN"/>
        </w:rPr>
        <w:t>支付项目款的95%，剩余5%做为质保金在质保期满后无质量问题7日内</w:t>
      </w:r>
      <w:r>
        <w:rPr>
          <w:rFonts w:hint="eastAsia" w:ascii="Times New Roman" w:hAnsi="Times New Roman" w:eastAsia="宋体" w:cs="Times New Roman"/>
          <w:color w:val="auto"/>
        </w:rPr>
        <w:t>支付</w:t>
      </w:r>
      <w:r>
        <w:rPr>
          <w:rFonts w:hint="eastAsia" w:ascii="Times New Roman" w:hAnsi="Times New Roman" w:eastAsia="宋体" w:cs="Times New Roman"/>
          <w:color w:val="auto"/>
          <w:lang w:val="en-US" w:eastAsia="zh-CN"/>
        </w:rPr>
        <w:t>给中标人（不计利息）</w:t>
      </w:r>
      <w:r>
        <w:rPr>
          <w:rFonts w:hint="eastAsia" w:ascii="Times New Roman" w:hAnsi="Times New Roman" w:eastAsia="宋体" w:cs="Times New Roman"/>
          <w:color w:val="auto"/>
        </w:rPr>
        <w:t>。</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交货地点：采购人指定地点。</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交货方式：由采购人、中标人双方派代表当场开箱验货，方可进行设备调试。</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售后服务保障或维修响应时间要求：</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投标产品必须是全新且经由正规合法经销渠道的符合国家各项有关质量标准的合格产品。相关部件及服务须满足本表中各项要求。所有设备除满足上表要求的技术参数和配置外，其余均按国家标准及厂家出厂标准配置，若产品在运输过程中损坏须无偿调换同样产品。</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按国家有关规定或厂家承诺实行“三包”，质保期内全免费上门维修、免费更换零部件。</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★设备发生故障时接到通知后1小时内响应， 4小时内到达现场维修并解决故障。</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★中标人应负责设备的集成服务工作，由资深工程师和原厂工程师一同实施。</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其余按厂家标准执行。</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其他要求：</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rPr>
        <w:t>验收：</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）中标供应商需承担供货时产品质量抽样检测的相关费用以及项目验收时发生的一切费用；验收标准应符合中国有关的国家、地方、行业标准。</w:t>
      </w:r>
    </w:p>
    <w:p>
      <w:pPr>
        <w:pStyle w:val="15"/>
        <w:ind w:left="-708" w:leftChars="-337"/>
        <w:rPr>
          <w:rFonts w:hint="eastAsia"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）当项目完成供货和</w:t>
      </w:r>
      <w:r>
        <w:rPr>
          <w:rFonts w:hint="eastAsia" w:ascii="Times New Roman" w:hAnsi="Times New Roman" w:eastAsia="宋体" w:cs="Times New Roman"/>
          <w:color w:val="auto"/>
          <w:lang w:val="en-US" w:eastAsia="zh-CN"/>
        </w:rPr>
        <w:t>竣工</w:t>
      </w:r>
      <w:r>
        <w:rPr>
          <w:rFonts w:hint="eastAsia" w:ascii="Times New Roman" w:hAnsi="Times New Roman" w:eastAsia="宋体" w:cs="Times New Roman"/>
          <w:color w:val="auto"/>
        </w:rPr>
        <w:t>集成调试并</w:t>
      </w:r>
      <w:r>
        <w:rPr>
          <w:rFonts w:hint="eastAsia" w:ascii="Times New Roman" w:hAnsi="Times New Roman" w:eastAsia="宋体" w:cs="Times New Roman"/>
          <w:color w:val="auto"/>
          <w:lang w:val="en-US" w:eastAsia="zh-CN"/>
        </w:rPr>
        <w:t>正式运行2</w:t>
      </w:r>
      <w:r>
        <w:rPr>
          <w:rFonts w:hint="eastAsia" w:ascii="Times New Roman" w:hAnsi="Times New Roman" w:eastAsia="宋体" w:cs="Times New Roman"/>
          <w:color w:val="auto"/>
        </w:rPr>
        <w:t>个</w:t>
      </w:r>
      <w:r>
        <w:rPr>
          <w:rFonts w:hint="eastAsia" w:ascii="Times New Roman" w:hAnsi="Times New Roman" w:eastAsia="宋体" w:cs="Times New Roman"/>
          <w:color w:val="auto"/>
          <w:lang w:val="en-US" w:eastAsia="zh-CN"/>
        </w:rPr>
        <w:t>月后</w:t>
      </w:r>
      <w:r>
        <w:rPr>
          <w:rFonts w:hint="eastAsia" w:ascii="Times New Roman" w:hAnsi="Times New Roman" w:eastAsia="宋体" w:cs="Times New Roman"/>
          <w:color w:val="auto"/>
        </w:rPr>
        <w:t>，由中标人向采购人提出项目竣工</w:t>
      </w:r>
      <w:r>
        <w:rPr>
          <w:rFonts w:hint="eastAsia" w:ascii="Times New Roman" w:hAnsi="Times New Roman" w:eastAsia="宋体" w:cs="Times New Roman"/>
          <w:color w:val="auto"/>
          <w:lang w:val="en-US" w:eastAsia="zh-CN"/>
        </w:rPr>
        <w:t>验收</w:t>
      </w:r>
      <w:r>
        <w:rPr>
          <w:rFonts w:hint="eastAsia" w:ascii="Times New Roman" w:hAnsi="Times New Roman" w:eastAsia="宋体" w:cs="Times New Roman"/>
          <w:color w:val="auto"/>
        </w:rPr>
        <w:t>申请，并于验收前向采购人提供一切有关技术文件、资料、图纸和相关记录等竣工材料，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质保期。</w:t>
      </w:r>
    </w:p>
    <w:p>
      <w:pPr>
        <w:pStyle w:val="15"/>
        <w:ind w:left="-708" w:leftChars="-337"/>
      </w:pPr>
      <w:r>
        <w:rPr>
          <w:rFonts w:hint="eastAsia" w:ascii="Times New Roman" w:hAnsi="Times New Roman" w:eastAsia="宋体" w:cs="Times New Roman"/>
          <w:color w:val="auto"/>
        </w:rPr>
        <w:t>带“★”参数为重要参数，投标人必须满足，否则投标无效。</w:t>
      </w:r>
      <w:sdt>
        <w:sdtPr>
          <w:rPr>
            <w:rFonts w:hint="eastAsia" w:ascii="Times New Roman" w:hAnsi="Times New Roman" w:eastAsia="宋体" w:cs="Times New Roman"/>
            <w:color w:val="auto"/>
          </w:rPr>
          <w:alias w:val="根据实际情况填写，这里为设备和维保模板"/>
          <w:tag w:val="根据实际情况填写，这里为设备和维保模板"/>
          <w:id w:val="545178371"/>
          <w:placeholder>
            <w:docPart w:val="DefaultPlaceholder_-1854013440"/>
          </w:placeholder>
          <w:showingPlcHdr/>
          <w15:color w:val="FF0000"/>
        </w:sdtPr>
        <w:sdtEndPr>
          <w:rPr>
            <w:rFonts w:hint="eastAsia" w:cs="Times New Roman"/>
          </w:rPr>
        </w:sdtEndPr>
        <w:sdtContent>
          <w:r>
            <w:rPr>
              <w:rFonts w:hint="eastAsia" w:ascii="Times New Roman" w:hAnsi="Times New Roman" w:eastAsia="宋体" w:cs="Times New Roman"/>
              <w:color w:val="auto"/>
            </w:rPr>
            <w:t>单击或点击此处输入文字。</w:t>
          </w:r>
        </w:sdtContent>
      </w:sdt>
    </w:p>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15"/>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15"/>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pPr>
            <w:pStyle w:val="15"/>
            <w:ind w:left="-708" w:leftChars="-337"/>
            <w:rPr>
              <w:rFonts w:hint="eastAsia"/>
              <w:color w:val="FF0000"/>
            </w:rPr>
          </w:pPr>
          <w:r>
            <w:rPr>
              <w:rFonts w:hint="eastAsia"/>
            </w:rPr>
            <w:t>5.</w:t>
          </w:r>
          <w:r>
            <w:rPr>
              <w:rFonts w:hint="eastAsia"/>
              <w:color w:val="FF0000"/>
            </w:rPr>
            <w:t>质保期：设备安装完毕通过验收投入使用之日起不少于1年</w:t>
          </w:r>
          <w:r>
            <w:rPr>
              <w:rFonts w:hint="eastAsia"/>
            </w:rPr>
            <w:t>，如厂家质保期更长的按厂家质保期。</w:t>
          </w:r>
        </w:p>
        <w:p>
          <w:pPr>
            <w:pStyle w:val="15"/>
            <w:ind w:left="-708" w:leftChars="-337"/>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kern w:val="0"/>
              <w:sz w:val="24"/>
              <w:szCs w:val="24"/>
              <w:u w:val="single"/>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w:t>
          </w:r>
          <w:r>
            <w:rPr>
              <w:rFonts w:hint="eastAsia" w:cs="宋体"/>
              <w:color w:val="FF0000"/>
              <w:kern w:val="0"/>
              <w:sz w:val="24"/>
              <w:szCs w:val="24"/>
              <w:u w:val="single"/>
              <w:lang w:val="en-US" w:eastAsia="zh-CN"/>
            </w:rPr>
            <w:t>5</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5</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15"/>
          </w:pPr>
          <w:r>
            <w:rPr>
              <w:rStyle w:val="23"/>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最低评标价</w:t>
          </w:r>
          <w:r>
            <w:rPr>
              <w:rFonts w:hint="eastAsia"/>
              <w:b/>
              <w:bCs/>
              <w:u w:val="single"/>
            </w:rPr>
            <w:t>法</w:t>
          </w:r>
        </w:sdtContent>
      </w:sdt>
      <w:r>
        <w:rPr>
          <w:rFonts w:cs="宋体"/>
          <w:b/>
          <w:bCs/>
          <w:kern w:val="0"/>
          <w:sz w:val="24"/>
          <w:szCs w:val="24"/>
          <w:u w:val="single"/>
        </w:rPr>
        <w:t xml:space="preserve">  </w:t>
      </w:r>
      <w:r>
        <w:rPr>
          <w:rFonts w:hint="eastAsia" w:cs="宋体"/>
          <w:kern w:val="0"/>
          <w:sz w:val="24"/>
          <w:szCs w:val="24"/>
        </w:rPr>
        <w:t>确定中标候选人。</w:t>
      </w:r>
    </w:p>
    <w:p>
      <w:pPr>
        <w:pStyle w:val="15"/>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7F24100B">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2410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16133C4"/>
    <w:multiLevelType w:val="multilevel"/>
    <w:tmpl w:val="516133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color w:val="auto"/>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166A2"/>
    <w:rsid w:val="001452F3"/>
    <w:rsid w:val="00204183"/>
    <w:rsid w:val="00241CD6"/>
    <w:rsid w:val="002C7944"/>
    <w:rsid w:val="002E6413"/>
    <w:rsid w:val="00357988"/>
    <w:rsid w:val="003C3AB5"/>
    <w:rsid w:val="003E7DC1"/>
    <w:rsid w:val="00457CEC"/>
    <w:rsid w:val="00474079"/>
    <w:rsid w:val="004C7EB2"/>
    <w:rsid w:val="004D08F5"/>
    <w:rsid w:val="004D2825"/>
    <w:rsid w:val="004F5A76"/>
    <w:rsid w:val="005007DD"/>
    <w:rsid w:val="005A3230"/>
    <w:rsid w:val="005D491D"/>
    <w:rsid w:val="00654BC6"/>
    <w:rsid w:val="00684BD7"/>
    <w:rsid w:val="006C44E8"/>
    <w:rsid w:val="006E5543"/>
    <w:rsid w:val="0070725E"/>
    <w:rsid w:val="00707A97"/>
    <w:rsid w:val="00775059"/>
    <w:rsid w:val="007814EA"/>
    <w:rsid w:val="007A5910"/>
    <w:rsid w:val="007F6F70"/>
    <w:rsid w:val="00825B15"/>
    <w:rsid w:val="008553F8"/>
    <w:rsid w:val="008A204B"/>
    <w:rsid w:val="008A5DC5"/>
    <w:rsid w:val="008D3A6F"/>
    <w:rsid w:val="009530DC"/>
    <w:rsid w:val="009C2C05"/>
    <w:rsid w:val="00A2105C"/>
    <w:rsid w:val="00A44D5C"/>
    <w:rsid w:val="00A55A59"/>
    <w:rsid w:val="00A80F4D"/>
    <w:rsid w:val="00A83F43"/>
    <w:rsid w:val="00AC0EA5"/>
    <w:rsid w:val="00B8409A"/>
    <w:rsid w:val="00BA3521"/>
    <w:rsid w:val="00C33384"/>
    <w:rsid w:val="00C762C8"/>
    <w:rsid w:val="00C97AD7"/>
    <w:rsid w:val="00CC2DEE"/>
    <w:rsid w:val="00CD27A2"/>
    <w:rsid w:val="00D2685D"/>
    <w:rsid w:val="00D41CB5"/>
    <w:rsid w:val="00D57065"/>
    <w:rsid w:val="00DB5864"/>
    <w:rsid w:val="00DE7D8E"/>
    <w:rsid w:val="00E14108"/>
    <w:rsid w:val="00E72BBE"/>
    <w:rsid w:val="00EB1C9B"/>
    <w:rsid w:val="00ED5546"/>
    <w:rsid w:val="00FA225F"/>
    <w:rsid w:val="01D85DC3"/>
    <w:rsid w:val="026F27D1"/>
    <w:rsid w:val="03E74355"/>
    <w:rsid w:val="06A835D1"/>
    <w:rsid w:val="07247C28"/>
    <w:rsid w:val="07494904"/>
    <w:rsid w:val="07830FC8"/>
    <w:rsid w:val="0800105A"/>
    <w:rsid w:val="08B80D5F"/>
    <w:rsid w:val="09101F06"/>
    <w:rsid w:val="0AA97F0C"/>
    <w:rsid w:val="0BA77A36"/>
    <w:rsid w:val="0C5023C3"/>
    <w:rsid w:val="0FAB656E"/>
    <w:rsid w:val="10C97A40"/>
    <w:rsid w:val="12FE1340"/>
    <w:rsid w:val="184D733A"/>
    <w:rsid w:val="189205C4"/>
    <w:rsid w:val="197E1615"/>
    <w:rsid w:val="198E18E6"/>
    <w:rsid w:val="19B8309C"/>
    <w:rsid w:val="1A077661"/>
    <w:rsid w:val="1A1C26ED"/>
    <w:rsid w:val="1A5E61B6"/>
    <w:rsid w:val="1CD10C30"/>
    <w:rsid w:val="1D04616E"/>
    <w:rsid w:val="1DFA01E7"/>
    <w:rsid w:val="1E5D3CF4"/>
    <w:rsid w:val="1F0D59F1"/>
    <w:rsid w:val="24CE6378"/>
    <w:rsid w:val="2BE5357A"/>
    <w:rsid w:val="2CAD447F"/>
    <w:rsid w:val="2CB124B3"/>
    <w:rsid w:val="2F5051AF"/>
    <w:rsid w:val="32802265"/>
    <w:rsid w:val="337462E4"/>
    <w:rsid w:val="440A61BA"/>
    <w:rsid w:val="45925788"/>
    <w:rsid w:val="46A07502"/>
    <w:rsid w:val="46DA16E7"/>
    <w:rsid w:val="47DD756D"/>
    <w:rsid w:val="4A9274DB"/>
    <w:rsid w:val="4B0C0688"/>
    <w:rsid w:val="4DF41DA8"/>
    <w:rsid w:val="515A6531"/>
    <w:rsid w:val="564453BD"/>
    <w:rsid w:val="57F82D58"/>
    <w:rsid w:val="59E50B11"/>
    <w:rsid w:val="5AF42A7B"/>
    <w:rsid w:val="5B9901FA"/>
    <w:rsid w:val="5C401E8C"/>
    <w:rsid w:val="5CDA23D8"/>
    <w:rsid w:val="5F537469"/>
    <w:rsid w:val="6169552B"/>
    <w:rsid w:val="67AC20C6"/>
    <w:rsid w:val="69485D3F"/>
    <w:rsid w:val="6A5B4DB6"/>
    <w:rsid w:val="6E6F623B"/>
    <w:rsid w:val="70BF5B02"/>
    <w:rsid w:val="73D4604E"/>
    <w:rsid w:val="74D25318"/>
    <w:rsid w:val="75FF0362"/>
    <w:rsid w:val="77E86D7D"/>
    <w:rsid w:val="7DE0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bCs/>
      <w:spacing w:val="10"/>
      <w:kern w:val="0"/>
      <w:sz w:val="24"/>
      <w:szCs w:val="20"/>
    </w:rPr>
  </w:style>
  <w:style w:type="paragraph" w:styleId="4">
    <w:name w:val="annotation text"/>
    <w:basedOn w:val="1"/>
    <w:link w:val="17"/>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link w:val="19"/>
    <w:qFormat/>
    <w:uiPriority w:val="99"/>
    <w:rPr>
      <w:rFonts w:ascii="宋体" w:hAnsi="Courier New"/>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semiHidden/>
    <w:unhideWhenUsed/>
    <w:qFormat/>
    <w:uiPriority w:val="99"/>
    <w:rPr>
      <w:b/>
      <w:bCs/>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文字 字符"/>
    <w:basedOn w:val="13"/>
    <w:qFormat/>
    <w:uiPriority w:val="99"/>
    <w:rPr>
      <w:rFonts w:ascii="Times New Roman" w:hAnsi="Times New Roman" w:eastAsia="宋体" w:cs="Times New Roman"/>
      <w:szCs w:val="21"/>
    </w:rPr>
  </w:style>
  <w:style w:type="character" w:customStyle="1" w:styleId="17">
    <w:name w:val="批注文字 字符1"/>
    <w:link w:val="4"/>
    <w:semiHidden/>
    <w:qFormat/>
    <w:uiPriority w:val="99"/>
    <w:rPr>
      <w:rFonts w:ascii="Times New Roman" w:hAnsi="Times New Roman" w:eastAsia="宋体" w:cs="Times New Roman"/>
      <w:szCs w:val="21"/>
    </w:rPr>
  </w:style>
  <w:style w:type="character" w:customStyle="1" w:styleId="18">
    <w:name w:val="批注主题 字符"/>
    <w:basedOn w:val="17"/>
    <w:link w:val="9"/>
    <w:semiHidden/>
    <w:qFormat/>
    <w:uiPriority w:val="99"/>
    <w:rPr>
      <w:rFonts w:ascii="Times New Roman" w:hAnsi="Times New Roman" w:eastAsia="宋体" w:cs="Times New Roman"/>
      <w:b/>
      <w:bCs/>
      <w:szCs w:val="21"/>
    </w:rPr>
  </w:style>
  <w:style w:type="character" w:customStyle="1" w:styleId="19">
    <w:name w:val="纯文本 字符"/>
    <w:basedOn w:val="13"/>
    <w:link w:val="6"/>
    <w:qFormat/>
    <w:uiPriority w:val="99"/>
    <w:rPr>
      <w:rFonts w:ascii="宋体" w:hAnsi="Courier New" w:eastAsia="宋体" w:cs="Times New Roman"/>
      <w:szCs w:val="21"/>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51373B"/>
    <w:rsid w:val="00630942"/>
    <w:rsid w:val="006F4D1D"/>
    <w:rsid w:val="007311C2"/>
    <w:rsid w:val="0080285A"/>
    <w:rsid w:val="009323CE"/>
    <w:rsid w:val="00E4249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6</Pages>
  <Words>4132</Words>
  <Characters>4328</Characters>
  <Lines>47</Lines>
  <Paragraphs>13</Paragraphs>
  <TotalTime>5</TotalTime>
  <ScaleCrop>false</ScaleCrop>
  <LinksUpToDate>false</LinksUpToDate>
  <CharactersWithSpaces>4371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2022-04-13T08:27:18Z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BC6B623858AD4EF6B8932C9852D63447</vt:lpwstr>
  </property>
</Properties>
</file>