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kern w:val="0"/>
          <w:sz w:val="28"/>
          <w:szCs w:val="28"/>
        </w:rPr>
      </w:pPr>
      <w:r>
        <w:rPr>
          <w:rFonts w:hint="eastAsia" w:cs="宋体"/>
          <w:b/>
          <w:bCs/>
          <w:kern w:val="0"/>
          <w:sz w:val="38"/>
          <w:szCs w:val="38"/>
        </w:rPr>
        <w:t>第三章</w:t>
      </w:r>
      <w:r>
        <w:rPr>
          <w:rFonts w:cs="宋体"/>
          <w:b/>
          <w:bCs/>
          <w:kern w:val="0"/>
          <w:sz w:val="38"/>
          <w:szCs w:val="38"/>
        </w:rPr>
        <w:t xml:space="preserve">  </w:t>
      </w:r>
      <w:r>
        <w:rPr>
          <w:rFonts w:hint="eastAsia" w:cs="宋体"/>
          <w:b/>
          <w:bCs/>
          <w:kern w:val="0"/>
          <w:sz w:val="38"/>
          <w:szCs w:val="38"/>
        </w:rPr>
        <w:t>项目需求和质量标准</w:t>
      </w:r>
    </w:p>
    <w:p>
      <w:pPr>
        <w:pStyle w:val="2"/>
        <w:ind w:left="-500" w:leftChars="-238" w:firstLine="420" w:firstLineChars="199"/>
        <w:rPr>
          <w:color w:val="FF0000"/>
          <w:sz w:val="21"/>
          <w:szCs w:val="21"/>
        </w:rPr>
      </w:pPr>
      <w:r>
        <w:rPr>
          <w:rFonts w:hint="eastAsia"/>
          <w:b/>
          <w:bCs/>
          <w:color w:val="FF0000"/>
          <w:sz w:val="21"/>
          <w:szCs w:val="21"/>
        </w:rPr>
        <w:t>★ 部分为核心参数</w:t>
      </w:r>
      <w:r>
        <w:rPr>
          <w:rFonts w:hint="eastAsia"/>
          <w:color w:val="FF0000"/>
          <w:sz w:val="21"/>
          <w:szCs w:val="21"/>
        </w:rPr>
        <w:t>：不满足视为无效投标；</w:t>
      </w:r>
    </w:p>
    <w:p>
      <w:pPr>
        <w:pStyle w:val="2"/>
        <w:ind w:left="-500" w:leftChars="-238" w:firstLine="420" w:firstLineChars="199"/>
        <w:rPr>
          <w:color w:val="FF0000"/>
          <w:sz w:val="21"/>
          <w:szCs w:val="21"/>
        </w:rPr>
      </w:pPr>
      <w:r>
        <w:rPr>
          <w:rFonts w:hint="eastAsia"/>
          <w:b/>
          <w:bCs/>
          <w:color w:val="FF0000"/>
          <w:sz w:val="21"/>
          <w:szCs w:val="21"/>
        </w:rPr>
        <w:t>＃部分为重要指标</w:t>
      </w:r>
      <w:r>
        <w:rPr>
          <w:rFonts w:hint="eastAsia"/>
          <w:color w:val="FF0000"/>
          <w:sz w:val="21"/>
          <w:szCs w:val="21"/>
        </w:rPr>
        <w:t>：满足或优于（正偏离）该条件则评审时成倍加分，不满足（负偏离）则成倍扣分；</w:t>
      </w:r>
    </w:p>
    <w:p>
      <w:pPr>
        <w:pStyle w:val="2"/>
        <w:ind w:left="-500" w:leftChars="-238" w:firstLine="420" w:firstLineChars="199"/>
        <w:rPr>
          <w:color w:val="FF0000"/>
          <w:sz w:val="21"/>
          <w:szCs w:val="21"/>
        </w:rPr>
      </w:pPr>
      <w:r>
        <w:rPr>
          <w:rFonts w:hint="eastAsia"/>
          <w:b/>
          <w:bCs/>
          <w:color w:val="FF0000"/>
          <w:sz w:val="21"/>
          <w:szCs w:val="21"/>
        </w:rPr>
        <w:t>其他为一般指标要求</w:t>
      </w:r>
      <w:r>
        <w:rPr>
          <w:rFonts w:hint="eastAsia"/>
          <w:color w:val="FF0000"/>
          <w:sz w:val="21"/>
          <w:szCs w:val="21"/>
        </w:rPr>
        <w:t>：优于该条件的为正偏离，评审时加分，不满足的为负偏离，评审时予以扣分。</w:t>
      </w:r>
    </w:p>
    <w:p>
      <w:pPr>
        <w:pStyle w:val="2"/>
        <w:ind w:left="-708" w:leftChars="-337" w:firstLine="422" w:firstLineChars="150"/>
        <w:rPr>
          <w:rFonts w:cs="宋体"/>
          <w:b/>
          <w:bCs/>
          <w:sz w:val="28"/>
          <w:szCs w:val="28"/>
        </w:rPr>
      </w:pPr>
      <w:r>
        <w:rPr>
          <w:rFonts w:hint="eastAsia" w:cs="宋体"/>
          <w:b/>
          <w:bCs/>
          <w:sz w:val="28"/>
          <w:szCs w:val="28"/>
        </w:rPr>
        <w:t>一、采购清单、技术规格参数、质量标准和要求</w:t>
      </w:r>
    </w:p>
    <w:p>
      <w:pPr>
        <w:pStyle w:val="2"/>
        <w:ind w:left="-708" w:leftChars="-337" w:firstLine="723" w:firstLineChars="300"/>
        <w:rPr>
          <w:b/>
          <w:bCs/>
        </w:rPr>
      </w:pPr>
      <w:r>
        <w:rPr>
          <w:rFonts w:hint="eastAsia" w:cs="宋体"/>
          <w:b/>
          <w:bCs/>
        </w:rPr>
        <w:t>（一）采购清单</w:t>
      </w:r>
      <w:r>
        <w:rPr>
          <w:b/>
          <w:bCs/>
        </w:rPr>
        <w:t> </w:t>
      </w:r>
    </w:p>
    <w:p>
      <w:pPr>
        <w:pStyle w:val="2"/>
        <w:ind w:left="-708" w:leftChars="-337"/>
        <w:rPr>
          <w:rFonts w:cs="宋体"/>
          <w:b/>
          <w:bCs/>
        </w:rPr>
      </w:pPr>
      <w:r>
        <w:rPr>
          <w:rFonts w:hint="eastAsia"/>
          <w:b/>
          <w:bCs/>
        </w:rPr>
        <w:t xml:space="preserve">     </w:t>
      </w:r>
    </w:p>
    <w:tbl>
      <w:tblPr>
        <w:tblStyle w:val="12"/>
        <w:tblW w:w="9214" w:type="dxa"/>
        <w:tblInd w:w="250" w:type="dxa"/>
        <w:tblLayout w:type="autofit"/>
        <w:tblCellMar>
          <w:top w:w="0" w:type="dxa"/>
          <w:left w:w="108" w:type="dxa"/>
          <w:bottom w:w="0" w:type="dxa"/>
          <w:right w:w="108" w:type="dxa"/>
        </w:tblCellMar>
      </w:tblPr>
      <w:tblGrid>
        <w:gridCol w:w="735"/>
        <w:gridCol w:w="2384"/>
        <w:gridCol w:w="2409"/>
        <w:gridCol w:w="2054"/>
        <w:gridCol w:w="1632"/>
      </w:tblGrid>
      <w:tr>
        <w:tblPrEx>
          <w:tblCellMar>
            <w:top w:w="0" w:type="dxa"/>
            <w:left w:w="108" w:type="dxa"/>
            <w:bottom w:w="0" w:type="dxa"/>
            <w:right w:w="108" w:type="dxa"/>
          </w:tblCellMar>
        </w:tblPrEx>
        <w:trPr>
          <w:trHeight w:val="485" w:hRule="atLeast"/>
        </w:trPr>
        <w:tc>
          <w:tcPr>
            <w:tcW w:w="735"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textAlignment w:val="center"/>
              <w:rPr>
                <w:rFonts w:ascii="宋体" w:hAnsi="宋体" w:cs="宋体"/>
                <w:color w:val="000000"/>
              </w:rPr>
            </w:pPr>
            <w:r>
              <w:rPr>
                <w:rFonts w:hint="eastAsia" w:ascii="宋体" w:hAnsi="宋体" w:cs="宋体"/>
                <w:color w:val="000000"/>
              </w:rPr>
              <w:t>序号</w:t>
            </w:r>
          </w:p>
        </w:tc>
        <w:tc>
          <w:tcPr>
            <w:tcW w:w="2384"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rPr>
            </w:pPr>
            <w:r>
              <w:rPr>
                <w:rFonts w:hint="eastAsia" w:ascii="宋体" w:hAnsi="宋体" w:cs="宋体"/>
                <w:color w:val="000000"/>
                <w:kern w:val="0"/>
              </w:rPr>
              <w:t>电梯名称</w:t>
            </w:r>
          </w:p>
        </w:tc>
        <w:tc>
          <w:tcPr>
            <w:tcW w:w="2409"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textAlignment w:val="center"/>
              <w:rPr>
                <w:rFonts w:ascii="宋体" w:hAnsi="宋体" w:cs="宋体"/>
                <w:color w:val="000000"/>
              </w:rPr>
            </w:pPr>
            <w:r>
              <w:rPr>
                <w:rFonts w:hint="eastAsia" w:ascii="宋体" w:hAnsi="宋体" w:cs="宋体"/>
                <w:color w:val="000000"/>
                <w:kern w:val="0"/>
              </w:rPr>
              <w:t>层站数/提升高度</w:t>
            </w:r>
          </w:p>
        </w:tc>
        <w:tc>
          <w:tcPr>
            <w:tcW w:w="2054"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textAlignment w:val="center"/>
              <w:rPr>
                <w:rFonts w:ascii="宋体" w:hAnsi="宋体" w:cs="宋体"/>
                <w:color w:val="000000"/>
              </w:rPr>
            </w:pPr>
            <w:r>
              <w:rPr>
                <w:rFonts w:hint="eastAsia" w:ascii="宋体" w:hAnsi="宋体" w:cs="宋体"/>
                <w:color w:val="000000"/>
              </w:rPr>
              <w:t>电梯维保年限（年）</w:t>
            </w:r>
          </w:p>
        </w:tc>
        <w:tc>
          <w:tcPr>
            <w:tcW w:w="1632"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rPr>
            </w:pPr>
            <w:r>
              <w:rPr>
                <w:rFonts w:hint="eastAsia" w:ascii="宋体" w:hAnsi="宋体" w:cs="宋体"/>
                <w:color w:val="000000"/>
              </w:rPr>
              <w:t>上控价（万元）</w:t>
            </w:r>
          </w:p>
        </w:tc>
      </w:tr>
      <w:tr>
        <w:tblPrEx>
          <w:tblCellMar>
            <w:top w:w="0" w:type="dxa"/>
            <w:left w:w="108" w:type="dxa"/>
            <w:bottom w:w="0" w:type="dxa"/>
            <w:right w:w="108" w:type="dxa"/>
          </w:tblCellMar>
        </w:tblPrEx>
        <w:trPr>
          <w:trHeight w:val="407" w:hRule="atLeast"/>
        </w:trPr>
        <w:tc>
          <w:tcPr>
            <w:tcW w:w="735"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rPr>
              <w:t>1</w:t>
            </w:r>
          </w:p>
        </w:tc>
        <w:tc>
          <w:tcPr>
            <w:tcW w:w="2384"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rPr>
            </w:pPr>
            <w:r>
              <w:rPr>
                <w:rFonts w:hint="eastAsia" w:ascii="宋体" w:hAnsi="宋体" w:cs="宋体"/>
                <w:color w:val="000000"/>
                <w:kern w:val="0"/>
              </w:rPr>
              <w:t>员工单层</w:t>
            </w:r>
          </w:p>
        </w:tc>
        <w:tc>
          <w:tcPr>
            <w:tcW w:w="2409"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textAlignment w:val="center"/>
              <w:rPr>
                <w:rFonts w:ascii="宋体" w:hAnsi="宋体" w:cs="宋体"/>
                <w:color w:val="000000"/>
              </w:rPr>
            </w:pPr>
            <w:r>
              <w:rPr>
                <w:rFonts w:hint="eastAsia" w:ascii="宋体" w:hAnsi="宋体" w:cs="宋体"/>
                <w:color w:val="000000"/>
                <w:kern w:val="0"/>
              </w:rPr>
              <w:t>24层24站</w:t>
            </w:r>
          </w:p>
        </w:tc>
        <w:tc>
          <w:tcPr>
            <w:tcW w:w="2054" w:type="dxa"/>
            <w:vMerge w:val="restart"/>
            <w:tcBorders>
              <w:top w:val="single" w:color="000000" w:sz="4" w:space="0"/>
              <w:left w:val="single" w:color="000000" w:sz="4" w:space="0"/>
              <w:right w:val="single" w:color="auto" w:sz="4" w:space="0"/>
            </w:tcBorders>
            <w:shd w:val="clear" w:color="auto" w:fill="auto"/>
            <w:vAlign w:val="center"/>
          </w:tcPr>
          <w:p>
            <w:pPr>
              <w:widowControl/>
              <w:jc w:val="center"/>
              <w:textAlignment w:val="center"/>
              <w:rPr>
                <w:rFonts w:ascii="宋体" w:hAnsi="宋体" w:cs="宋体"/>
                <w:color w:val="000000"/>
              </w:rPr>
            </w:pPr>
            <w:r>
              <w:rPr>
                <w:rFonts w:hint="eastAsia" w:ascii="宋体" w:hAnsi="宋体" w:cs="宋体"/>
                <w:color w:val="000000"/>
              </w:rPr>
              <w:t>3</w:t>
            </w:r>
          </w:p>
        </w:tc>
        <w:tc>
          <w:tcPr>
            <w:tcW w:w="1632" w:type="dxa"/>
            <w:vMerge w:val="restart"/>
            <w:tcBorders>
              <w:top w:val="single" w:color="000000" w:sz="4" w:space="0"/>
              <w:left w:val="single" w:color="auto"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微软雅黑"/>
                <w:sz w:val="24"/>
                <w:szCs w:val="24"/>
              </w:rPr>
              <w:t>17.9850</w:t>
            </w:r>
          </w:p>
        </w:tc>
      </w:tr>
      <w:tr>
        <w:tblPrEx>
          <w:tblCellMar>
            <w:top w:w="0" w:type="dxa"/>
            <w:left w:w="108" w:type="dxa"/>
            <w:bottom w:w="0" w:type="dxa"/>
            <w:right w:w="108" w:type="dxa"/>
          </w:tblCellMar>
        </w:tblPrEx>
        <w:trPr>
          <w:trHeight w:val="426" w:hRule="atLeast"/>
        </w:trPr>
        <w:tc>
          <w:tcPr>
            <w:tcW w:w="735"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rPr>
              <w:t>2</w:t>
            </w:r>
          </w:p>
        </w:tc>
        <w:tc>
          <w:tcPr>
            <w:tcW w:w="2384"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rPr>
            </w:pPr>
            <w:r>
              <w:rPr>
                <w:rFonts w:hint="eastAsia" w:ascii="宋体" w:hAnsi="宋体" w:cs="宋体"/>
                <w:color w:val="000000"/>
                <w:kern w:val="0"/>
              </w:rPr>
              <w:t>员工双层</w:t>
            </w:r>
          </w:p>
        </w:tc>
        <w:tc>
          <w:tcPr>
            <w:tcW w:w="2409"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textAlignment w:val="center"/>
              <w:rPr>
                <w:rFonts w:ascii="宋体" w:hAnsi="宋体" w:cs="宋体"/>
                <w:color w:val="000000"/>
              </w:rPr>
            </w:pPr>
            <w:r>
              <w:rPr>
                <w:rFonts w:hint="eastAsia" w:ascii="宋体" w:hAnsi="宋体" w:cs="宋体"/>
                <w:color w:val="000000"/>
                <w:kern w:val="0"/>
              </w:rPr>
              <w:t>24层24站</w:t>
            </w:r>
          </w:p>
        </w:tc>
        <w:tc>
          <w:tcPr>
            <w:tcW w:w="2054" w:type="dxa"/>
            <w:vMerge w:val="continue"/>
            <w:tcBorders>
              <w:left w:val="single" w:color="000000" w:sz="4" w:space="0"/>
              <w:right w:val="single" w:color="auto" w:sz="4" w:space="0"/>
            </w:tcBorders>
            <w:shd w:val="clear" w:color="auto" w:fill="auto"/>
            <w:vAlign w:val="center"/>
          </w:tcPr>
          <w:p>
            <w:pPr>
              <w:widowControl/>
              <w:textAlignment w:val="center"/>
              <w:rPr>
                <w:rFonts w:ascii="宋体" w:hAnsi="宋体" w:cs="宋体"/>
                <w:color w:val="000000"/>
              </w:rPr>
            </w:pPr>
          </w:p>
        </w:tc>
        <w:tc>
          <w:tcPr>
            <w:tcW w:w="1632" w:type="dxa"/>
            <w:vMerge w:val="continue"/>
            <w:tcBorders>
              <w:left w:val="single" w:color="auto" w:sz="4" w:space="0"/>
              <w:right w:val="single" w:color="000000" w:sz="4" w:space="0"/>
            </w:tcBorders>
            <w:shd w:val="clear" w:color="auto" w:fill="auto"/>
            <w:vAlign w:val="center"/>
          </w:tcPr>
          <w:p>
            <w:pPr>
              <w:widowControl/>
              <w:jc w:val="center"/>
              <w:textAlignment w:val="center"/>
              <w:rPr>
                <w:rFonts w:ascii="宋体" w:hAnsi="宋体" w:cs="宋体"/>
                <w:color w:val="000000"/>
              </w:rPr>
            </w:pPr>
          </w:p>
        </w:tc>
      </w:tr>
      <w:tr>
        <w:tblPrEx>
          <w:tblCellMar>
            <w:top w:w="0" w:type="dxa"/>
            <w:left w:w="108" w:type="dxa"/>
            <w:bottom w:w="0" w:type="dxa"/>
            <w:right w:w="108" w:type="dxa"/>
          </w:tblCellMar>
        </w:tblPrEx>
        <w:trPr>
          <w:trHeight w:val="419" w:hRule="atLeast"/>
        </w:trPr>
        <w:tc>
          <w:tcPr>
            <w:tcW w:w="735"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rPr>
              <w:t>3</w:t>
            </w:r>
          </w:p>
        </w:tc>
        <w:tc>
          <w:tcPr>
            <w:tcW w:w="2384"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rPr>
            </w:pPr>
            <w:r>
              <w:rPr>
                <w:rFonts w:hint="eastAsia" w:ascii="宋体" w:hAnsi="宋体" w:cs="宋体"/>
                <w:color w:val="000000"/>
                <w:kern w:val="0"/>
              </w:rPr>
              <w:t>19层医用梯</w:t>
            </w:r>
          </w:p>
        </w:tc>
        <w:tc>
          <w:tcPr>
            <w:tcW w:w="2409"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textAlignment w:val="center"/>
              <w:rPr>
                <w:rFonts w:ascii="宋体" w:hAnsi="宋体" w:cs="宋体"/>
                <w:color w:val="000000"/>
              </w:rPr>
            </w:pPr>
            <w:r>
              <w:rPr>
                <w:rFonts w:hint="eastAsia" w:ascii="宋体" w:hAnsi="宋体" w:cs="宋体"/>
                <w:color w:val="000000"/>
                <w:kern w:val="0"/>
              </w:rPr>
              <w:t>19层19站</w:t>
            </w:r>
          </w:p>
        </w:tc>
        <w:tc>
          <w:tcPr>
            <w:tcW w:w="2054" w:type="dxa"/>
            <w:vMerge w:val="continue"/>
            <w:tcBorders>
              <w:left w:val="single" w:color="000000" w:sz="4" w:space="0"/>
              <w:right w:val="single" w:color="auto" w:sz="4" w:space="0"/>
            </w:tcBorders>
            <w:shd w:val="clear" w:color="auto" w:fill="auto"/>
            <w:vAlign w:val="center"/>
          </w:tcPr>
          <w:p>
            <w:pPr>
              <w:widowControl/>
              <w:textAlignment w:val="center"/>
              <w:rPr>
                <w:rFonts w:ascii="宋体" w:hAnsi="宋体" w:cs="宋体"/>
                <w:color w:val="000000"/>
              </w:rPr>
            </w:pPr>
          </w:p>
        </w:tc>
        <w:tc>
          <w:tcPr>
            <w:tcW w:w="1632" w:type="dxa"/>
            <w:vMerge w:val="continue"/>
            <w:tcBorders>
              <w:left w:val="single" w:color="auto" w:sz="4" w:space="0"/>
              <w:right w:val="single" w:color="000000" w:sz="4" w:space="0"/>
            </w:tcBorders>
            <w:shd w:val="clear" w:color="auto" w:fill="auto"/>
            <w:vAlign w:val="center"/>
          </w:tcPr>
          <w:p>
            <w:pPr>
              <w:widowControl/>
              <w:jc w:val="center"/>
              <w:textAlignment w:val="center"/>
              <w:rPr>
                <w:rFonts w:ascii="宋体" w:hAnsi="宋体" w:cs="宋体"/>
                <w:color w:val="000000"/>
              </w:rPr>
            </w:pPr>
          </w:p>
        </w:tc>
      </w:tr>
      <w:tr>
        <w:tblPrEx>
          <w:tblCellMar>
            <w:top w:w="0" w:type="dxa"/>
            <w:left w:w="108" w:type="dxa"/>
            <w:bottom w:w="0" w:type="dxa"/>
            <w:right w:w="108" w:type="dxa"/>
          </w:tblCellMar>
        </w:tblPrEx>
        <w:trPr>
          <w:trHeight w:val="411" w:hRule="atLeast"/>
        </w:trPr>
        <w:tc>
          <w:tcPr>
            <w:tcW w:w="735"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rPr>
              <w:t>4</w:t>
            </w:r>
          </w:p>
        </w:tc>
        <w:tc>
          <w:tcPr>
            <w:tcW w:w="2384"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rPr>
            </w:pPr>
            <w:r>
              <w:rPr>
                <w:rFonts w:hint="eastAsia" w:ascii="宋体" w:hAnsi="宋体" w:cs="宋体"/>
                <w:color w:val="000000"/>
                <w:kern w:val="0"/>
              </w:rPr>
              <w:t>手术专用梯</w:t>
            </w:r>
          </w:p>
        </w:tc>
        <w:tc>
          <w:tcPr>
            <w:tcW w:w="2409"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textAlignment w:val="center"/>
              <w:rPr>
                <w:rFonts w:ascii="宋体" w:hAnsi="宋体" w:cs="宋体"/>
                <w:color w:val="000000"/>
              </w:rPr>
            </w:pPr>
            <w:r>
              <w:rPr>
                <w:rFonts w:hint="eastAsia" w:ascii="宋体" w:hAnsi="宋体" w:cs="宋体"/>
                <w:color w:val="000000"/>
                <w:kern w:val="0"/>
              </w:rPr>
              <w:t>23层23站</w:t>
            </w:r>
          </w:p>
        </w:tc>
        <w:tc>
          <w:tcPr>
            <w:tcW w:w="2054" w:type="dxa"/>
            <w:vMerge w:val="continue"/>
            <w:tcBorders>
              <w:left w:val="single" w:color="000000" w:sz="4" w:space="0"/>
              <w:right w:val="single" w:color="auto" w:sz="4" w:space="0"/>
            </w:tcBorders>
            <w:shd w:val="clear" w:color="auto" w:fill="auto"/>
            <w:vAlign w:val="center"/>
          </w:tcPr>
          <w:p>
            <w:pPr>
              <w:widowControl/>
              <w:textAlignment w:val="center"/>
              <w:rPr>
                <w:rFonts w:ascii="宋体" w:hAnsi="宋体" w:cs="宋体"/>
                <w:color w:val="000000"/>
              </w:rPr>
            </w:pPr>
          </w:p>
        </w:tc>
        <w:tc>
          <w:tcPr>
            <w:tcW w:w="1632" w:type="dxa"/>
            <w:vMerge w:val="continue"/>
            <w:tcBorders>
              <w:left w:val="single" w:color="auto" w:sz="4" w:space="0"/>
              <w:right w:val="single" w:color="000000" w:sz="4" w:space="0"/>
            </w:tcBorders>
            <w:shd w:val="clear" w:color="auto" w:fill="auto"/>
            <w:vAlign w:val="center"/>
          </w:tcPr>
          <w:p>
            <w:pPr>
              <w:widowControl/>
              <w:jc w:val="center"/>
              <w:textAlignment w:val="center"/>
              <w:rPr>
                <w:rFonts w:ascii="宋体" w:hAnsi="宋体" w:cs="宋体"/>
                <w:color w:val="000000"/>
              </w:rPr>
            </w:pPr>
          </w:p>
        </w:tc>
      </w:tr>
      <w:tr>
        <w:tblPrEx>
          <w:tblCellMar>
            <w:top w:w="0" w:type="dxa"/>
            <w:left w:w="108" w:type="dxa"/>
            <w:bottom w:w="0" w:type="dxa"/>
            <w:right w:w="108" w:type="dxa"/>
          </w:tblCellMar>
        </w:tblPrEx>
        <w:trPr>
          <w:trHeight w:val="417" w:hRule="atLeast"/>
        </w:trPr>
        <w:tc>
          <w:tcPr>
            <w:tcW w:w="735"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rPr>
              <w:t>5</w:t>
            </w:r>
          </w:p>
        </w:tc>
        <w:tc>
          <w:tcPr>
            <w:tcW w:w="2384"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rPr>
            </w:pPr>
            <w:r>
              <w:rPr>
                <w:rFonts w:hint="eastAsia" w:ascii="宋体" w:hAnsi="宋体" w:cs="宋体"/>
                <w:color w:val="000000"/>
                <w:kern w:val="0"/>
              </w:rPr>
              <w:t>23层医用梯</w:t>
            </w:r>
          </w:p>
        </w:tc>
        <w:tc>
          <w:tcPr>
            <w:tcW w:w="2409"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textAlignment w:val="center"/>
              <w:rPr>
                <w:rFonts w:ascii="宋体" w:hAnsi="宋体" w:cs="宋体"/>
                <w:color w:val="000000"/>
              </w:rPr>
            </w:pPr>
            <w:r>
              <w:rPr>
                <w:rFonts w:hint="eastAsia" w:ascii="宋体" w:hAnsi="宋体" w:cs="宋体"/>
                <w:color w:val="000000"/>
                <w:kern w:val="0"/>
              </w:rPr>
              <w:t>23层23站</w:t>
            </w:r>
          </w:p>
        </w:tc>
        <w:tc>
          <w:tcPr>
            <w:tcW w:w="2054" w:type="dxa"/>
            <w:vMerge w:val="continue"/>
            <w:tcBorders>
              <w:left w:val="single" w:color="000000" w:sz="4" w:space="0"/>
              <w:right w:val="single" w:color="auto" w:sz="4" w:space="0"/>
            </w:tcBorders>
            <w:shd w:val="clear" w:color="auto" w:fill="auto"/>
            <w:vAlign w:val="center"/>
          </w:tcPr>
          <w:p>
            <w:pPr>
              <w:widowControl/>
              <w:textAlignment w:val="center"/>
              <w:rPr>
                <w:rFonts w:ascii="宋体" w:hAnsi="宋体" w:cs="宋体"/>
                <w:color w:val="000000"/>
              </w:rPr>
            </w:pPr>
          </w:p>
        </w:tc>
        <w:tc>
          <w:tcPr>
            <w:tcW w:w="1632" w:type="dxa"/>
            <w:vMerge w:val="continue"/>
            <w:tcBorders>
              <w:left w:val="single" w:color="auto" w:sz="4" w:space="0"/>
              <w:right w:val="single" w:color="000000" w:sz="4" w:space="0"/>
            </w:tcBorders>
            <w:shd w:val="clear" w:color="auto" w:fill="auto"/>
            <w:vAlign w:val="center"/>
          </w:tcPr>
          <w:p>
            <w:pPr>
              <w:widowControl/>
              <w:jc w:val="center"/>
              <w:textAlignment w:val="center"/>
              <w:rPr>
                <w:rFonts w:ascii="宋体" w:hAnsi="宋体" w:cs="宋体"/>
                <w:color w:val="000000"/>
              </w:rPr>
            </w:pPr>
          </w:p>
        </w:tc>
      </w:tr>
      <w:tr>
        <w:tblPrEx>
          <w:tblCellMar>
            <w:top w:w="0" w:type="dxa"/>
            <w:left w:w="108" w:type="dxa"/>
            <w:bottom w:w="0" w:type="dxa"/>
            <w:right w:w="108" w:type="dxa"/>
          </w:tblCellMar>
        </w:tblPrEx>
        <w:trPr>
          <w:trHeight w:val="408" w:hRule="atLeast"/>
        </w:trPr>
        <w:tc>
          <w:tcPr>
            <w:tcW w:w="735"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rPr>
              <w:t>6</w:t>
            </w:r>
          </w:p>
        </w:tc>
        <w:tc>
          <w:tcPr>
            <w:tcW w:w="2384"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rPr>
            </w:pPr>
            <w:r>
              <w:rPr>
                <w:rFonts w:hint="eastAsia" w:ascii="宋体" w:hAnsi="宋体" w:cs="宋体"/>
                <w:color w:val="000000"/>
                <w:kern w:val="0"/>
              </w:rPr>
              <w:t>20层医用梯</w:t>
            </w:r>
          </w:p>
        </w:tc>
        <w:tc>
          <w:tcPr>
            <w:tcW w:w="2409"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textAlignment w:val="center"/>
              <w:rPr>
                <w:rFonts w:ascii="宋体" w:hAnsi="宋体" w:cs="宋体"/>
                <w:color w:val="000000"/>
              </w:rPr>
            </w:pPr>
            <w:r>
              <w:rPr>
                <w:rFonts w:hint="eastAsia" w:ascii="宋体" w:hAnsi="宋体" w:cs="宋体"/>
                <w:color w:val="000000"/>
                <w:kern w:val="0"/>
              </w:rPr>
              <w:t>20层20站</w:t>
            </w:r>
          </w:p>
        </w:tc>
        <w:tc>
          <w:tcPr>
            <w:tcW w:w="2054" w:type="dxa"/>
            <w:vMerge w:val="continue"/>
            <w:tcBorders>
              <w:left w:val="single" w:color="000000" w:sz="4" w:space="0"/>
              <w:right w:val="single" w:color="auto" w:sz="4" w:space="0"/>
            </w:tcBorders>
            <w:shd w:val="clear" w:color="auto" w:fill="auto"/>
            <w:vAlign w:val="center"/>
          </w:tcPr>
          <w:p>
            <w:pPr>
              <w:widowControl/>
              <w:textAlignment w:val="center"/>
              <w:rPr>
                <w:rFonts w:ascii="宋体" w:hAnsi="宋体" w:cs="宋体"/>
                <w:color w:val="000000"/>
              </w:rPr>
            </w:pPr>
          </w:p>
        </w:tc>
        <w:tc>
          <w:tcPr>
            <w:tcW w:w="1632" w:type="dxa"/>
            <w:vMerge w:val="continue"/>
            <w:tcBorders>
              <w:left w:val="single" w:color="auto" w:sz="4" w:space="0"/>
              <w:right w:val="single" w:color="000000" w:sz="4" w:space="0"/>
            </w:tcBorders>
            <w:shd w:val="clear" w:color="auto" w:fill="auto"/>
            <w:vAlign w:val="center"/>
          </w:tcPr>
          <w:p>
            <w:pPr>
              <w:widowControl/>
              <w:jc w:val="center"/>
              <w:textAlignment w:val="center"/>
              <w:rPr>
                <w:rFonts w:ascii="宋体" w:hAnsi="宋体" w:cs="宋体"/>
                <w:color w:val="000000"/>
              </w:rPr>
            </w:pPr>
          </w:p>
        </w:tc>
      </w:tr>
      <w:tr>
        <w:tblPrEx>
          <w:tblCellMar>
            <w:top w:w="0" w:type="dxa"/>
            <w:left w:w="108" w:type="dxa"/>
            <w:bottom w:w="0" w:type="dxa"/>
            <w:right w:w="108" w:type="dxa"/>
          </w:tblCellMar>
        </w:tblPrEx>
        <w:trPr>
          <w:trHeight w:val="414" w:hRule="atLeast"/>
        </w:trPr>
        <w:tc>
          <w:tcPr>
            <w:tcW w:w="735"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rPr>
              <w:t>7</w:t>
            </w:r>
          </w:p>
        </w:tc>
        <w:tc>
          <w:tcPr>
            <w:tcW w:w="2384"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rPr>
            </w:pPr>
            <w:r>
              <w:rPr>
                <w:rFonts w:hint="eastAsia" w:ascii="宋体" w:hAnsi="宋体" w:cs="宋体"/>
                <w:color w:val="000000"/>
                <w:kern w:val="0"/>
              </w:rPr>
              <w:t>污物梯</w:t>
            </w:r>
          </w:p>
        </w:tc>
        <w:tc>
          <w:tcPr>
            <w:tcW w:w="2409"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textAlignment w:val="center"/>
              <w:rPr>
                <w:rFonts w:ascii="宋体" w:hAnsi="宋体" w:cs="宋体"/>
                <w:color w:val="000000"/>
              </w:rPr>
            </w:pPr>
            <w:r>
              <w:rPr>
                <w:rFonts w:hint="eastAsia" w:ascii="宋体" w:hAnsi="宋体" w:cs="宋体"/>
                <w:color w:val="000000"/>
                <w:kern w:val="0"/>
              </w:rPr>
              <w:t>21层21站</w:t>
            </w:r>
          </w:p>
        </w:tc>
        <w:tc>
          <w:tcPr>
            <w:tcW w:w="2054" w:type="dxa"/>
            <w:vMerge w:val="continue"/>
            <w:tcBorders>
              <w:left w:val="single" w:color="000000" w:sz="4" w:space="0"/>
              <w:right w:val="single" w:color="auto" w:sz="4" w:space="0"/>
            </w:tcBorders>
            <w:shd w:val="clear" w:color="auto" w:fill="auto"/>
            <w:vAlign w:val="center"/>
          </w:tcPr>
          <w:p>
            <w:pPr>
              <w:widowControl/>
              <w:textAlignment w:val="center"/>
              <w:rPr>
                <w:rFonts w:ascii="宋体" w:hAnsi="宋体" w:cs="宋体"/>
                <w:color w:val="000000"/>
              </w:rPr>
            </w:pPr>
          </w:p>
        </w:tc>
        <w:tc>
          <w:tcPr>
            <w:tcW w:w="1632" w:type="dxa"/>
            <w:vMerge w:val="continue"/>
            <w:tcBorders>
              <w:left w:val="single" w:color="auto" w:sz="4" w:space="0"/>
              <w:right w:val="single" w:color="000000" w:sz="4" w:space="0"/>
            </w:tcBorders>
            <w:shd w:val="clear" w:color="auto" w:fill="auto"/>
            <w:vAlign w:val="center"/>
          </w:tcPr>
          <w:p>
            <w:pPr>
              <w:widowControl/>
              <w:jc w:val="center"/>
              <w:textAlignment w:val="center"/>
              <w:rPr>
                <w:rFonts w:ascii="宋体" w:hAnsi="宋体" w:cs="宋体"/>
                <w:color w:val="000000"/>
              </w:rPr>
            </w:pPr>
          </w:p>
        </w:tc>
      </w:tr>
      <w:tr>
        <w:tblPrEx>
          <w:tblCellMar>
            <w:top w:w="0" w:type="dxa"/>
            <w:left w:w="108" w:type="dxa"/>
            <w:bottom w:w="0" w:type="dxa"/>
            <w:right w:w="108" w:type="dxa"/>
          </w:tblCellMar>
        </w:tblPrEx>
        <w:trPr>
          <w:trHeight w:val="421" w:hRule="atLeast"/>
        </w:trPr>
        <w:tc>
          <w:tcPr>
            <w:tcW w:w="735"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rPr>
              <w:t>8</w:t>
            </w:r>
          </w:p>
        </w:tc>
        <w:tc>
          <w:tcPr>
            <w:tcW w:w="2384"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rPr>
            </w:pPr>
            <w:r>
              <w:rPr>
                <w:rFonts w:hint="eastAsia" w:ascii="宋体" w:hAnsi="宋体" w:cs="宋体"/>
                <w:color w:val="000000"/>
                <w:kern w:val="0"/>
              </w:rPr>
              <w:t>4层无机房</w:t>
            </w:r>
          </w:p>
        </w:tc>
        <w:tc>
          <w:tcPr>
            <w:tcW w:w="2409"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textAlignment w:val="center"/>
              <w:rPr>
                <w:rFonts w:ascii="宋体" w:hAnsi="宋体" w:cs="宋体"/>
                <w:color w:val="000000"/>
              </w:rPr>
            </w:pPr>
            <w:r>
              <w:rPr>
                <w:rFonts w:hint="eastAsia" w:ascii="宋体" w:hAnsi="宋体" w:cs="宋体"/>
                <w:color w:val="000000"/>
                <w:kern w:val="0"/>
              </w:rPr>
              <w:t>4层4站</w:t>
            </w:r>
          </w:p>
        </w:tc>
        <w:tc>
          <w:tcPr>
            <w:tcW w:w="2054" w:type="dxa"/>
            <w:vMerge w:val="continue"/>
            <w:tcBorders>
              <w:left w:val="single" w:color="000000" w:sz="4" w:space="0"/>
              <w:right w:val="single" w:color="auto" w:sz="4" w:space="0"/>
            </w:tcBorders>
            <w:shd w:val="clear" w:color="auto" w:fill="auto"/>
            <w:vAlign w:val="center"/>
          </w:tcPr>
          <w:p>
            <w:pPr>
              <w:widowControl/>
              <w:textAlignment w:val="center"/>
              <w:rPr>
                <w:rFonts w:ascii="宋体" w:hAnsi="宋体" w:cs="宋体"/>
                <w:color w:val="000000"/>
              </w:rPr>
            </w:pPr>
          </w:p>
        </w:tc>
        <w:tc>
          <w:tcPr>
            <w:tcW w:w="1632" w:type="dxa"/>
            <w:vMerge w:val="continue"/>
            <w:tcBorders>
              <w:left w:val="single" w:color="auto" w:sz="4" w:space="0"/>
              <w:right w:val="single" w:color="000000" w:sz="4" w:space="0"/>
            </w:tcBorders>
            <w:shd w:val="clear" w:color="auto" w:fill="auto"/>
            <w:vAlign w:val="center"/>
          </w:tcPr>
          <w:p>
            <w:pPr>
              <w:widowControl/>
              <w:jc w:val="center"/>
              <w:textAlignment w:val="center"/>
              <w:rPr>
                <w:rFonts w:ascii="宋体" w:hAnsi="宋体" w:cs="宋体"/>
                <w:color w:val="000000"/>
              </w:rPr>
            </w:pPr>
          </w:p>
        </w:tc>
      </w:tr>
      <w:tr>
        <w:tblPrEx>
          <w:tblCellMar>
            <w:top w:w="0" w:type="dxa"/>
            <w:left w:w="108" w:type="dxa"/>
            <w:bottom w:w="0" w:type="dxa"/>
            <w:right w:w="108" w:type="dxa"/>
          </w:tblCellMar>
        </w:tblPrEx>
        <w:trPr>
          <w:trHeight w:val="413" w:hRule="atLeast"/>
        </w:trPr>
        <w:tc>
          <w:tcPr>
            <w:tcW w:w="735"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rPr>
              <w:t>9</w:t>
            </w:r>
          </w:p>
        </w:tc>
        <w:tc>
          <w:tcPr>
            <w:tcW w:w="2384"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rPr>
            </w:pPr>
            <w:r>
              <w:rPr>
                <w:rFonts w:hint="eastAsia" w:ascii="宋体" w:hAnsi="宋体" w:cs="宋体"/>
                <w:color w:val="000000"/>
                <w:kern w:val="0"/>
              </w:rPr>
              <w:t>后勤综合楼</w:t>
            </w:r>
          </w:p>
        </w:tc>
        <w:tc>
          <w:tcPr>
            <w:tcW w:w="2409"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textAlignment w:val="center"/>
              <w:rPr>
                <w:rFonts w:ascii="宋体" w:hAnsi="宋体" w:cs="宋体"/>
                <w:color w:val="000000"/>
              </w:rPr>
            </w:pPr>
            <w:r>
              <w:rPr>
                <w:rFonts w:hint="eastAsia" w:ascii="宋体" w:hAnsi="宋体" w:cs="宋体"/>
                <w:color w:val="000000"/>
                <w:kern w:val="0"/>
              </w:rPr>
              <w:t>9层9站</w:t>
            </w:r>
          </w:p>
        </w:tc>
        <w:tc>
          <w:tcPr>
            <w:tcW w:w="2054" w:type="dxa"/>
            <w:vMerge w:val="continue"/>
            <w:tcBorders>
              <w:left w:val="single" w:color="000000" w:sz="4" w:space="0"/>
              <w:right w:val="single" w:color="auto" w:sz="4" w:space="0"/>
            </w:tcBorders>
            <w:shd w:val="clear" w:color="auto" w:fill="auto"/>
            <w:vAlign w:val="center"/>
          </w:tcPr>
          <w:p>
            <w:pPr>
              <w:widowControl/>
              <w:textAlignment w:val="center"/>
              <w:rPr>
                <w:rFonts w:ascii="宋体" w:hAnsi="宋体" w:cs="宋体"/>
                <w:color w:val="000000"/>
              </w:rPr>
            </w:pPr>
          </w:p>
        </w:tc>
        <w:tc>
          <w:tcPr>
            <w:tcW w:w="1632" w:type="dxa"/>
            <w:vMerge w:val="continue"/>
            <w:tcBorders>
              <w:left w:val="single" w:color="auto" w:sz="4" w:space="0"/>
              <w:right w:val="single" w:color="000000" w:sz="4" w:space="0"/>
            </w:tcBorders>
            <w:shd w:val="clear" w:color="auto" w:fill="auto"/>
            <w:vAlign w:val="center"/>
          </w:tcPr>
          <w:p>
            <w:pPr>
              <w:widowControl/>
              <w:jc w:val="center"/>
              <w:textAlignment w:val="center"/>
              <w:rPr>
                <w:rFonts w:ascii="宋体" w:hAnsi="宋体" w:cs="宋体"/>
                <w:color w:val="000000"/>
              </w:rPr>
            </w:pPr>
          </w:p>
        </w:tc>
      </w:tr>
      <w:tr>
        <w:tblPrEx>
          <w:tblCellMar>
            <w:top w:w="0" w:type="dxa"/>
            <w:left w:w="108" w:type="dxa"/>
            <w:bottom w:w="0" w:type="dxa"/>
            <w:right w:w="108" w:type="dxa"/>
          </w:tblCellMar>
        </w:tblPrEx>
        <w:trPr>
          <w:trHeight w:val="418" w:hRule="atLeast"/>
        </w:trPr>
        <w:tc>
          <w:tcPr>
            <w:tcW w:w="735"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rPr>
              <w:t>10</w:t>
            </w:r>
          </w:p>
        </w:tc>
        <w:tc>
          <w:tcPr>
            <w:tcW w:w="2384"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rPr>
            </w:pPr>
            <w:r>
              <w:rPr>
                <w:rFonts w:hint="eastAsia" w:ascii="宋体" w:hAnsi="宋体" w:cs="宋体"/>
                <w:color w:val="000000"/>
                <w:kern w:val="0"/>
              </w:rPr>
              <w:t>内科楼右梯</w:t>
            </w:r>
          </w:p>
        </w:tc>
        <w:tc>
          <w:tcPr>
            <w:tcW w:w="2409"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textAlignment w:val="center"/>
              <w:rPr>
                <w:rFonts w:ascii="宋体" w:hAnsi="宋体" w:cs="宋体"/>
                <w:color w:val="000000"/>
              </w:rPr>
            </w:pPr>
            <w:r>
              <w:rPr>
                <w:rFonts w:hint="eastAsia" w:ascii="宋体" w:hAnsi="宋体" w:cs="宋体"/>
                <w:color w:val="000000"/>
                <w:kern w:val="0"/>
              </w:rPr>
              <w:t>11层11站</w:t>
            </w:r>
          </w:p>
        </w:tc>
        <w:tc>
          <w:tcPr>
            <w:tcW w:w="2054" w:type="dxa"/>
            <w:vMerge w:val="continue"/>
            <w:tcBorders>
              <w:left w:val="single" w:color="000000" w:sz="4" w:space="0"/>
              <w:right w:val="single" w:color="auto" w:sz="4" w:space="0"/>
            </w:tcBorders>
            <w:shd w:val="clear" w:color="auto" w:fill="auto"/>
            <w:vAlign w:val="center"/>
          </w:tcPr>
          <w:p>
            <w:pPr>
              <w:widowControl/>
              <w:textAlignment w:val="center"/>
              <w:rPr>
                <w:rFonts w:ascii="宋体" w:hAnsi="宋体" w:cs="宋体"/>
                <w:color w:val="000000"/>
              </w:rPr>
            </w:pPr>
          </w:p>
        </w:tc>
        <w:tc>
          <w:tcPr>
            <w:tcW w:w="1632" w:type="dxa"/>
            <w:vMerge w:val="continue"/>
            <w:tcBorders>
              <w:left w:val="single" w:color="auto" w:sz="4" w:space="0"/>
              <w:right w:val="single" w:color="000000" w:sz="4" w:space="0"/>
            </w:tcBorders>
            <w:shd w:val="clear" w:color="auto" w:fill="auto"/>
            <w:vAlign w:val="center"/>
          </w:tcPr>
          <w:p>
            <w:pPr>
              <w:widowControl/>
              <w:jc w:val="center"/>
              <w:textAlignment w:val="center"/>
              <w:rPr>
                <w:rFonts w:ascii="宋体" w:hAnsi="宋体" w:cs="宋体"/>
                <w:color w:val="000000"/>
              </w:rPr>
            </w:pPr>
          </w:p>
        </w:tc>
      </w:tr>
      <w:tr>
        <w:tblPrEx>
          <w:tblCellMar>
            <w:top w:w="0" w:type="dxa"/>
            <w:left w:w="108" w:type="dxa"/>
            <w:bottom w:w="0" w:type="dxa"/>
            <w:right w:w="108" w:type="dxa"/>
          </w:tblCellMar>
        </w:tblPrEx>
        <w:trPr>
          <w:trHeight w:val="269" w:hRule="atLeast"/>
        </w:trPr>
        <w:tc>
          <w:tcPr>
            <w:tcW w:w="735"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rPr>
              <w:t>11</w:t>
            </w:r>
          </w:p>
        </w:tc>
        <w:tc>
          <w:tcPr>
            <w:tcW w:w="2384"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rPr>
            </w:pPr>
            <w:r>
              <w:rPr>
                <w:rFonts w:hint="eastAsia" w:ascii="宋体" w:hAnsi="宋体" w:cs="宋体"/>
                <w:color w:val="000000"/>
                <w:kern w:val="0"/>
              </w:rPr>
              <w:t>内科楼中梯</w:t>
            </w:r>
          </w:p>
        </w:tc>
        <w:tc>
          <w:tcPr>
            <w:tcW w:w="2409"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textAlignment w:val="center"/>
              <w:rPr>
                <w:rFonts w:ascii="宋体" w:hAnsi="宋体" w:cs="宋体"/>
                <w:color w:val="000000"/>
              </w:rPr>
            </w:pPr>
            <w:r>
              <w:rPr>
                <w:rFonts w:hint="eastAsia" w:ascii="宋体" w:hAnsi="宋体" w:cs="宋体"/>
                <w:color w:val="000000"/>
                <w:kern w:val="0"/>
              </w:rPr>
              <w:t>11层11站</w:t>
            </w:r>
          </w:p>
        </w:tc>
        <w:tc>
          <w:tcPr>
            <w:tcW w:w="2054" w:type="dxa"/>
            <w:vMerge w:val="continue"/>
            <w:tcBorders>
              <w:left w:val="single" w:color="000000" w:sz="4" w:space="0"/>
              <w:right w:val="single" w:color="auto" w:sz="4" w:space="0"/>
            </w:tcBorders>
            <w:shd w:val="clear" w:color="auto" w:fill="auto"/>
            <w:vAlign w:val="center"/>
          </w:tcPr>
          <w:p>
            <w:pPr>
              <w:widowControl/>
              <w:textAlignment w:val="center"/>
              <w:rPr>
                <w:rFonts w:ascii="宋体" w:hAnsi="宋体" w:cs="宋体"/>
                <w:color w:val="000000"/>
              </w:rPr>
            </w:pPr>
          </w:p>
        </w:tc>
        <w:tc>
          <w:tcPr>
            <w:tcW w:w="1632" w:type="dxa"/>
            <w:vMerge w:val="continue"/>
            <w:tcBorders>
              <w:left w:val="single" w:color="auto" w:sz="4" w:space="0"/>
              <w:right w:val="single" w:color="000000" w:sz="4" w:space="0"/>
            </w:tcBorders>
            <w:shd w:val="clear" w:color="auto" w:fill="auto"/>
            <w:vAlign w:val="center"/>
          </w:tcPr>
          <w:p>
            <w:pPr>
              <w:widowControl/>
              <w:jc w:val="center"/>
              <w:textAlignment w:val="center"/>
              <w:rPr>
                <w:rFonts w:ascii="宋体" w:hAnsi="宋体" w:cs="宋体"/>
                <w:color w:val="000000"/>
              </w:rPr>
            </w:pPr>
          </w:p>
        </w:tc>
      </w:tr>
      <w:tr>
        <w:tblPrEx>
          <w:tblCellMar>
            <w:top w:w="0" w:type="dxa"/>
            <w:left w:w="108" w:type="dxa"/>
            <w:bottom w:w="0" w:type="dxa"/>
            <w:right w:w="108" w:type="dxa"/>
          </w:tblCellMar>
        </w:tblPrEx>
        <w:trPr>
          <w:trHeight w:val="373" w:hRule="atLeast"/>
        </w:trPr>
        <w:tc>
          <w:tcPr>
            <w:tcW w:w="735"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rPr>
              <w:t>12</w:t>
            </w:r>
          </w:p>
        </w:tc>
        <w:tc>
          <w:tcPr>
            <w:tcW w:w="2384"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rPr>
            </w:pPr>
            <w:r>
              <w:rPr>
                <w:rFonts w:hint="eastAsia" w:ascii="宋体" w:hAnsi="宋体" w:cs="宋体"/>
                <w:color w:val="000000"/>
                <w:kern w:val="0"/>
              </w:rPr>
              <w:t>内科楼左梯</w:t>
            </w:r>
          </w:p>
        </w:tc>
        <w:tc>
          <w:tcPr>
            <w:tcW w:w="2409"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textAlignment w:val="center"/>
              <w:rPr>
                <w:rFonts w:ascii="宋体" w:hAnsi="宋体" w:cs="宋体"/>
                <w:color w:val="000000"/>
              </w:rPr>
            </w:pPr>
            <w:r>
              <w:rPr>
                <w:rFonts w:hint="eastAsia" w:ascii="宋体" w:hAnsi="宋体" w:cs="宋体"/>
                <w:color w:val="000000"/>
                <w:kern w:val="0"/>
              </w:rPr>
              <w:t>11层11站</w:t>
            </w:r>
          </w:p>
        </w:tc>
        <w:tc>
          <w:tcPr>
            <w:tcW w:w="2054" w:type="dxa"/>
            <w:vMerge w:val="continue"/>
            <w:tcBorders>
              <w:left w:val="single" w:color="000000" w:sz="4" w:space="0"/>
              <w:right w:val="single" w:color="auto" w:sz="4" w:space="0"/>
            </w:tcBorders>
            <w:shd w:val="clear" w:color="auto" w:fill="auto"/>
            <w:vAlign w:val="center"/>
          </w:tcPr>
          <w:p>
            <w:pPr>
              <w:widowControl/>
              <w:textAlignment w:val="center"/>
              <w:rPr>
                <w:rFonts w:ascii="宋体" w:hAnsi="宋体" w:cs="宋体"/>
                <w:color w:val="000000"/>
              </w:rPr>
            </w:pPr>
          </w:p>
        </w:tc>
        <w:tc>
          <w:tcPr>
            <w:tcW w:w="1632" w:type="dxa"/>
            <w:vMerge w:val="continue"/>
            <w:tcBorders>
              <w:left w:val="single" w:color="auto" w:sz="4" w:space="0"/>
              <w:right w:val="single" w:color="000000" w:sz="4" w:space="0"/>
            </w:tcBorders>
            <w:shd w:val="clear" w:color="auto" w:fill="auto"/>
            <w:vAlign w:val="center"/>
          </w:tcPr>
          <w:p>
            <w:pPr>
              <w:widowControl/>
              <w:jc w:val="center"/>
              <w:textAlignment w:val="center"/>
              <w:rPr>
                <w:rFonts w:ascii="宋体" w:hAnsi="宋体" w:cs="宋体"/>
                <w:color w:val="000000"/>
              </w:rPr>
            </w:pPr>
          </w:p>
        </w:tc>
      </w:tr>
      <w:tr>
        <w:tblPrEx>
          <w:tblCellMar>
            <w:top w:w="0" w:type="dxa"/>
            <w:left w:w="108" w:type="dxa"/>
            <w:bottom w:w="0" w:type="dxa"/>
            <w:right w:w="108" w:type="dxa"/>
          </w:tblCellMar>
        </w:tblPrEx>
        <w:trPr>
          <w:trHeight w:val="406" w:hRule="atLeast"/>
        </w:trPr>
        <w:tc>
          <w:tcPr>
            <w:tcW w:w="735"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rPr>
              <w:t>13</w:t>
            </w:r>
          </w:p>
        </w:tc>
        <w:tc>
          <w:tcPr>
            <w:tcW w:w="2384"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rPr>
            </w:pPr>
            <w:r>
              <w:rPr>
                <w:rFonts w:hint="eastAsia" w:ascii="宋体" w:hAnsi="宋体" w:cs="宋体"/>
                <w:color w:val="000000"/>
                <w:kern w:val="0"/>
              </w:rPr>
              <w:t>1上2层扶梯</w:t>
            </w:r>
          </w:p>
        </w:tc>
        <w:tc>
          <w:tcPr>
            <w:tcW w:w="2409"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textAlignment w:val="center"/>
              <w:rPr>
                <w:rFonts w:ascii="宋体" w:hAnsi="宋体" w:cs="宋体"/>
                <w:color w:val="000000"/>
              </w:rPr>
            </w:pPr>
            <w:r>
              <w:rPr>
                <w:rFonts w:hint="eastAsia" w:ascii="宋体" w:hAnsi="宋体" w:cs="宋体"/>
                <w:color w:val="000000"/>
                <w:kern w:val="0"/>
              </w:rPr>
              <w:t>4.05米</w:t>
            </w:r>
          </w:p>
        </w:tc>
        <w:tc>
          <w:tcPr>
            <w:tcW w:w="2054" w:type="dxa"/>
            <w:vMerge w:val="continue"/>
            <w:tcBorders>
              <w:left w:val="single" w:color="000000" w:sz="4" w:space="0"/>
              <w:right w:val="single" w:color="auto" w:sz="4" w:space="0"/>
            </w:tcBorders>
            <w:shd w:val="clear" w:color="auto" w:fill="auto"/>
            <w:vAlign w:val="center"/>
          </w:tcPr>
          <w:p>
            <w:pPr>
              <w:widowControl/>
              <w:textAlignment w:val="center"/>
              <w:rPr>
                <w:rFonts w:ascii="宋体" w:hAnsi="宋体" w:cs="宋体"/>
                <w:color w:val="000000"/>
              </w:rPr>
            </w:pPr>
          </w:p>
        </w:tc>
        <w:tc>
          <w:tcPr>
            <w:tcW w:w="1632" w:type="dxa"/>
            <w:vMerge w:val="continue"/>
            <w:tcBorders>
              <w:left w:val="single" w:color="auto" w:sz="4" w:space="0"/>
              <w:right w:val="single" w:color="000000" w:sz="4" w:space="0"/>
            </w:tcBorders>
            <w:shd w:val="clear" w:color="auto" w:fill="auto"/>
            <w:vAlign w:val="center"/>
          </w:tcPr>
          <w:p>
            <w:pPr>
              <w:widowControl/>
              <w:jc w:val="center"/>
              <w:textAlignment w:val="center"/>
              <w:rPr>
                <w:rFonts w:ascii="宋体" w:hAnsi="宋体" w:cs="宋体"/>
                <w:color w:val="000000"/>
              </w:rPr>
            </w:pPr>
          </w:p>
        </w:tc>
      </w:tr>
      <w:tr>
        <w:tblPrEx>
          <w:tblCellMar>
            <w:top w:w="0" w:type="dxa"/>
            <w:left w:w="108" w:type="dxa"/>
            <w:bottom w:w="0" w:type="dxa"/>
            <w:right w:w="108" w:type="dxa"/>
          </w:tblCellMar>
        </w:tblPrEx>
        <w:trPr>
          <w:trHeight w:val="427" w:hRule="atLeast"/>
        </w:trPr>
        <w:tc>
          <w:tcPr>
            <w:tcW w:w="735"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rPr>
              <w:t>14</w:t>
            </w:r>
          </w:p>
        </w:tc>
        <w:tc>
          <w:tcPr>
            <w:tcW w:w="2384"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rPr>
            </w:pPr>
            <w:r>
              <w:rPr>
                <w:rFonts w:hint="eastAsia" w:ascii="宋体" w:hAnsi="宋体" w:cs="宋体"/>
                <w:color w:val="000000"/>
                <w:kern w:val="0"/>
              </w:rPr>
              <w:t>2上3层扶梯</w:t>
            </w:r>
          </w:p>
        </w:tc>
        <w:tc>
          <w:tcPr>
            <w:tcW w:w="2409"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textAlignment w:val="center"/>
              <w:rPr>
                <w:rFonts w:ascii="宋体" w:hAnsi="宋体" w:cs="宋体"/>
                <w:color w:val="000000"/>
              </w:rPr>
            </w:pPr>
            <w:r>
              <w:rPr>
                <w:rFonts w:hint="eastAsia" w:ascii="宋体" w:hAnsi="宋体" w:cs="宋体"/>
                <w:color w:val="000000"/>
                <w:kern w:val="0"/>
              </w:rPr>
              <w:t>3.5米</w:t>
            </w:r>
          </w:p>
        </w:tc>
        <w:tc>
          <w:tcPr>
            <w:tcW w:w="2054" w:type="dxa"/>
            <w:vMerge w:val="continue"/>
            <w:tcBorders>
              <w:left w:val="single" w:color="000000" w:sz="4" w:space="0"/>
              <w:right w:val="single" w:color="auto" w:sz="4" w:space="0"/>
            </w:tcBorders>
            <w:shd w:val="clear" w:color="auto" w:fill="auto"/>
            <w:vAlign w:val="center"/>
          </w:tcPr>
          <w:p>
            <w:pPr>
              <w:widowControl/>
              <w:textAlignment w:val="center"/>
              <w:rPr>
                <w:rFonts w:ascii="宋体" w:hAnsi="宋体" w:cs="宋体"/>
                <w:color w:val="000000"/>
              </w:rPr>
            </w:pPr>
          </w:p>
        </w:tc>
        <w:tc>
          <w:tcPr>
            <w:tcW w:w="1632" w:type="dxa"/>
            <w:vMerge w:val="continue"/>
            <w:tcBorders>
              <w:left w:val="single" w:color="auto" w:sz="4" w:space="0"/>
              <w:right w:val="single" w:color="000000" w:sz="4" w:space="0"/>
            </w:tcBorders>
            <w:shd w:val="clear" w:color="auto" w:fill="auto"/>
            <w:vAlign w:val="center"/>
          </w:tcPr>
          <w:p>
            <w:pPr>
              <w:widowControl/>
              <w:jc w:val="center"/>
              <w:textAlignment w:val="center"/>
              <w:rPr>
                <w:rFonts w:ascii="宋体" w:hAnsi="宋体" w:cs="宋体"/>
                <w:color w:val="000000"/>
              </w:rPr>
            </w:pPr>
          </w:p>
        </w:tc>
      </w:tr>
      <w:tr>
        <w:tblPrEx>
          <w:tblCellMar>
            <w:top w:w="0" w:type="dxa"/>
            <w:left w:w="108" w:type="dxa"/>
            <w:bottom w:w="0" w:type="dxa"/>
            <w:right w:w="108" w:type="dxa"/>
          </w:tblCellMar>
        </w:tblPrEx>
        <w:trPr>
          <w:trHeight w:val="277" w:hRule="atLeast"/>
        </w:trPr>
        <w:tc>
          <w:tcPr>
            <w:tcW w:w="735"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rPr>
              <w:t>15</w:t>
            </w:r>
          </w:p>
        </w:tc>
        <w:tc>
          <w:tcPr>
            <w:tcW w:w="2384"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rPr>
            </w:pPr>
            <w:r>
              <w:rPr>
                <w:rFonts w:hint="eastAsia" w:ascii="宋体" w:hAnsi="宋体" w:cs="宋体"/>
                <w:color w:val="000000"/>
                <w:kern w:val="0"/>
              </w:rPr>
              <w:t>桂东养老院</w:t>
            </w:r>
          </w:p>
        </w:tc>
        <w:tc>
          <w:tcPr>
            <w:tcW w:w="2409"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textAlignment w:val="center"/>
              <w:rPr>
                <w:rFonts w:ascii="宋体" w:hAnsi="宋体" w:cs="宋体"/>
                <w:color w:val="000000"/>
              </w:rPr>
            </w:pPr>
            <w:r>
              <w:rPr>
                <w:rFonts w:hint="eastAsia" w:ascii="宋体" w:hAnsi="宋体" w:cs="宋体"/>
                <w:color w:val="000000"/>
                <w:kern w:val="0"/>
              </w:rPr>
              <w:t>7层7站</w:t>
            </w:r>
          </w:p>
        </w:tc>
        <w:tc>
          <w:tcPr>
            <w:tcW w:w="2054" w:type="dxa"/>
            <w:vMerge w:val="continue"/>
            <w:tcBorders>
              <w:left w:val="single" w:color="000000" w:sz="4" w:space="0"/>
              <w:bottom w:val="single" w:color="000000" w:sz="4" w:space="0"/>
              <w:right w:val="single" w:color="auto" w:sz="4" w:space="0"/>
            </w:tcBorders>
            <w:shd w:val="clear" w:color="auto" w:fill="auto"/>
            <w:vAlign w:val="center"/>
          </w:tcPr>
          <w:p>
            <w:pPr>
              <w:widowControl/>
              <w:textAlignment w:val="center"/>
              <w:rPr>
                <w:rFonts w:ascii="宋体" w:hAnsi="宋体" w:cs="宋体"/>
                <w:color w:val="000000"/>
              </w:rPr>
            </w:pPr>
          </w:p>
        </w:tc>
        <w:tc>
          <w:tcPr>
            <w:tcW w:w="1632" w:type="dxa"/>
            <w:vMerge w:val="continue"/>
            <w:tcBorders>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rPr>
            </w:pPr>
          </w:p>
        </w:tc>
      </w:tr>
    </w:tbl>
    <w:p>
      <w:pPr>
        <w:pStyle w:val="2"/>
      </w:pPr>
      <w:r>
        <w:rPr>
          <w:rFonts w:hint="eastAsia" w:cs="宋体"/>
          <w:b/>
          <w:bCs/>
        </w:rPr>
        <w:t>（二）技术规格参数</w:t>
      </w:r>
    </w:p>
    <w:p>
      <w:pPr>
        <w:pStyle w:val="4"/>
        <w:tabs>
          <w:tab w:val="left" w:pos="804"/>
        </w:tabs>
        <w:spacing w:after="27" w:line="432" w:lineRule="exact"/>
        <w:ind w:left="0"/>
        <w:rPr>
          <w:rFonts w:ascii="宋体" w:hAnsi="宋体" w:eastAsia="宋体"/>
          <w:b w:val="0"/>
          <w:sz w:val="21"/>
          <w:szCs w:val="21"/>
        </w:rPr>
      </w:pPr>
      <w:r>
        <w:rPr>
          <w:rFonts w:hint="eastAsia" w:ascii="宋体" w:hAnsi="宋体" w:eastAsia="宋体"/>
          <w:b w:val="0"/>
          <w:w w:val="105"/>
          <w:sz w:val="21"/>
          <w:szCs w:val="21"/>
        </w:rPr>
        <w:t>1.曳引与强制驱动电梯维护保养项目</w:t>
      </w:r>
      <w:r>
        <w:rPr>
          <w:rFonts w:hint="eastAsia" w:ascii="宋体" w:hAnsi="宋体" w:eastAsia="宋体"/>
          <w:b w:val="0"/>
          <w:w w:val="120"/>
          <w:sz w:val="21"/>
          <w:szCs w:val="21"/>
        </w:rPr>
        <w:t>(</w:t>
      </w:r>
      <w:r>
        <w:rPr>
          <w:rFonts w:hint="eastAsia" w:ascii="宋体" w:hAnsi="宋体" w:eastAsia="宋体"/>
          <w:b w:val="0"/>
          <w:w w:val="105"/>
          <w:sz w:val="21"/>
          <w:szCs w:val="21"/>
        </w:rPr>
        <w:t>内容</w:t>
      </w:r>
      <w:r>
        <w:rPr>
          <w:rFonts w:hint="eastAsia" w:ascii="宋体" w:hAnsi="宋体" w:eastAsia="宋体"/>
          <w:b w:val="0"/>
          <w:w w:val="120"/>
          <w:sz w:val="21"/>
          <w:szCs w:val="21"/>
        </w:rPr>
        <w:t>)</w:t>
      </w:r>
      <w:r>
        <w:rPr>
          <w:rFonts w:hint="eastAsia" w:ascii="宋体" w:hAnsi="宋体" w:eastAsia="宋体"/>
          <w:b w:val="0"/>
          <w:w w:val="105"/>
          <w:sz w:val="21"/>
          <w:szCs w:val="21"/>
        </w:rPr>
        <w:t>和要求</w:t>
      </w:r>
    </w:p>
    <w:tbl>
      <w:tblPr>
        <w:tblStyle w:val="12"/>
        <w:tblW w:w="0" w:type="auto"/>
        <w:tblInd w:w="1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4020"/>
        <w:gridCol w:w="43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826" w:type="dxa"/>
          </w:tcPr>
          <w:p>
            <w:pPr>
              <w:pStyle w:val="28"/>
              <w:spacing w:before="79"/>
              <w:ind w:left="152" w:right="143"/>
              <w:jc w:val="center"/>
              <w:rPr>
                <w:szCs w:val="21"/>
              </w:rPr>
            </w:pPr>
            <w:r>
              <w:rPr>
                <w:szCs w:val="21"/>
              </w:rPr>
              <w:t>序号</w:t>
            </w:r>
          </w:p>
        </w:tc>
        <w:tc>
          <w:tcPr>
            <w:tcW w:w="4020" w:type="dxa"/>
          </w:tcPr>
          <w:p>
            <w:pPr>
              <w:pStyle w:val="28"/>
              <w:spacing w:before="79"/>
              <w:ind w:left="1168"/>
              <w:jc w:val="left"/>
              <w:rPr>
                <w:szCs w:val="21"/>
              </w:rPr>
            </w:pPr>
            <w:r>
              <w:rPr>
                <w:szCs w:val="21"/>
              </w:rPr>
              <w:t>维护保养项目(内容)</w:t>
            </w:r>
          </w:p>
        </w:tc>
        <w:tc>
          <w:tcPr>
            <w:tcW w:w="4350" w:type="dxa"/>
          </w:tcPr>
          <w:p>
            <w:pPr>
              <w:pStyle w:val="28"/>
              <w:spacing w:before="79"/>
              <w:ind w:left="973"/>
              <w:rPr>
                <w:szCs w:val="21"/>
              </w:rPr>
            </w:pPr>
            <w:r>
              <w:rPr>
                <w:szCs w:val="21"/>
              </w:rPr>
              <w:t>维护保养基本要求</w:t>
            </w:r>
            <w:r>
              <w:rPr>
                <w:rFonts w:hint="eastAsia"/>
                <w:b/>
                <w:bCs/>
                <w:color w:val="FF000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826" w:type="dxa"/>
          </w:tcPr>
          <w:p>
            <w:pPr>
              <w:pStyle w:val="28"/>
              <w:spacing w:before="79"/>
              <w:ind w:left="9"/>
              <w:jc w:val="center"/>
              <w:rPr>
                <w:szCs w:val="21"/>
              </w:rPr>
            </w:pPr>
            <w:r>
              <w:rPr>
                <w:szCs w:val="21"/>
              </w:rPr>
              <w:t>1</w:t>
            </w:r>
          </w:p>
        </w:tc>
        <w:tc>
          <w:tcPr>
            <w:tcW w:w="4020" w:type="dxa"/>
          </w:tcPr>
          <w:p>
            <w:pPr>
              <w:pStyle w:val="28"/>
              <w:spacing w:before="79"/>
              <w:ind w:left="1288"/>
              <w:jc w:val="left"/>
              <w:rPr>
                <w:szCs w:val="21"/>
              </w:rPr>
            </w:pPr>
            <w:r>
              <w:rPr>
                <w:szCs w:val="21"/>
              </w:rPr>
              <w:t>机房、滑轮间环境</w:t>
            </w:r>
          </w:p>
        </w:tc>
        <w:tc>
          <w:tcPr>
            <w:tcW w:w="4350" w:type="dxa"/>
          </w:tcPr>
          <w:p>
            <w:pPr>
              <w:pStyle w:val="28"/>
              <w:spacing w:before="79"/>
              <w:ind w:left="493"/>
              <w:rPr>
                <w:szCs w:val="21"/>
              </w:rPr>
            </w:pPr>
            <w:r>
              <w:rPr>
                <w:szCs w:val="21"/>
              </w:rPr>
              <w:t>清洁，门窗完好，照明正常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826" w:type="dxa"/>
          </w:tcPr>
          <w:p>
            <w:pPr>
              <w:pStyle w:val="28"/>
              <w:spacing w:before="79"/>
              <w:ind w:left="9"/>
              <w:jc w:val="center"/>
              <w:rPr>
                <w:szCs w:val="21"/>
              </w:rPr>
            </w:pPr>
            <w:r>
              <w:rPr>
                <w:szCs w:val="21"/>
              </w:rPr>
              <w:t>2</w:t>
            </w:r>
          </w:p>
        </w:tc>
        <w:tc>
          <w:tcPr>
            <w:tcW w:w="4020" w:type="dxa"/>
          </w:tcPr>
          <w:p>
            <w:pPr>
              <w:pStyle w:val="28"/>
              <w:spacing w:before="79"/>
              <w:ind w:left="1288"/>
              <w:jc w:val="left"/>
              <w:rPr>
                <w:szCs w:val="21"/>
              </w:rPr>
            </w:pPr>
            <w:r>
              <w:rPr>
                <w:szCs w:val="21"/>
              </w:rPr>
              <w:t>手动紧急操作装置</w:t>
            </w:r>
          </w:p>
        </w:tc>
        <w:tc>
          <w:tcPr>
            <w:tcW w:w="4350" w:type="dxa"/>
          </w:tcPr>
          <w:p>
            <w:pPr>
              <w:pStyle w:val="28"/>
              <w:spacing w:before="79"/>
              <w:ind w:left="973"/>
              <w:rPr>
                <w:szCs w:val="21"/>
              </w:rPr>
            </w:pPr>
            <w:r>
              <w:rPr>
                <w:szCs w:val="21"/>
              </w:rPr>
              <w:t>齐全，在指定位置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70" w:hRule="atLeast"/>
        </w:trPr>
        <w:tc>
          <w:tcPr>
            <w:tcW w:w="826" w:type="dxa"/>
          </w:tcPr>
          <w:p>
            <w:pPr>
              <w:pStyle w:val="28"/>
              <w:spacing w:before="81"/>
              <w:ind w:left="9"/>
              <w:jc w:val="center"/>
              <w:rPr>
                <w:szCs w:val="21"/>
              </w:rPr>
            </w:pPr>
            <w:r>
              <w:rPr>
                <w:szCs w:val="21"/>
              </w:rPr>
              <w:t>3</w:t>
            </w:r>
          </w:p>
        </w:tc>
        <w:tc>
          <w:tcPr>
            <w:tcW w:w="4020" w:type="dxa"/>
          </w:tcPr>
          <w:p>
            <w:pPr>
              <w:pStyle w:val="28"/>
              <w:spacing w:before="81"/>
              <w:ind w:right="122" w:firstLine="1260" w:firstLineChars="600"/>
              <w:jc w:val="left"/>
              <w:rPr>
                <w:szCs w:val="21"/>
              </w:rPr>
            </w:pPr>
            <w:r>
              <w:rPr>
                <w:szCs w:val="21"/>
              </w:rPr>
              <w:t>驱动主机</w:t>
            </w:r>
          </w:p>
        </w:tc>
        <w:tc>
          <w:tcPr>
            <w:tcW w:w="4350" w:type="dxa"/>
          </w:tcPr>
          <w:p>
            <w:pPr>
              <w:pStyle w:val="28"/>
              <w:spacing w:before="81"/>
              <w:ind w:left="373"/>
              <w:rPr>
                <w:szCs w:val="21"/>
              </w:rPr>
            </w:pPr>
            <w:r>
              <w:rPr>
                <w:szCs w:val="21"/>
              </w:rPr>
              <w:t>运行时无异常振动和异常声响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826" w:type="dxa"/>
          </w:tcPr>
          <w:p>
            <w:pPr>
              <w:pStyle w:val="28"/>
              <w:spacing w:before="79"/>
              <w:ind w:left="9"/>
              <w:jc w:val="center"/>
              <w:rPr>
                <w:szCs w:val="21"/>
              </w:rPr>
            </w:pPr>
            <w:r>
              <w:rPr>
                <w:szCs w:val="21"/>
              </w:rPr>
              <w:t>4</w:t>
            </w:r>
          </w:p>
        </w:tc>
        <w:tc>
          <w:tcPr>
            <w:tcW w:w="4020" w:type="dxa"/>
          </w:tcPr>
          <w:p>
            <w:pPr>
              <w:pStyle w:val="28"/>
              <w:spacing w:before="79"/>
              <w:ind w:left="1288"/>
              <w:jc w:val="left"/>
              <w:rPr>
                <w:szCs w:val="21"/>
              </w:rPr>
            </w:pPr>
            <w:r>
              <w:rPr>
                <w:szCs w:val="21"/>
              </w:rPr>
              <w:t>制动器各销轴部位</w:t>
            </w:r>
          </w:p>
        </w:tc>
        <w:tc>
          <w:tcPr>
            <w:tcW w:w="4350" w:type="dxa"/>
          </w:tcPr>
          <w:p>
            <w:pPr>
              <w:pStyle w:val="28"/>
              <w:spacing w:before="79"/>
              <w:ind w:left="113" w:right="105" w:firstLine="105" w:firstLineChars="50"/>
              <w:rPr>
                <w:szCs w:val="21"/>
              </w:rPr>
            </w:pPr>
            <w:r>
              <w:rPr>
                <w:szCs w:val="21"/>
              </w:rPr>
              <w:t>动作灵活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trPr>
        <w:tc>
          <w:tcPr>
            <w:tcW w:w="826" w:type="dxa"/>
          </w:tcPr>
          <w:p>
            <w:pPr>
              <w:pStyle w:val="28"/>
              <w:jc w:val="center"/>
              <w:rPr>
                <w:szCs w:val="21"/>
              </w:rPr>
            </w:pPr>
            <w:r>
              <w:rPr>
                <w:szCs w:val="21"/>
              </w:rPr>
              <w:t>5</w:t>
            </w:r>
          </w:p>
        </w:tc>
        <w:tc>
          <w:tcPr>
            <w:tcW w:w="4020" w:type="dxa"/>
          </w:tcPr>
          <w:p>
            <w:pPr>
              <w:pStyle w:val="28"/>
              <w:ind w:right="122" w:firstLine="1260" w:firstLineChars="600"/>
              <w:jc w:val="left"/>
              <w:rPr>
                <w:szCs w:val="21"/>
              </w:rPr>
            </w:pPr>
            <w:r>
              <w:rPr>
                <w:szCs w:val="21"/>
              </w:rPr>
              <w:t>制动器间隙</w:t>
            </w:r>
          </w:p>
        </w:tc>
        <w:tc>
          <w:tcPr>
            <w:tcW w:w="4350" w:type="dxa"/>
          </w:tcPr>
          <w:p>
            <w:pPr>
              <w:pStyle w:val="28"/>
              <w:spacing w:before="79"/>
              <w:ind w:left="113" w:right="105"/>
              <w:jc w:val="left"/>
              <w:rPr>
                <w:szCs w:val="21"/>
              </w:rPr>
            </w:pPr>
            <w:r>
              <w:rPr>
                <w:szCs w:val="21"/>
              </w:rPr>
              <w:t>打开时制动衬与制动轮不应发生摩擦，间隙值符合制造单位要求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3" w:hRule="atLeast"/>
        </w:trPr>
        <w:tc>
          <w:tcPr>
            <w:tcW w:w="826" w:type="dxa"/>
          </w:tcPr>
          <w:p>
            <w:pPr>
              <w:pStyle w:val="28"/>
              <w:spacing w:before="13"/>
              <w:jc w:val="center"/>
              <w:rPr>
                <w:rFonts w:ascii="Microsoft JhengHei"/>
                <w:b/>
                <w:szCs w:val="21"/>
              </w:rPr>
            </w:pPr>
          </w:p>
          <w:p>
            <w:pPr>
              <w:pStyle w:val="28"/>
              <w:ind w:left="9"/>
              <w:jc w:val="center"/>
              <w:rPr>
                <w:szCs w:val="21"/>
              </w:rPr>
            </w:pPr>
            <w:r>
              <w:rPr>
                <w:szCs w:val="21"/>
              </w:rPr>
              <w:t>6</w:t>
            </w:r>
          </w:p>
        </w:tc>
        <w:tc>
          <w:tcPr>
            <w:tcW w:w="4020" w:type="dxa"/>
          </w:tcPr>
          <w:p>
            <w:pPr>
              <w:pStyle w:val="28"/>
              <w:spacing w:line="364" w:lineRule="auto"/>
              <w:ind w:right="200"/>
              <w:jc w:val="left"/>
              <w:rPr>
                <w:szCs w:val="21"/>
              </w:rPr>
            </w:pPr>
            <w:r>
              <w:rPr>
                <w:szCs w:val="21"/>
              </w:rPr>
              <w:t>制动器作为轿厢意外移动保护装置制停子系统时的自监测</w:t>
            </w:r>
          </w:p>
        </w:tc>
        <w:tc>
          <w:tcPr>
            <w:tcW w:w="4350" w:type="dxa"/>
          </w:tcPr>
          <w:p>
            <w:pPr>
              <w:pStyle w:val="28"/>
              <w:spacing w:before="79" w:line="364" w:lineRule="auto"/>
              <w:ind w:left="133" w:right="123"/>
              <w:jc w:val="left"/>
              <w:rPr>
                <w:szCs w:val="21"/>
              </w:rPr>
            </w:pPr>
            <w:r>
              <w:rPr>
                <w:szCs w:val="21"/>
              </w:rPr>
              <w:t>制动力人工方式检测符合使用维护说明书要求；制动力自监测系统有记录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4" w:hRule="atLeast"/>
        </w:trPr>
        <w:tc>
          <w:tcPr>
            <w:tcW w:w="826" w:type="dxa"/>
          </w:tcPr>
          <w:p>
            <w:pPr>
              <w:pStyle w:val="28"/>
              <w:spacing w:before="79"/>
              <w:ind w:left="9"/>
              <w:jc w:val="center"/>
              <w:rPr>
                <w:szCs w:val="21"/>
              </w:rPr>
            </w:pPr>
            <w:r>
              <w:rPr>
                <w:szCs w:val="21"/>
              </w:rPr>
              <w:t>7</w:t>
            </w:r>
          </w:p>
        </w:tc>
        <w:tc>
          <w:tcPr>
            <w:tcW w:w="4020" w:type="dxa"/>
          </w:tcPr>
          <w:p>
            <w:pPr>
              <w:pStyle w:val="28"/>
              <w:spacing w:before="79"/>
              <w:ind w:left="128" w:right="122"/>
              <w:jc w:val="left"/>
              <w:rPr>
                <w:szCs w:val="21"/>
              </w:rPr>
            </w:pPr>
            <w:r>
              <w:rPr>
                <w:szCs w:val="21"/>
              </w:rPr>
              <w:t>编码器</w:t>
            </w:r>
          </w:p>
        </w:tc>
        <w:tc>
          <w:tcPr>
            <w:tcW w:w="4350" w:type="dxa"/>
          </w:tcPr>
          <w:p>
            <w:pPr>
              <w:pStyle w:val="28"/>
              <w:spacing w:before="79"/>
              <w:ind w:left="113" w:right="105"/>
              <w:jc w:val="left"/>
              <w:rPr>
                <w:szCs w:val="21"/>
              </w:rPr>
            </w:pPr>
            <w:r>
              <w:rPr>
                <w:szCs w:val="21"/>
              </w:rPr>
              <w:t>工作正常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8" w:hRule="atLeast"/>
        </w:trPr>
        <w:tc>
          <w:tcPr>
            <w:tcW w:w="826" w:type="dxa"/>
          </w:tcPr>
          <w:p>
            <w:pPr>
              <w:pStyle w:val="28"/>
              <w:spacing w:before="79"/>
              <w:ind w:left="9"/>
              <w:jc w:val="center"/>
              <w:rPr>
                <w:szCs w:val="21"/>
              </w:rPr>
            </w:pPr>
            <w:r>
              <w:rPr>
                <w:szCs w:val="21"/>
              </w:rPr>
              <w:t>8</w:t>
            </w:r>
          </w:p>
        </w:tc>
        <w:tc>
          <w:tcPr>
            <w:tcW w:w="4020" w:type="dxa"/>
          </w:tcPr>
          <w:p>
            <w:pPr>
              <w:pStyle w:val="28"/>
              <w:spacing w:before="79"/>
              <w:jc w:val="left"/>
              <w:rPr>
                <w:szCs w:val="21"/>
              </w:rPr>
            </w:pPr>
            <w:r>
              <w:rPr>
                <w:szCs w:val="21"/>
              </w:rPr>
              <w:t>限速器各销轴部位</w:t>
            </w:r>
          </w:p>
        </w:tc>
        <w:tc>
          <w:tcPr>
            <w:tcW w:w="4350" w:type="dxa"/>
          </w:tcPr>
          <w:p>
            <w:pPr>
              <w:pStyle w:val="28"/>
              <w:spacing w:before="79"/>
              <w:ind w:right="243"/>
              <w:jc w:val="left"/>
              <w:rPr>
                <w:szCs w:val="21"/>
              </w:rPr>
            </w:pPr>
            <w:r>
              <w:rPr>
                <w:szCs w:val="21"/>
              </w:rPr>
              <w:t>润滑，转动灵活；电气开关正常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5" w:hRule="atLeast"/>
        </w:trPr>
        <w:tc>
          <w:tcPr>
            <w:tcW w:w="826" w:type="dxa"/>
          </w:tcPr>
          <w:p>
            <w:pPr>
              <w:pStyle w:val="28"/>
              <w:spacing w:before="81"/>
              <w:ind w:left="9"/>
              <w:jc w:val="center"/>
              <w:rPr>
                <w:szCs w:val="21"/>
              </w:rPr>
            </w:pPr>
            <w:r>
              <w:rPr>
                <w:szCs w:val="21"/>
              </w:rPr>
              <w:t>9</w:t>
            </w:r>
          </w:p>
        </w:tc>
        <w:tc>
          <w:tcPr>
            <w:tcW w:w="4020" w:type="dxa"/>
          </w:tcPr>
          <w:p>
            <w:pPr>
              <w:pStyle w:val="28"/>
              <w:spacing w:before="81"/>
              <w:jc w:val="left"/>
              <w:rPr>
                <w:szCs w:val="21"/>
              </w:rPr>
            </w:pPr>
            <w:r>
              <w:rPr>
                <w:szCs w:val="21"/>
              </w:rPr>
              <w:t>层门和轿门旁路装置</w:t>
            </w:r>
          </w:p>
        </w:tc>
        <w:tc>
          <w:tcPr>
            <w:tcW w:w="4350" w:type="dxa"/>
          </w:tcPr>
          <w:p>
            <w:pPr>
              <w:pStyle w:val="28"/>
              <w:spacing w:before="81"/>
              <w:ind w:left="113" w:right="105"/>
              <w:jc w:val="left"/>
              <w:rPr>
                <w:szCs w:val="21"/>
              </w:rPr>
            </w:pPr>
            <w:r>
              <w:rPr>
                <w:szCs w:val="21"/>
              </w:rPr>
              <w:t>工作正常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7" w:hRule="atLeast"/>
        </w:trPr>
        <w:tc>
          <w:tcPr>
            <w:tcW w:w="826" w:type="dxa"/>
          </w:tcPr>
          <w:p>
            <w:pPr>
              <w:pStyle w:val="28"/>
              <w:spacing w:before="79"/>
              <w:ind w:left="152" w:right="143"/>
              <w:jc w:val="center"/>
              <w:rPr>
                <w:szCs w:val="21"/>
              </w:rPr>
            </w:pPr>
            <w:r>
              <w:rPr>
                <w:szCs w:val="21"/>
              </w:rPr>
              <w:t>10</w:t>
            </w:r>
          </w:p>
        </w:tc>
        <w:tc>
          <w:tcPr>
            <w:tcW w:w="4020" w:type="dxa"/>
          </w:tcPr>
          <w:p>
            <w:pPr>
              <w:pStyle w:val="28"/>
              <w:spacing w:before="79"/>
              <w:ind w:left="128" w:right="123"/>
              <w:jc w:val="left"/>
              <w:rPr>
                <w:szCs w:val="21"/>
              </w:rPr>
            </w:pPr>
            <w:r>
              <w:rPr>
                <w:szCs w:val="21"/>
              </w:rPr>
              <w:t>紧急电动运行</w:t>
            </w:r>
          </w:p>
        </w:tc>
        <w:tc>
          <w:tcPr>
            <w:tcW w:w="4350" w:type="dxa"/>
          </w:tcPr>
          <w:p>
            <w:pPr>
              <w:pStyle w:val="28"/>
              <w:spacing w:before="79"/>
              <w:ind w:left="113" w:right="105"/>
              <w:jc w:val="left"/>
              <w:rPr>
                <w:szCs w:val="21"/>
              </w:rPr>
            </w:pPr>
            <w:r>
              <w:rPr>
                <w:szCs w:val="21"/>
              </w:rPr>
              <w:t>工作正常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1" w:hRule="atLeast"/>
        </w:trPr>
        <w:tc>
          <w:tcPr>
            <w:tcW w:w="826" w:type="dxa"/>
          </w:tcPr>
          <w:p>
            <w:pPr>
              <w:pStyle w:val="28"/>
              <w:spacing w:before="79"/>
              <w:ind w:left="152" w:right="143"/>
              <w:jc w:val="center"/>
              <w:rPr>
                <w:szCs w:val="21"/>
              </w:rPr>
            </w:pPr>
            <w:r>
              <w:rPr>
                <w:szCs w:val="21"/>
              </w:rPr>
              <w:t>11</w:t>
            </w:r>
          </w:p>
        </w:tc>
        <w:tc>
          <w:tcPr>
            <w:tcW w:w="4020" w:type="dxa"/>
          </w:tcPr>
          <w:p>
            <w:pPr>
              <w:pStyle w:val="28"/>
              <w:spacing w:before="79"/>
              <w:ind w:left="128" w:right="122"/>
              <w:jc w:val="left"/>
              <w:rPr>
                <w:szCs w:val="21"/>
              </w:rPr>
            </w:pPr>
            <w:r>
              <w:rPr>
                <w:szCs w:val="21"/>
              </w:rPr>
              <w:t>轿顶</w:t>
            </w:r>
          </w:p>
        </w:tc>
        <w:tc>
          <w:tcPr>
            <w:tcW w:w="4350" w:type="dxa"/>
          </w:tcPr>
          <w:p>
            <w:pPr>
              <w:pStyle w:val="28"/>
              <w:spacing w:before="79"/>
              <w:ind w:left="733"/>
              <w:jc w:val="left"/>
              <w:rPr>
                <w:szCs w:val="21"/>
              </w:rPr>
            </w:pPr>
            <w:r>
              <w:rPr>
                <w:szCs w:val="21"/>
              </w:rPr>
              <w:t>清洁，防护栏安全可靠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9" w:hRule="atLeast"/>
        </w:trPr>
        <w:tc>
          <w:tcPr>
            <w:tcW w:w="826" w:type="dxa"/>
          </w:tcPr>
          <w:p>
            <w:pPr>
              <w:pStyle w:val="28"/>
              <w:spacing w:before="79"/>
              <w:ind w:left="152" w:right="143"/>
              <w:jc w:val="center"/>
              <w:rPr>
                <w:szCs w:val="21"/>
              </w:rPr>
            </w:pPr>
            <w:r>
              <w:rPr>
                <w:szCs w:val="21"/>
              </w:rPr>
              <w:t>12</w:t>
            </w:r>
          </w:p>
        </w:tc>
        <w:tc>
          <w:tcPr>
            <w:tcW w:w="4020" w:type="dxa"/>
          </w:tcPr>
          <w:p>
            <w:pPr>
              <w:pStyle w:val="28"/>
              <w:spacing w:before="79"/>
              <w:ind w:right="920"/>
              <w:jc w:val="left"/>
              <w:rPr>
                <w:szCs w:val="21"/>
              </w:rPr>
            </w:pPr>
            <w:r>
              <w:rPr>
                <w:szCs w:val="21"/>
              </w:rPr>
              <w:t>轿顶检修开关、停止装置</w:t>
            </w:r>
          </w:p>
        </w:tc>
        <w:tc>
          <w:tcPr>
            <w:tcW w:w="4350" w:type="dxa"/>
          </w:tcPr>
          <w:p>
            <w:pPr>
              <w:pStyle w:val="28"/>
              <w:spacing w:before="79"/>
              <w:ind w:left="113" w:right="105"/>
              <w:jc w:val="left"/>
              <w:rPr>
                <w:szCs w:val="21"/>
              </w:rPr>
            </w:pPr>
            <w:r>
              <w:rPr>
                <w:szCs w:val="21"/>
              </w:rPr>
              <w:t>工作正常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4" w:hRule="atLeast"/>
        </w:trPr>
        <w:tc>
          <w:tcPr>
            <w:tcW w:w="826" w:type="dxa"/>
          </w:tcPr>
          <w:p>
            <w:pPr>
              <w:pStyle w:val="28"/>
              <w:ind w:right="143" w:firstLine="315" w:firstLineChars="150"/>
              <w:rPr>
                <w:szCs w:val="21"/>
              </w:rPr>
            </w:pPr>
            <w:r>
              <w:rPr>
                <w:szCs w:val="21"/>
              </w:rPr>
              <w:t>13</w:t>
            </w:r>
          </w:p>
        </w:tc>
        <w:tc>
          <w:tcPr>
            <w:tcW w:w="4020" w:type="dxa"/>
          </w:tcPr>
          <w:p>
            <w:pPr>
              <w:pStyle w:val="28"/>
              <w:ind w:right="122"/>
              <w:rPr>
                <w:szCs w:val="21"/>
              </w:rPr>
            </w:pPr>
            <w:r>
              <w:rPr>
                <w:szCs w:val="21"/>
              </w:rPr>
              <w:t>导靴上油杯</w:t>
            </w:r>
          </w:p>
        </w:tc>
        <w:tc>
          <w:tcPr>
            <w:tcW w:w="4350" w:type="dxa"/>
          </w:tcPr>
          <w:p>
            <w:pPr>
              <w:pStyle w:val="28"/>
              <w:spacing w:before="79"/>
              <w:ind w:left="113" w:right="105"/>
              <w:jc w:val="left"/>
              <w:rPr>
                <w:szCs w:val="21"/>
              </w:rPr>
            </w:pPr>
            <w:r>
              <w:rPr>
                <w:szCs w:val="21"/>
              </w:rPr>
              <w:t>吸油毛毡齐全，油量适宜，油杯无泄漏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70" w:hRule="atLeast"/>
        </w:trPr>
        <w:tc>
          <w:tcPr>
            <w:tcW w:w="826" w:type="dxa"/>
          </w:tcPr>
          <w:p>
            <w:pPr>
              <w:pStyle w:val="28"/>
              <w:spacing w:before="79"/>
              <w:ind w:left="152" w:right="143"/>
              <w:jc w:val="center"/>
              <w:rPr>
                <w:szCs w:val="21"/>
              </w:rPr>
            </w:pPr>
            <w:r>
              <w:rPr>
                <w:szCs w:val="21"/>
              </w:rPr>
              <w:t>14</w:t>
            </w:r>
          </w:p>
        </w:tc>
        <w:tc>
          <w:tcPr>
            <w:tcW w:w="4020" w:type="dxa"/>
          </w:tcPr>
          <w:p>
            <w:pPr>
              <w:pStyle w:val="28"/>
              <w:spacing w:before="79"/>
              <w:ind w:right="980"/>
              <w:rPr>
                <w:szCs w:val="21"/>
              </w:rPr>
            </w:pPr>
            <w:r>
              <w:rPr>
                <w:szCs w:val="21"/>
              </w:rPr>
              <w:t>对重/平衡重块及其压板</w:t>
            </w:r>
          </w:p>
        </w:tc>
        <w:tc>
          <w:tcPr>
            <w:tcW w:w="4350" w:type="dxa"/>
          </w:tcPr>
          <w:p>
            <w:pPr>
              <w:pStyle w:val="28"/>
              <w:spacing w:before="79"/>
              <w:ind w:right="183"/>
              <w:jc w:val="left"/>
              <w:rPr>
                <w:szCs w:val="21"/>
              </w:rPr>
            </w:pPr>
            <w:r>
              <w:rPr>
                <w:szCs w:val="21"/>
              </w:rPr>
              <w:t>对重/平衡重块无松动，压板紧固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8" w:hRule="atLeast"/>
        </w:trPr>
        <w:tc>
          <w:tcPr>
            <w:tcW w:w="826" w:type="dxa"/>
          </w:tcPr>
          <w:p>
            <w:pPr>
              <w:pStyle w:val="28"/>
              <w:spacing w:before="79"/>
              <w:ind w:right="281"/>
              <w:jc w:val="right"/>
              <w:rPr>
                <w:szCs w:val="21"/>
              </w:rPr>
            </w:pPr>
            <w:r>
              <w:rPr>
                <w:szCs w:val="21"/>
              </w:rPr>
              <w:t>15</w:t>
            </w:r>
          </w:p>
        </w:tc>
        <w:tc>
          <w:tcPr>
            <w:tcW w:w="4020" w:type="dxa"/>
          </w:tcPr>
          <w:p>
            <w:pPr>
              <w:pStyle w:val="28"/>
              <w:spacing w:before="79"/>
              <w:ind w:left="128" w:right="122"/>
              <w:jc w:val="left"/>
              <w:rPr>
                <w:szCs w:val="21"/>
              </w:rPr>
            </w:pPr>
            <w:r>
              <w:rPr>
                <w:szCs w:val="21"/>
              </w:rPr>
              <w:t>井道照明</w:t>
            </w:r>
          </w:p>
        </w:tc>
        <w:tc>
          <w:tcPr>
            <w:tcW w:w="4350" w:type="dxa"/>
          </w:tcPr>
          <w:p>
            <w:pPr>
              <w:pStyle w:val="28"/>
              <w:spacing w:before="79"/>
              <w:jc w:val="left"/>
              <w:rPr>
                <w:szCs w:val="21"/>
              </w:rPr>
            </w:pPr>
            <w:r>
              <w:rPr>
                <w:szCs w:val="21"/>
              </w:rPr>
              <w:t>齐全，正常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7" w:hRule="atLeast"/>
        </w:trPr>
        <w:tc>
          <w:tcPr>
            <w:tcW w:w="826" w:type="dxa"/>
          </w:tcPr>
          <w:p>
            <w:pPr>
              <w:pStyle w:val="28"/>
              <w:spacing w:before="79"/>
              <w:ind w:right="281"/>
              <w:jc w:val="right"/>
              <w:rPr>
                <w:szCs w:val="21"/>
              </w:rPr>
            </w:pPr>
            <w:r>
              <w:rPr>
                <w:szCs w:val="21"/>
              </w:rPr>
              <w:t>16</w:t>
            </w:r>
          </w:p>
        </w:tc>
        <w:tc>
          <w:tcPr>
            <w:tcW w:w="4020" w:type="dxa"/>
          </w:tcPr>
          <w:p>
            <w:pPr>
              <w:pStyle w:val="28"/>
              <w:spacing w:before="79"/>
              <w:ind w:left="128" w:right="123"/>
              <w:jc w:val="left"/>
              <w:rPr>
                <w:szCs w:val="21"/>
              </w:rPr>
            </w:pPr>
            <w:r>
              <w:rPr>
                <w:szCs w:val="21"/>
              </w:rPr>
              <w:t>轿厢照明、风扇、应急照明</w:t>
            </w:r>
          </w:p>
        </w:tc>
        <w:tc>
          <w:tcPr>
            <w:tcW w:w="4350" w:type="dxa"/>
          </w:tcPr>
          <w:p>
            <w:pPr>
              <w:pStyle w:val="28"/>
              <w:spacing w:before="79"/>
              <w:ind w:left="113" w:right="105"/>
              <w:jc w:val="left"/>
              <w:rPr>
                <w:szCs w:val="21"/>
              </w:rPr>
            </w:pPr>
            <w:r>
              <w:rPr>
                <w:szCs w:val="21"/>
              </w:rPr>
              <w:t>工作正常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826" w:type="dxa"/>
          </w:tcPr>
          <w:p>
            <w:pPr>
              <w:pStyle w:val="28"/>
              <w:spacing w:before="79"/>
              <w:ind w:right="281"/>
              <w:jc w:val="right"/>
              <w:rPr>
                <w:szCs w:val="21"/>
              </w:rPr>
            </w:pPr>
            <w:r>
              <w:rPr>
                <w:szCs w:val="21"/>
              </w:rPr>
              <w:t>17</w:t>
            </w:r>
          </w:p>
        </w:tc>
        <w:tc>
          <w:tcPr>
            <w:tcW w:w="4020" w:type="dxa"/>
          </w:tcPr>
          <w:p>
            <w:pPr>
              <w:pStyle w:val="28"/>
              <w:spacing w:before="79"/>
              <w:ind w:left="128" w:right="123"/>
              <w:jc w:val="left"/>
              <w:rPr>
                <w:szCs w:val="21"/>
              </w:rPr>
            </w:pPr>
            <w:r>
              <w:rPr>
                <w:szCs w:val="21"/>
              </w:rPr>
              <w:t>轿厢检修开关、停止装置</w:t>
            </w:r>
          </w:p>
        </w:tc>
        <w:tc>
          <w:tcPr>
            <w:tcW w:w="4350" w:type="dxa"/>
          </w:tcPr>
          <w:p>
            <w:pPr>
              <w:pStyle w:val="28"/>
              <w:spacing w:before="79"/>
              <w:ind w:left="113" w:right="105"/>
              <w:jc w:val="left"/>
              <w:rPr>
                <w:szCs w:val="21"/>
              </w:rPr>
            </w:pPr>
            <w:r>
              <w:rPr>
                <w:szCs w:val="21"/>
              </w:rPr>
              <w:t>工作正常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70" w:hRule="atLeast"/>
        </w:trPr>
        <w:tc>
          <w:tcPr>
            <w:tcW w:w="826" w:type="dxa"/>
          </w:tcPr>
          <w:p>
            <w:pPr>
              <w:pStyle w:val="28"/>
              <w:spacing w:before="81"/>
              <w:ind w:right="281"/>
              <w:jc w:val="right"/>
              <w:rPr>
                <w:szCs w:val="21"/>
              </w:rPr>
            </w:pPr>
            <w:r>
              <w:rPr>
                <w:szCs w:val="21"/>
              </w:rPr>
              <w:t>18</w:t>
            </w:r>
          </w:p>
        </w:tc>
        <w:tc>
          <w:tcPr>
            <w:tcW w:w="4020" w:type="dxa"/>
          </w:tcPr>
          <w:p>
            <w:pPr>
              <w:pStyle w:val="28"/>
              <w:spacing w:before="81"/>
              <w:ind w:left="128" w:right="123"/>
              <w:jc w:val="left"/>
              <w:rPr>
                <w:szCs w:val="21"/>
              </w:rPr>
            </w:pPr>
            <w:r>
              <w:rPr>
                <w:szCs w:val="21"/>
              </w:rPr>
              <w:t>轿内报警装置、对讲系统</w:t>
            </w:r>
          </w:p>
        </w:tc>
        <w:tc>
          <w:tcPr>
            <w:tcW w:w="4350" w:type="dxa"/>
          </w:tcPr>
          <w:p>
            <w:pPr>
              <w:pStyle w:val="28"/>
              <w:spacing w:before="81"/>
              <w:ind w:left="113" w:right="105"/>
              <w:jc w:val="left"/>
              <w:rPr>
                <w:szCs w:val="21"/>
              </w:rPr>
            </w:pPr>
            <w:r>
              <w:rPr>
                <w:szCs w:val="21"/>
              </w:rPr>
              <w:t>工作正常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7" w:hRule="atLeast"/>
        </w:trPr>
        <w:tc>
          <w:tcPr>
            <w:tcW w:w="826" w:type="dxa"/>
          </w:tcPr>
          <w:p>
            <w:pPr>
              <w:pStyle w:val="28"/>
              <w:spacing w:before="79"/>
              <w:ind w:right="281"/>
              <w:jc w:val="right"/>
              <w:rPr>
                <w:szCs w:val="21"/>
              </w:rPr>
            </w:pPr>
            <w:r>
              <w:rPr>
                <w:szCs w:val="21"/>
              </w:rPr>
              <w:t>19</w:t>
            </w:r>
          </w:p>
        </w:tc>
        <w:tc>
          <w:tcPr>
            <w:tcW w:w="4020" w:type="dxa"/>
          </w:tcPr>
          <w:p>
            <w:pPr>
              <w:pStyle w:val="28"/>
              <w:spacing w:before="79"/>
              <w:ind w:left="128" w:right="123"/>
              <w:jc w:val="left"/>
              <w:rPr>
                <w:szCs w:val="21"/>
              </w:rPr>
            </w:pPr>
            <w:r>
              <w:rPr>
                <w:szCs w:val="21"/>
              </w:rPr>
              <w:t>轿内显示、指令按钮、IC 卡系统</w:t>
            </w:r>
          </w:p>
        </w:tc>
        <w:tc>
          <w:tcPr>
            <w:tcW w:w="4350" w:type="dxa"/>
          </w:tcPr>
          <w:p>
            <w:pPr>
              <w:pStyle w:val="28"/>
              <w:spacing w:before="79"/>
              <w:ind w:left="113" w:right="105"/>
              <w:jc w:val="left"/>
              <w:rPr>
                <w:szCs w:val="21"/>
              </w:rPr>
            </w:pPr>
            <w:r>
              <w:rPr>
                <w:szCs w:val="21"/>
              </w:rPr>
              <w:t>齐全，有效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35" w:hRule="atLeast"/>
        </w:trPr>
        <w:tc>
          <w:tcPr>
            <w:tcW w:w="826" w:type="dxa"/>
          </w:tcPr>
          <w:p>
            <w:pPr>
              <w:pStyle w:val="28"/>
              <w:spacing w:before="17"/>
              <w:rPr>
                <w:rFonts w:ascii="Microsoft JhengHei"/>
                <w:b/>
                <w:szCs w:val="21"/>
              </w:rPr>
            </w:pPr>
          </w:p>
          <w:p>
            <w:pPr>
              <w:pStyle w:val="28"/>
              <w:ind w:right="281"/>
              <w:jc w:val="right"/>
              <w:rPr>
                <w:szCs w:val="21"/>
              </w:rPr>
            </w:pPr>
            <w:r>
              <w:rPr>
                <w:szCs w:val="21"/>
              </w:rPr>
              <w:t>20</w:t>
            </w:r>
          </w:p>
        </w:tc>
        <w:tc>
          <w:tcPr>
            <w:tcW w:w="4020" w:type="dxa"/>
          </w:tcPr>
          <w:p>
            <w:pPr>
              <w:pStyle w:val="28"/>
              <w:spacing w:before="79"/>
              <w:ind w:left="128" w:right="123"/>
              <w:jc w:val="left"/>
              <w:rPr>
                <w:szCs w:val="21"/>
              </w:rPr>
            </w:pPr>
            <w:r>
              <w:rPr>
                <w:szCs w:val="21"/>
              </w:rPr>
              <w:t>轿门防撞击保护装置(安全触板，光幕、</w:t>
            </w:r>
          </w:p>
          <w:p>
            <w:pPr>
              <w:pStyle w:val="28"/>
              <w:spacing w:before="160"/>
              <w:ind w:left="128" w:right="122"/>
              <w:jc w:val="left"/>
              <w:rPr>
                <w:szCs w:val="21"/>
              </w:rPr>
            </w:pPr>
            <w:r>
              <w:rPr>
                <w:szCs w:val="21"/>
              </w:rPr>
              <w:t>光电等)</w:t>
            </w:r>
          </w:p>
        </w:tc>
        <w:tc>
          <w:tcPr>
            <w:tcW w:w="4350" w:type="dxa"/>
          </w:tcPr>
          <w:p>
            <w:pPr>
              <w:pStyle w:val="28"/>
              <w:spacing w:before="17"/>
              <w:jc w:val="left"/>
              <w:rPr>
                <w:rFonts w:ascii="Microsoft JhengHei"/>
                <w:b/>
                <w:szCs w:val="21"/>
              </w:rPr>
            </w:pPr>
          </w:p>
          <w:p>
            <w:pPr>
              <w:pStyle w:val="28"/>
              <w:ind w:left="113" w:right="105"/>
              <w:jc w:val="left"/>
              <w:rPr>
                <w:szCs w:val="21"/>
              </w:rPr>
            </w:pPr>
            <w:r>
              <w:rPr>
                <w:szCs w:val="21"/>
              </w:rPr>
              <w:t>功能有效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826" w:type="dxa"/>
          </w:tcPr>
          <w:p>
            <w:pPr>
              <w:pStyle w:val="28"/>
              <w:spacing w:before="79"/>
              <w:ind w:right="281"/>
              <w:jc w:val="right"/>
              <w:rPr>
                <w:szCs w:val="21"/>
              </w:rPr>
            </w:pPr>
            <w:r>
              <w:rPr>
                <w:szCs w:val="21"/>
              </w:rPr>
              <w:t>21</w:t>
            </w:r>
          </w:p>
        </w:tc>
        <w:tc>
          <w:tcPr>
            <w:tcW w:w="4020" w:type="dxa"/>
          </w:tcPr>
          <w:p>
            <w:pPr>
              <w:pStyle w:val="28"/>
              <w:spacing w:before="79"/>
              <w:ind w:left="128" w:right="123"/>
              <w:jc w:val="left"/>
              <w:rPr>
                <w:szCs w:val="21"/>
              </w:rPr>
            </w:pPr>
            <w:r>
              <w:rPr>
                <w:szCs w:val="21"/>
              </w:rPr>
              <w:t>轿门门锁电气触点</w:t>
            </w:r>
          </w:p>
        </w:tc>
        <w:tc>
          <w:tcPr>
            <w:tcW w:w="4350" w:type="dxa"/>
          </w:tcPr>
          <w:p>
            <w:pPr>
              <w:pStyle w:val="28"/>
              <w:spacing w:before="79"/>
              <w:ind w:left="253"/>
              <w:jc w:val="left"/>
              <w:rPr>
                <w:szCs w:val="21"/>
              </w:rPr>
            </w:pPr>
            <w:r>
              <w:rPr>
                <w:szCs w:val="21"/>
              </w:rPr>
              <w:t>清洁，触点接触良好，接线可靠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7" w:hRule="atLeast"/>
        </w:trPr>
        <w:tc>
          <w:tcPr>
            <w:tcW w:w="826" w:type="dxa"/>
          </w:tcPr>
          <w:p>
            <w:pPr>
              <w:pStyle w:val="28"/>
              <w:spacing w:before="79"/>
              <w:ind w:right="281"/>
              <w:jc w:val="right"/>
              <w:rPr>
                <w:szCs w:val="21"/>
              </w:rPr>
            </w:pPr>
            <w:r>
              <w:rPr>
                <w:szCs w:val="21"/>
              </w:rPr>
              <w:t>22</w:t>
            </w:r>
          </w:p>
        </w:tc>
        <w:tc>
          <w:tcPr>
            <w:tcW w:w="4020" w:type="dxa"/>
          </w:tcPr>
          <w:p>
            <w:pPr>
              <w:pStyle w:val="28"/>
              <w:spacing w:before="79"/>
              <w:ind w:left="128" w:right="122"/>
              <w:jc w:val="left"/>
              <w:rPr>
                <w:szCs w:val="21"/>
              </w:rPr>
            </w:pPr>
            <w:r>
              <w:rPr>
                <w:szCs w:val="21"/>
              </w:rPr>
              <w:t>轿门运行</w:t>
            </w:r>
          </w:p>
        </w:tc>
        <w:tc>
          <w:tcPr>
            <w:tcW w:w="4350" w:type="dxa"/>
          </w:tcPr>
          <w:p>
            <w:pPr>
              <w:pStyle w:val="28"/>
              <w:spacing w:before="79"/>
              <w:jc w:val="left"/>
              <w:rPr>
                <w:szCs w:val="21"/>
              </w:rPr>
            </w:pPr>
            <w:r>
              <w:rPr>
                <w:szCs w:val="21"/>
              </w:rPr>
              <w:t>开启和关闭工作正常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7" w:hRule="atLeast"/>
        </w:trPr>
        <w:tc>
          <w:tcPr>
            <w:tcW w:w="826" w:type="dxa"/>
          </w:tcPr>
          <w:p>
            <w:pPr>
              <w:pStyle w:val="28"/>
              <w:spacing w:before="79"/>
              <w:ind w:right="281"/>
              <w:jc w:val="right"/>
              <w:rPr>
                <w:szCs w:val="21"/>
              </w:rPr>
            </w:pPr>
            <w:r>
              <w:rPr>
                <w:szCs w:val="21"/>
              </w:rPr>
              <w:t>23</w:t>
            </w:r>
          </w:p>
        </w:tc>
        <w:tc>
          <w:tcPr>
            <w:tcW w:w="4020" w:type="dxa"/>
          </w:tcPr>
          <w:p>
            <w:pPr>
              <w:pStyle w:val="28"/>
              <w:spacing w:before="79"/>
              <w:ind w:left="128" w:right="123"/>
              <w:jc w:val="left"/>
              <w:rPr>
                <w:szCs w:val="21"/>
              </w:rPr>
            </w:pPr>
            <w:r>
              <w:rPr>
                <w:szCs w:val="21"/>
              </w:rPr>
              <w:t>轿厢平层准确度</w:t>
            </w:r>
          </w:p>
        </w:tc>
        <w:tc>
          <w:tcPr>
            <w:tcW w:w="4350" w:type="dxa"/>
          </w:tcPr>
          <w:p>
            <w:pPr>
              <w:pStyle w:val="28"/>
              <w:spacing w:before="79"/>
              <w:ind w:left="113" w:right="105"/>
              <w:jc w:val="left"/>
              <w:rPr>
                <w:szCs w:val="21"/>
              </w:rPr>
            </w:pPr>
            <w:r>
              <w:rPr>
                <w:szCs w:val="21"/>
              </w:rPr>
              <w:t>符合标准值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70" w:hRule="atLeast"/>
        </w:trPr>
        <w:tc>
          <w:tcPr>
            <w:tcW w:w="826" w:type="dxa"/>
          </w:tcPr>
          <w:p>
            <w:pPr>
              <w:pStyle w:val="28"/>
              <w:spacing w:before="81"/>
              <w:ind w:right="281"/>
              <w:jc w:val="right"/>
              <w:rPr>
                <w:szCs w:val="21"/>
              </w:rPr>
            </w:pPr>
            <w:r>
              <w:rPr>
                <w:szCs w:val="21"/>
              </w:rPr>
              <w:t>24</w:t>
            </w:r>
          </w:p>
        </w:tc>
        <w:tc>
          <w:tcPr>
            <w:tcW w:w="4020" w:type="dxa"/>
          </w:tcPr>
          <w:p>
            <w:pPr>
              <w:pStyle w:val="28"/>
              <w:spacing w:before="81"/>
              <w:ind w:left="128" w:right="123"/>
              <w:jc w:val="left"/>
              <w:rPr>
                <w:szCs w:val="21"/>
              </w:rPr>
            </w:pPr>
            <w:r>
              <w:rPr>
                <w:szCs w:val="21"/>
              </w:rPr>
              <w:t>层站召唤、层楼显示</w:t>
            </w:r>
          </w:p>
        </w:tc>
        <w:tc>
          <w:tcPr>
            <w:tcW w:w="4350" w:type="dxa"/>
          </w:tcPr>
          <w:p>
            <w:pPr>
              <w:pStyle w:val="28"/>
              <w:spacing w:before="81"/>
              <w:ind w:left="113" w:right="105"/>
              <w:jc w:val="left"/>
              <w:rPr>
                <w:szCs w:val="21"/>
              </w:rPr>
            </w:pPr>
            <w:r>
              <w:rPr>
                <w:szCs w:val="21"/>
              </w:rPr>
              <w:t>齐全，有效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826" w:type="dxa"/>
          </w:tcPr>
          <w:p>
            <w:pPr>
              <w:pStyle w:val="28"/>
              <w:spacing w:before="79"/>
              <w:ind w:right="281"/>
              <w:jc w:val="right"/>
              <w:rPr>
                <w:szCs w:val="21"/>
              </w:rPr>
            </w:pPr>
            <w:r>
              <w:rPr>
                <w:szCs w:val="21"/>
              </w:rPr>
              <w:t>25</w:t>
            </w:r>
          </w:p>
        </w:tc>
        <w:tc>
          <w:tcPr>
            <w:tcW w:w="4020" w:type="dxa"/>
          </w:tcPr>
          <w:p>
            <w:pPr>
              <w:pStyle w:val="28"/>
              <w:spacing w:before="79"/>
              <w:ind w:left="128" w:right="122"/>
              <w:jc w:val="left"/>
              <w:rPr>
                <w:szCs w:val="21"/>
              </w:rPr>
            </w:pPr>
            <w:r>
              <w:rPr>
                <w:szCs w:val="21"/>
              </w:rPr>
              <w:t>层门地坎</w:t>
            </w:r>
          </w:p>
        </w:tc>
        <w:tc>
          <w:tcPr>
            <w:tcW w:w="4350" w:type="dxa"/>
          </w:tcPr>
          <w:p>
            <w:pPr>
              <w:pStyle w:val="28"/>
              <w:spacing w:before="79"/>
              <w:ind w:left="113" w:right="105"/>
              <w:jc w:val="left"/>
              <w:rPr>
                <w:szCs w:val="21"/>
              </w:rPr>
            </w:pPr>
            <w:r>
              <w:rPr>
                <w:szCs w:val="21"/>
              </w:rPr>
              <w:t>清洁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826" w:type="dxa"/>
          </w:tcPr>
          <w:p>
            <w:pPr>
              <w:pStyle w:val="28"/>
              <w:spacing w:before="79"/>
              <w:ind w:right="281"/>
              <w:jc w:val="right"/>
              <w:rPr>
                <w:szCs w:val="21"/>
              </w:rPr>
            </w:pPr>
            <w:r>
              <w:rPr>
                <w:szCs w:val="21"/>
              </w:rPr>
              <w:t>26</w:t>
            </w:r>
          </w:p>
        </w:tc>
        <w:tc>
          <w:tcPr>
            <w:tcW w:w="4020" w:type="dxa"/>
          </w:tcPr>
          <w:p>
            <w:pPr>
              <w:pStyle w:val="28"/>
              <w:spacing w:before="79"/>
              <w:ind w:left="128" w:right="123"/>
              <w:jc w:val="left"/>
              <w:rPr>
                <w:szCs w:val="21"/>
              </w:rPr>
            </w:pPr>
            <w:r>
              <w:rPr>
                <w:szCs w:val="21"/>
              </w:rPr>
              <w:t>层门自动关门装置</w:t>
            </w:r>
          </w:p>
        </w:tc>
        <w:tc>
          <w:tcPr>
            <w:tcW w:w="4350" w:type="dxa"/>
          </w:tcPr>
          <w:p>
            <w:pPr>
              <w:pStyle w:val="28"/>
              <w:spacing w:before="79"/>
              <w:ind w:left="113" w:right="105"/>
              <w:jc w:val="left"/>
              <w:rPr>
                <w:szCs w:val="21"/>
              </w:rPr>
            </w:pPr>
            <w:r>
              <w:rPr>
                <w:szCs w:val="21"/>
              </w:rPr>
              <w:t>正常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2" w:hRule="atLeast"/>
        </w:trPr>
        <w:tc>
          <w:tcPr>
            <w:tcW w:w="826" w:type="dxa"/>
          </w:tcPr>
          <w:p>
            <w:pPr>
              <w:pStyle w:val="28"/>
              <w:spacing w:before="2"/>
              <w:rPr>
                <w:rFonts w:ascii="Microsoft JhengHei"/>
                <w:b/>
                <w:szCs w:val="21"/>
              </w:rPr>
            </w:pPr>
          </w:p>
          <w:p>
            <w:pPr>
              <w:pStyle w:val="28"/>
              <w:ind w:right="281"/>
              <w:jc w:val="right"/>
              <w:rPr>
                <w:szCs w:val="21"/>
              </w:rPr>
            </w:pPr>
            <w:r>
              <w:rPr>
                <w:szCs w:val="21"/>
              </w:rPr>
              <w:t>27</w:t>
            </w:r>
          </w:p>
        </w:tc>
        <w:tc>
          <w:tcPr>
            <w:tcW w:w="4020" w:type="dxa"/>
          </w:tcPr>
          <w:p>
            <w:pPr>
              <w:pStyle w:val="28"/>
              <w:spacing w:before="2"/>
              <w:jc w:val="left"/>
              <w:rPr>
                <w:rFonts w:ascii="Microsoft JhengHei"/>
                <w:b/>
                <w:szCs w:val="21"/>
              </w:rPr>
            </w:pPr>
          </w:p>
          <w:p>
            <w:pPr>
              <w:pStyle w:val="28"/>
              <w:ind w:left="128" w:right="123"/>
              <w:jc w:val="left"/>
              <w:rPr>
                <w:szCs w:val="21"/>
              </w:rPr>
            </w:pPr>
            <w:r>
              <w:rPr>
                <w:szCs w:val="21"/>
              </w:rPr>
              <w:t>层门门锁自动复位</w:t>
            </w:r>
          </w:p>
        </w:tc>
        <w:tc>
          <w:tcPr>
            <w:tcW w:w="4350" w:type="dxa"/>
          </w:tcPr>
          <w:p>
            <w:pPr>
              <w:pStyle w:val="28"/>
              <w:spacing w:before="79"/>
              <w:ind w:right="105"/>
              <w:jc w:val="left"/>
              <w:rPr>
                <w:szCs w:val="21"/>
              </w:rPr>
            </w:pPr>
            <w:r>
              <w:rPr>
                <w:szCs w:val="21"/>
              </w:rPr>
              <w:t>用层门钥匙打开手动开锁装置释放后，层门门锁能自动复位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7" w:hRule="atLeast"/>
        </w:trPr>
        <w:tc>
          <w:tcPr>
            <w:tcW w:w="826" w:type="dxa"/>
          </w:tcPr>
          <w:p>
            <w:pPr>
              <w:pStyle w:val="28"/>
              <w:spacing w:before="79"/>
              <w:ind w:right="281"/>
              <w:jc w:val="right"/>
              <w:rPr>
                <w:szCs w:val="21"/>
              </w:rPr>
            </w:pPr>
            <w:r>
              <w:rPr>
                <w:szCs w:val="21"/>
              </w:rPr>
              <w:t>28</w:t>
            </w:r>
          </w:p>
        </w:tc>
        <w:tc>
          <w:tcPr>
            <w:tcW w:w="4020" w:type="dxa"/>
          </w:tcPr>
          <w:p>
            <w:pPr>
              <w:pStyle w:val="28"/>
              <w:spacing w:before="79"/>
              <w:ind w:left="128" w:right="123"/>
              <w:jc w:val="left"/>
              <w:rPr>
                <w:szCs w:val="21"/>
              </w:rPr>
            </w:pPr>
            <w:r>
              <w:rPr>
                <w:szCs w:val="21"/>
              </w:rPr>
              <w:t>层门门锁电气触点</w:t>
            </w:r>
          </w:p>
        </w:tc>
        <w:tc>
          <w:tcPr>
            <w:tcW w:w="4350" w:type="dxa"/>
          </w:tcPr>
          <w:p>
            <w:pPr>
              <w:pStyle w:val="28"/>
              <w:spacing w:before="79"/>
              <w:jc w:val="left"/>
              <w:rPr>
                <w:szCs w:val="21"/>
              </w:rPr>
            </w:pPr>
            <w:r>
              <w:rPr>
                <w:szCs w:val="21"/>
              </w:rPr>
              <w:t>清洁，触点接触良好，接线可靠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7" w:hRule="atLeast"/>
        </w:trPr>
        <w:tc>
          <w:tcPr>
            <w:tcW w:w="826" w:type="dxa"/>
          </w:tcPr>
          <w:p>
            <w:pPr>
              <w:pStyle w:val="28"/>
              <w:spacing w:before="79"/>
              <w:ind w:right="281"/>
              <w:jc w:val="right"/>
              <w:rPr>
                <w:szCs w:val="21"/>
              </w:rPr>
            </w:pPr>
            <w:r>
              <w:rPr>
                <w:szCs w:val="21"/>
              </w:rPr>
              <w:t>29</w:t>
            </w:r>
          </w:p>
        </w:tc>
        <w:tc>
          <w:tcPr>
            <w:tcW w:w="4020" w:type="dxa"/>
          </w:tcPr>
          <w:p>
            <w:pPr>
              <w:pStyle w:val="28"/>
              <w:spacing w:before="79"/>
              <w:ind w:left="128" w:right="123"/>
              <w:jc w:val="left"/>
              <w:rPr>
                <w:szCs w:val="21"/>
              </w:rPr>
            </w:pPr>
            <w:r>
              <w:rPr>
                <w:szCs w:val="21"/>
              </w:rPr>
              <w:t>层门锁紧元件啮合长度</w:t>
            </w:r>
          </w:p>
        </w:tc>
        <w:tc>
          <w:tcPr>
            <w:tcW w:w="4350" w:type="dxa"/>
          </w:tcPr>
          <w:p>
            <w:pPr>
              <w:pStyle w:val="28"/>
              <w:spacing w:before="79"/>
              <w:ind w:right="105"/>
              <w:jc w:val="left"/>
              <w:rPr>
                <w:szCs w:val="21"/>
              </w:rPr>
            </w:pPr>
            <w:r>
              <w:rPr>
                <w:szCs w:val="21"/>
              </w:rPr>
              <w:t>不小于 7mm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70" w:hRule="atLeast"/>
        </w:trPr>
        <w:tc>
          <w:tcPr>
            <w:tcW w:w="826" w:type="dxa"/>
          </w:tcPr>
          <w:p>
            <w:pPr>
              <w:pStyle w:val="28"/>
              <w:spacing w:before="81"/>
              <w:ind w:right="281"/>
              <w:jc w:val="right"/>
              <w:rPr>
                <w:szCs w:val="21"/>
              </w:rPr>
            </w:pPr>
            <w:r>
              <w:rPr>
                <w:szCs w:val="21"/>
              </w:rPr>
              <w:t>30</w:t>
            </w:r>
          </w:p>
        </w:tc>
        <w:tc>
          <w:tcPr>
            <w:tcW w:w="4020" w:type="dxa"/>
          </w:tcPr>
          <w:p>
            <w:pPr>
              <w:pStyle w:val="28"/>
              <w:spacing w:before="81"/>
              <w:ind w:left="128" w:right="122"/>
              <w:rPr>
                <w:szCs w:val="21"/>
              </w:rPr>
            </w:pPr>
            <w:r>
              <w:rPr>
                <w:szCs w:val="21"/>
              </w:rPr>
              <w:t>底坑环境</w:t>
            </w:r>
          </w:p>
        </w:tc>
        <w:tc>
          <w:tcPr>
            <w:tcW w:w="4350" w:type="dxa"/>
          </w:tcPr>
          <w:p>
            <w:pPr>
              <w:pStyle w:val="28"/>
              <w:spacing w:before="81"/>
              <w:rPr>
                <w:szCs w:val="21"/>
              </w:rPr>
            </w:pPr>
            <w:r>
              <w:rPr>
                <w:szCs w:val="21"/>
              </w:rPr>
              <w:t>清洁，无渗水、积水，照明正常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826" w:type="dxa"/>
          </w:tcPr>
          <w:p>
            <w:pPr>
              <w:pStyle w:val="28"/>
              <w:spacing w:before="79"/>
              <w:ind w:right="281"/>
              <w:jc w:val="right"/>
              <w:rPr>
                <w:szCs w:val="21"/>
              </w:rPr>
            </w:pPr>
            <w:r>
              <w:rPr>
                <w:szCs w:val="21"/>
              </w:rPr>
              <w:t>31</w:t>
            </w:r>
          </w:p>
        </w:tc>
        <w:tc>
          <w:tcPr>
            <w:tcW w:w="4020" w:type="dxa"/>
          </w:tcPr>
          <w:p>
            <w:pPr>
              <w:pStyle w:val="28"/>
              <w:spacing w:before="79"/>
              <w:ind w:left="128" w:right="123"/>
              <w:rPr>
                <w:szCs w:val="21"/>
              </w:rPr>
            </w:pPr>
            <w:r>
              <w:rPr>
                <w:szCs w:val="21"/>
              </w:rPr>
              <w:t>底坑停止装置</w:t>
            </w:r>
          </w:p>
        </w:tc>
        <w:tc>
          <w:tcPr>
            <w:tcW w:w="4350" w:type="dxa"/>
          </w:tcPr>
          <w:p>
            <w:pPr>
              <w:pStyle w:val="28"/>
              <w:spacing w:before="79"/>
              <w:ind w:left="113" w:right="105"/>
              <w:rPr>
                <w:szCs w:val="21"/>
              </w:rPr>
            </w:pPr>
            <w:r>
              <w:rPr>
                <w:szCs w:val="21"/>
              </w:rPr>
              <w:t>工作正常</w:t>
            </w:r>
          </w:p>
        </w:tc>
      </w:tr>
    </w:tbl>
    <w:p>
      <w:pPr>
        <w:tabs>
          <w:tab w:val="left" w:pos="804"/>
        </w:tabs>
        <w:spacing w:after="27" w:line="429" w:lineRule="exact"/>
        <w:jc w:val="left"/>
        <w:rPr>
          <w:rFonts w:ascii="Microsoft JhengHei" w:eastAsiaTheme="minorEastAsia"/>
          <w:b/>
        </w:rPr>
      </w:pPr>
    </w:p>
    <w:p>
      <w:pPr>
        <w:tabs>
          <w:tab w:val="left" w:pos="804"/>
        </w:tabs>
        <w:spacing w:after="27" w:line="429" w:lineRule="exact"/>
      </w:pPr>
      <w:r>
        <w:rPr>
          <w:rFonts w:hint="eastAsia"/>
          <w:w w:val="105"/>
        </w:rPr>
        <w:t>2.液压驱动电梯维护保养项目</w:t>
      </w:r>
      <w:r>
        <w:rPr>
          <w:rFonts w:hint="eastAsia"/>
          <w:w w:val="120"/>
        </w:rPr>
        <w:t>(</w:t>
      </w:r>
      <w:r>
        <w:rPr>
          <w:rFonts w:hint="eastAsia"/>
          <w:w w:val="105"/>
        </w:rPr>
        <w:t>内容</w:t>
      </w:r>
      <w:r>
        <w:rPr>
          <w:rFonts w:hint="eastAsia"/>
          <w:w w:val="120"/>
        </w:rPr>
        <w:t>)</w:t>
      </w:r>
      <w:r>
        <w:rPr>
          <w:rFonts w:hint="eastAsia"/>
          <w:w w:val="105"/>
        </w:rPr>
        <w:t>和要求</w:t>
      </w:r>
    </w:p>
    <w:tbl>
      <w:tblPr>
        <w:tblStyle w:val="12"/>
        <w:tblW w:w="0" w:type="auto"/>
        <w:tblInd w:w="1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3604"/>
        <w:gridCol w:w="47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86" w:hRule="atLeast"/>
        </w:trPr>
        <w:tc>
          <w:tcPr>
            <w:tcW w:w="816" w:type="dxa"/>
          </w:tcPr>
          <w:p>
            <w:pPr>
              <w:pStyle w:val="28"/>
              <w:spacing w:before="79"/>
              <w:ind w:left="147" w:right="138"/>
              <w:jc w:val="center"/>
              <w:rPr>
                <w:szCs w:val="21"/>
              </w:rPr>
            </w:pPr>
            <w:r>
              <w:rPr>
                <w:szCs w:val="21"/>
              </w:rPr>
              <w:t>序号</w:t>
            </w:r>
          </w:p>
        </w:tc>
        <w:tc>
          <w:tcPr>
            <w:tcW w:w="3604" w:type="dxa"/>
          </w:tcPr>
          <w:p>
            <w:pPr>
              <w:pStyle w:val="28"/>
              <w:spacing w:before="79"/>
              <w:jc w:val="left"/>
              <w:rPr>
                <w:szCs w:val="21"/>
              </w:rPr>
            </w:pPr>
            <w:r>
              <w:rPr>
                <w:szCs w:val="21"/>
              </w:rPr>
              <w:t>维护保养项目(内容)</w:t>
            </w:r>
          </w:p>
        </w:tc>
        <w:tc>
          <w:tcPr>
            <w:tcW w:w="4776" w:type="dxa"/>
          </w:tcPr>
          <w:p>
            <w:pPr>
              <w:pStyle w:val="28"/>
              <w:spacing w:before="79"/>
              <w:ind w:left="1980"/>
              <w:rPr>
                <w:szCs w:val="21"/>
              </w:rPr>
            </w:pPr>
            <w:r>
              <w:rPr>
                <w:szCs w:val="21"/>
              </w:rPr>
              <w:t>维护保养基本要求</w:t>
            </w:r>
            <w:r>
              <w:rPr>
                <w:rFonts w:hint="eastAsia"/>
                <w:b/>
                <w:bCs/>
                <w:color w:val="FF000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816" w:type="dxa"/>
          </w:tcPr>
          <w:p>
            <w:pPr>
              <w:pStyle w:val="28"/>
              <w:spacing w:before="79"/>
              <w:ind w:left="9"/>
              <w:jc w:val="center"/>
              <w:rPr>
                <w:szCs w:val="21"/>
              </w:rPr>
            </w:pPr>
            <w:r>
              <w:rPr>
                <w:szCs w:val="21"/>
              </w:rPr>
              <w:t>1</w:t>
            </w:r>
          </w:p>
        </w:tc>
        <w:tc>
          <w:tcPr>
            <w:tcW w:w="3604" w:type="dxa"/>
          </w:tcPr>
          <w:p>
            <w:pPr>
              <w:pStyle w:val="28"/>
              <w:spacing w:before="79"/>
              <w:ind w:left="87" w:right="81"/>
              <w:jc w:val="left"/>
              <w:rPr>
                <w:szCs w:val="21"/>
              </w:rPr>
            </w:pPr>
            <w:r>
              <w:rPr>
                <w:szCs w:val="21"/>
              </w:rPr>
              <w:t>机房环境</w:t>
            </w:r>
          </w:p>
        </w:tc>
        <w:tc>
          <w:tcPr>
            <w:tcW w:w="4776" w:type="dxa"/>
          </w:tcPr>
          <w:p>
            <w:pPr>
              <w:pStyle w:val="28"/>
              <w:spacing w:before="79"/>
              <w:jc w:val="left"/>
              <w:rPr>
                <w:szCs w:val="21"/>
              </w:rPr>
            </w:pPr>
            <w:r>
              <w:rPr>
                <w:szCs w:val="21"/>
              </w:rPr>
              <w:t>清洁，室温符合要求，门窗完好，照明正常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816" w:type="dxa"/>
          </w:tcPr>
          <w:p>
            <w:pPr>
              <w:pStyle w:val="28"/>
              <w:spacing w:before="79"/>
              <w:ind w:left="9"/>
              <w:jc w:val="center"/>
              <w:rPr>
                <w:szCs w:val="21"/>
              </w:rPr>
            </w:pPr>
            <w:r>
              <w:rPr>
                <w:szCs w:val="21"/>
              </w:rPr>
              <w:t>2</w:t>
            </w:r>
          </w:p>
        </w:tc>
        <w:tc>
          <w:tcPr>
            <w:tcW w:w="3604" w:type="dxa"/>
          </w:tcPr>
          <w:p>
            <w:pPr>
              <w:pStyle w:val="28"/>
              <w:spacing w:before="79"/>
              <w:jc w:val="left"/>
              <w:rPr>
                <w:szCs w:val="21"/>
              </w:rPr>
            </w:pPr>
            <w:r>
              <w:rPr>
                <w:szCs w:val="21"/>
              </w:rPr>
              <w:t>机房内手动泵操作装置</w:t>
            </w:r>
          </w:p>
        </w:tc>
        <w:tc>
          <w:tcPr>
            <w:tcW w:w="4776" w:type="dxa"/>
          </w:tcPr>
          <w:p>
            <w:pPr>
              <w:pStyle w:val="28"/>
              <w:spacing w:before="79"/>
              <w:jc w:val="left"/>
              <w:rPr>
                <w:szCs w:val="21"/>
              </w:rPr>
            </w:pPr>
            <w:r>
              <w:rPr>
                <w:szCs w:val="21"/>
              </w:rPr>
              <w:t>齐全，在指定位置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59" w:hRule="atLeast"/>
        </w:trPr>
        <w:tc>
          <w:tcPr>
            <w:tcW w:w="816" w:type="dxa"/>
          </w:tcPr>
          <w:p>
            <w:pPr>
              <w:pStyle w:val="28"/>
              <w:spacing w:before="81"/>
              <w:ind w:left="9"/>
              <w:jc w:val="center"/>
              <w:rPr>
                <w:szCs w:val="21"/>
              </w:rPr>
            </w:pPr>
            <w:r>
              <w:rPr>
                <w:szCs w:val="21"/>
              </w:rPr>
              <w:t>3</w:t>
            </w:r>
          </w:p>
        </w:tc>
        <w:tc>
          <w:tcPr>
            <w:tcW w:w="3604" w:type="dxa"/>
          </w:tcPr>
          <w:p>
            <w:pPr>
              <w:pStyle w:val="28"/>
              <w:spacing w:before="81"/>
              <w:ind w:left="87" w:right="81"/>
              <w:jc w:val="left"/>
              <w:rPr>
                <w:szCs w:val="21"/>
              </w:rPr>
            </w:pPr>
            <w:r>
              <w:rPr>
                <w:szCs w:val="21"/>
              </w:rPr>
              <w:t>油箱</w:t>
            </w:r>
          </w:p>
        </w:tc>
        <w:tc>
          <w:tcPr>
            <w:tcW w:w="4776" w:type="dxa"/>
          </w:tcPr>
          <w:p>
            <w:pPr>
              <w:pStyle w:val="28"/>
              <w:spacing w:before="81"/>
              <w:jc w:val="left"/>
              <w:rPr>
                <w:szCs w:val="21"/>
              </w:rPr>
            </w:pPr>
            <w:r>
              <w:rPr>
                <w:szCs w:val="21"/>
              </w:rPr>
              <w:t>油量、油温正常，无杂质、无漏油现象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816" w:type="dxa"/>
          </w:tcPr>
          <w:p>
            <w:pPr>
              <w:pStyle w:val="28"/>
              <w:spacing w:before="79"/>
              <w:ind w:left="9"/>
              <w:jc w:val="center"/>
              <w:rPr>
                <w:szCs w:val="21"/>
              </w:rPr>
            </w:pPr>
            <w:r>
              <w:rPr>
                <w:szCs w:val="21"/>
              </w:rPr>
              <w:t>4</w:t>
            </w:r>
          </w:p>
        </w:tc>
        <w:tc>
          <w:tcPr>
            <w:tcW w:w="3604" w:type="dxa"/>
          </w:tcPr>
          <w:p>
            <w:pPr>
              <w:pStyle w:val="28"/>
              <w:spacing w:before="79"/>
              <w:ind w:left="87" w:right="81"/>
              <w:jc w:val="left"/>
              <w:rPr>
                <w:szCs w:val="21"/>
              </w:rPr>
            </w:pPr>
            <w:r>
              <w:rPr>
                <w:szCs w:val="21"/>
              </w:rPr>
              <w:t>电动机</w:t>
            </w:r>
          </w:p>
        </w:tc>
        <w:tc>
          <w:tcPr>
            <w:tcW w:w="4776" w:type="dxa"/>
          </w:tcPr>
          <w:p>
            <w:pPr>
              <w:pStyle w:val="28"/>
              <w:spacing w:before="79"/>
              <w:jc w:val="left"/>
              <w:rPr>
                <w:szCs w:val="21"/>
              </w:rPr>
            </w:pPr>
            <w:r>
              <w:rPr>
                <w:szCs w:val="21"/>
              </w:rPr>
              <w:t>运行时无异常振动和异常声响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816" w:type="dxa"/>
          </w:tcPr>
          <w:p>
            <w:pPr>
              <w:pStyle w:val="28"/>
              <w:spacing w:before="79"/>
              <w:ind w:left="9"/>
              <w:jc w:val="center"/>
              <w:rPr>
                <w:szCs w:val="21"/>
              </w:rPr>
            </w:pPr>
            <w:r>
              <w:rPr>
                <w:szCs w:val="21"/>
              </w:rPr>
              <w:t>5</w:t>
            </w:r>
          </w:p>
        </w:tc>
        <w:tc>
          <w:tcPr>
            <w:tcW w:w="3604" w:type="dxa"/>
          </w:tcPr>
          <w:p>
            <w:pPr>
              <w:pStyle w:val="28"/>
              <w:spacing w:before="79"/>
              <w:jc w:val="left"/>
              <w:rPr>
                <w:szCs w:val="21"/>
              </w:rPr>
            </w:pPr>
            <w:r>
              <w:rPr>
                <w:szCs w:val="21"/>
              </w:rPr>
              <w:t>层门和轿门旁路装置</w:t>
            </w:r>
          </w:p>
        </w:tc>
        <w:tc>
          <w:tcPr>
            <w:tcW w:w="4776" w:type="dxa"/>
          </w:tcPr>
          <w:p>
            <w:pPr>
              <w:pStyle w:val="28"/>
              <w:spacing w:before="79"/>
              <w:ind w:left="99" w:right="90"/>
              <w:jc w:val="left"/>
              <w:rPr>
                <w:szCs w:val="21"/>
              </w:rPr>
            </w:pPr>
            <w:r>
              <w:rPr>
                <w:szCs w:val="21"/>
              </w:rPr>
              <w:t>工作正常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47" w:hRule="atLeast"/>
        </w:trPr>
        <w:tc>
          <w:tcPr>
            <w:tcW w:w="816" w:type="dxa"/>
          </w:tcPr>
          <w:p>
            <w:pPr>
              <w:pStyle w:val="28"/>
              <w:jc w:val="center"/>
              <w:rPr>
                <w:szCs w:val="21"/>
              </w:rPr>
            </w:pPr>
            <w:r>
              <w:rPr>
                <w:szCs w:val="21"/>
              </w:rPr>
              <w:t>6</w:t>
            </w:r>
          </w:p>
        </w:tc>
        <w:tc>
          <w:tcPr>
            <w:tcW w:w="3604" w:type="dxa"/>
          </w:tcPr>
          <w:p>
            <w:pPr>
              <w:pStyle w:val="28"/>
              <w:spacing w:before="79"/>
              <w:ind w:left="107" w:right="-29"/>
              <w:jc w:val="left"/>
              <w:rPr>
                <w:szCs w:val="21"/>
              </w:rPr>
            </w:pPr>
            <w:r>
              <w:rPr>
                <w:spacing w:val="-12"/>
                <w:szCs w:val="21"/>
              </w:rPr>
              <w:t>阀、泵、消音器、油管、表、</w:t>
            </w:r>
            <w:r>
              <w:rPr>
                <w:szCs w:val="21"/>
              </w:rPr>
              <w:t>接口等部件</w:t>
            </w:r>
          </w:p>
        </w:tc>
        <w:tc>
          <w:tcPr>
            <w:tcW w:w="4776" w:type="dxa"/>
          </w:tcPr>
          <w:p>
            <w:pPr>
              <w:pStyle w:val="28"/>
              <w:ind w:right="90"/>
              <w:jc w:val="left"/>
              <w:rPr>
                <w:szCs w:val="21"/>
              </w:rPr>
            </w:pPr>
            <w:r>
              <w:rPr>
                <w:szCs w:val="21"/>
              </w:rPr>
              <w:t>无漏油现象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2" w:hRule="atLeast"/>
        </w:trPr>
        <w:tc>
          <w:tcPr>
            <w:tcW w:w="816" w:type="dxa"/>
          </w:tcPr>
          <w:p>
            <w:pPr>
              <w:pStyle w:val="28"/>
              <w:spacing w:before="79"/>
              <w:ind w:left="347"/>
              <w:rPr>
                <w:szCs w:val="21"/>
              </w:rPr>
            </w:pPr>
            <w:r>
              <w:rPr>
                <w:szCs w:val="21"/>
              </w:rPr>
              <w:t>7</w:t>
            </w:r>
          </w:p>
        </w:tc>
        <w:tc>
          <w:tcPr>
            <w:tcW w:w="3604" w:type="dxa"/>
          </w:tcPr>
          <w:p>
            <w:pPr>
              <w:pStyle w:val="28"/>
              <w:spacing w:before="79"/>
              <w:ind w:left="87" w:right="81"/>
              <w:jc w:val="left"/>
              <w:rPr>
                <w:szCs w:val="21"/>
              </w:rPr>
            </w:pPr>
            <w:r>
              <w:rPr>
                <w:szCs w:val="21"/>
              </w:rPr>
              <w:t>编码器</w:t>
            </w:r>
          </w:p>
        </w:tc>
        <w:tc>
          <w:tcPr>
            <w:tcW w:w="4776" w:type="dxa"/>
          </w:tcPr>
          <w:p>
            <w:pPr>
              <w:pStyle w:val="28"/>
              <w:spacing w:before="79"/>
              <w:ind w:right="90"/>
              <w:jc w:val="left"/>
              <w:rPr>
                <w:szCs w:val="21"/>
              </w:rPr>
            </w:pPr>
            <w:r>
              <w:rPr>
                <w:szCs w:val="21"/>
              </w:rPr>
              <w:t>清洁，安装牢固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5" w:hRule="atLeast"/>
        </w:trPr>
        <w:tc>
          <w:tcPr>
            <w:tcW w:w="816" w:type="dxa"/>
          </w:tcPr>
          <w:p>
            <w:pPr>
              <w:pStyle w:val="28"/>
              <w:spacing w:before="79"/>
              <w:ind w:left="347"/>
              <w:rPr>
                <w:szCs w:val="21"/>
              </w:rPr>
            </w:pPr>
            <w:r>
              <w:rPr>
                <w:szCs w:val="21"/>
              </w:rPr>
              <w:t>8</w:t>
            </w:r>
          </w:p>
        </w:tc>
        <w:tc>
          <w:tcPr>
            <w:tcW w:w="3604" w:type="dxa"/>
          </w:tcPr>
          <w:p>
            <w:pPr>
              <w:pStyle w:val="28"/>
              <w:spacing w:before="79"/>
              <w:ind w:left="87" w:right="81"/>
              <w:jc w:val="left"/>
              <w:rPr>
                <w:szCs w:val="21"/>
              </w:rPr>
            </w:pPr>
            <w:r>
              <w:rPr>
                <w:szCs w:val="21"/>
              </w:rPr>
              <w:t>轿顶</w:t>
            </w:r>
          </w:p>
        </w:tc>
        <w:tc>
          <w:tcPr>
            <w:tcW w:w="4776" w:type="dxa"/>
          </w:tcPr>
          <w:p>
            <w:pPr>
              <w:pStyle w:val="28"/>
              <w:spacing w:before="79"/>
              <w:ind w:right="90"/>
              <w:jc w:val="left"/>
              <w:rPr>
                <w:szCs w:val="21"/>
              </w:rPr>
            </w:pPr>
            <w:r>
              <w:rPr>
                <w:szCs w:val="21"/>
              </w:rPr>
              <w:t>清洁，防护栏安全可靠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816" w:type="dxa"/>
          </w:tcPr>
          <w:p>
            <w:pPr>
              <w:pStyle w:val="28"/>
              <w:spacing w:before="79"/>
              <w:ind w:left="347"/>
              <w:rPr>
                <w:szCs w:val="21"/>
              </w:rPr>
            </w:pPr>
            <w:r>
              <w:rPr>
                <w:szCs w:val="21"/>
              </w:rPr>
              <w:t>9</w:t>
            </w:r>
          </w:p>
        </w:tc>
        <w:tc>
          <w:tcPr>
            <w:tcW w:w="3604" w:type="dxa"/>
          </w:tcPr>
          <w:p>
            <w:pPr>
              <w:pStyle w:val="28"/>
              <w:spacing w:before="79"/>
              <w:ind w:left="87" w:right="81"/>
              <w:jc w:val="left"/>
              <w:rPr>
                <w:szCs w:val="21"/>
              </w:rPr>
            </w:pPr>
            <w:r>
              <w:rPr>
                <w:szCs w:val="21"/>
              </w:rPr>
              <w:t>轿顶检修开关、停止装置</w:t>
            </w:r>
          </w:p>
        </w:tc>
        <w:tc>
          <w:tcPr>
            <w:tcW w:w="4776" w:type="dxa"/>
          </w:tcPr>
          <w:p>
            <w:pPr>
              <w:pStyle w:val="28"/>
              <w:spacing w:before="79"/>
              <w:ind w:right="90"/>
              <w:jc w:val="left"/>
              <w:rPr>
                <w:szCs w:val="21"/>
              </w:rPr>
            </w:pPr>
            <w:r>
              <w:rPr>
                <w:szCs w:val="21"/>
              </w:rPr>
              <w:t>工作正常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2" w:hRule="atLeast"/>
        </w:trPr>
        <w:tc>
          <w:tcPr>
            <w:tcW w:w="816" w:type="dxa"/>
          </w:tcPr>
          <w:p>
            <w:pPr>
              <w:pStyle w:val="28"/>
              <w:spacing w:before="81"/>
              <w:ind w:left="287"/>
              <w:rPr>
                <w:szCs w:val="21"/>
              </w:rPr>
            </w:pPr>
            <w:r>
              <w:rPr>
                <w:szCs w:val="21"/>
              </w:rPr>
              <w:t>10</w:t>
            </w:r>
          </w:p>
        </w:tc>
        <w:tc>
          <w:tcPr>
            <w:tcW w:w="3604" w:type="dxa"/>
          </w:tcPr>
          <w:p>
            <w:pPr>
              <w:pStyle w:val="28"/>
              <w:spacing w:before="81"/>
              <w:ind w:left="87" w:right="81"/>
              <w:jc w:val="left"/>
              <w:rPr>
                <w:szCs w:val="21"/>
              </w:rPr>
            </w:pPr>
            <w:r>
              <w:rPr>
                <w:szCs w:val="21"/>
              </w:rPr>
              <w:t>导靴上油杯</w:t>
            </w:r>
          </w:p>
        </w:tc>
        <w:tc>
          <w:tcPr>
            <w:tcW w:w="4776" w:type="dxa"/>
          </w:tcPr>
          <w:p>
            <w:pPr>
              <w:pStyle w:val="28"/>
              <w:spacing w:before="81"/>
              <w:ind w:left="99" w:right="91"/>
              <w:jc w:val="left"/>
              <w:rPr>
                <w:szCs w:val="21"/>
              </w:rPr>
            </w:pPr>
            <w:r>
              <w:rPr>
                <w:szCs w:val="21"/>
              </w:rPr>
              <w:t>吸油毛毡齐全，油量适宜，油杯无泄漏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5" w:hRule="atLeast"/>
        </w:trPr>
        <w:tc>
          <w:tcPr>
            <w:tcW w:w="816" w:type="dxa"/>
          </w:tcPr>
          <w:p>
            <w:pPr>
              <w:pStyle w:val="28"/>
              <w:spacing w:before="79"/>
              <w:ind w:left="287"/>
              <w:rPr>
                <w:szCs w:val="21"/>
              </w:rPr>
            </w:pPr>
            <w:r>
              <w:rPr>
                <w:szCs w:val="21"/>
              </w:rPr>
              <w:t>11</w:t>
            </w:r>
          </w:p>
        </w:tc>
        <w:tc>
          <w:tcPr>
            <w:tcW w:w="3604" w:type="dxa"/>
          </w:tcPr>
          <w:p>
            <w:pPr>
              <w:pStyle w:val="28"/>
              <w:spacing w:before="79"/>
              <w:ind w:left="87" w:right="81"/>
              <w:jc w:val="left"/>
              <w:rPr>
                <w:szCs w:val="21"/>
              </w:rPr>
            </w:pPr>
            <w:r>
              <w:rPr>
                <w:szCs w:val="21"/>
              </w:rPr>
              <w:t>井道照明</w:t>
            </w:r>
          </w:p>
        </w:tc>
        <w:tc>
          <w:tcPr>
            <w:tcW w:w="4776" w:type="dxa"/>
          </w:tcPr>
          <w:p>
            <w:pPr>
              <w:pStyle w:val="28"/>
              <w:spacing w:before="79"/>
              <w:ind w:left="99" w:right="90"/>
              <w:jc w:val="left"/>
              <w:rPr>
                <w:szCs w:val="21"/>
              </w:rPr>
            </w:pPr>
            <w:r>
              <w:rPr>
                <w:szCs w:val="21"/>
              </w:rPr>
              <w:t>齐全，正常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816" w:type="dxa"/>
          </w:tcPr>
          <w:p>
            <w:pPr>
              <w:pStyle w:val="28"/>
              <w:spacing w:before="79"/>
              <w:ind w:left="287"/>
              <w:rPr>
                <w:szCs w:val="21"/>
              </w:rPr>
            </w:pPr>
            <w:r>
              <w:rPr>
                <w:szCs w:val="21"/>
              </w:rPr>
              <w:t>12</w:t>
            </w:r>
          </w:p>
        </w:tc>
        <w:tc>
          <w:tcPr>
            <w:tcW w:w="3604" w:type="dxa"/>
          </w:tcPr>
          <w:p>
            <w:pPr>
              <w:pStyle w:val="28"/>
              <w:spacing w:before="79"/>
              <w:ind w:left="87" w:right="81"/>
              <w:jc w:val="left"/>
              <w:rPr>
                <w:szCs w:val="21"/>
              </w:rPr>
            </w:pPr>
            <w:r>
              <w:rPr>
                <w:szCs w:val="21"/>
              </w:rPr>
              <w:t>限速器各销轴部位</w:t>
            </w:r>
          </w:p>
        </w:tc>
        <w:tc>
          <w:tcPr>
            <w:tcW w:w="4776" w:type="dxa"/>
          </w:tcPr>
          <w:p>
            <w:pPr>
              <w:pStyle w:val="28"/>
              <w:spacing w:before="79"/>
              <w:ind w:left="99" w:right="91"/>
              <w:jc w:val="left"/>
              <w:rPr>
                <w:szCs w:val="21"/>
              </w:rPr>
            </w:pPr>
            <w:r>
              <w:rPr>
                <w:szCs w:val="21"/>
              </w:rPr>
              <w:t>润滑，转动灵活，电气开关正常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 w:hRule="atLeast"/>
        </w:trPr>
        <w:tc>
          <w:tcPr>
            <w:tcW w:w="816" w:type="dxa"/>
          </w:tcPr>
          <w:p>
            <w:pPr>
              <w:pStyle w:val="28"/>
              <w:spacing w:before="79"/>
              <w:ind w:left="287"/>
              <w:rPr>
                <w:szCs w:val="21"/>
              </w:rPr>
            </w:pPr>
            <w:r>
              <w:rPr>
                <w:szCs w:val="21"/>
              </w:rPr>
              <w:t>13</w:t>
            </w:r>
          </w:p>
        </w:tc>
        <w:tc>
          <w:tcPr>
            <w:tcW w:w="3604" w:type="dxa"/>
          </w:tcPr>
          <w:p>
            <w:pPr>
              <w:pStyle w:val="28"/>
              <w:spacing w:before="79"/>
              <w:ind w:left="87" w:right="81"/>
              <w:jc w:val="left"/>
              <w:rPr>
                <w:szCs w:val="21"/>
              </w:rPr>
            </w:pPr>
            <w:r>
              <w:rPr>
                <w:szCs w:val="21"/>
              </w:rPr>
              <w:t>轿厢照明、风扇、应急照明</w:t>
            </w:r>
          </w:p>
        </w:tc>
        <w:tc>
          <w:tcPr>
            <w:tcW w:w="4776" w:type="dxa"/>
          </w:tcPr>
          <w:p>
            <w:pPr>
              <w:pStyle w:val="28"/>
              <w:spacing w:before="79"/>
              <w:ind w:left="99" w:right="90"/>
              <w:jc w:val="left"/>
              <w:rPr>
                <w:szCs w:val="21"/>
              </w:rPr>
            </w:pPr>
            <w:r>
              <w:rPr>
                <w:szCs w:val="21"/>
              </w:rPr>
              <w:t>工作正常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3" w:hRule="atLeast"/>
        </w:trPr>
        <w:tc>
          <w:tcPr>
            <w:tcW w:w="816" w:type="dxa"/>
          </w:tcPr>
          <w:p>
            <w:pPr>
              <w:pStyle w:val="28"/>
              <w:spacing w:before="79"/>
              <w:ind w:left="287"/>
              <w:rPr>
                <w:szCs w:val="21"/>
              </w:rPr>
            </w:pPr>
            <w:r>
              <w:rPr>
                <w:szCs w:val="21"/>
              </w:rPr>
              <w:t>14</w:t>
            </w:r>
          </w:p>
        </w:tc>
        <w:tc>
          <w:tcPr>
            <w:tcW w:w="3604" w:type="dxa"/>
          </w:tcPr>
          <w:p>
            <w:pPr>
              <w:pStyle w:val="28"/>
              <w:spacing w:before="79"/>
              <w:ind w:left="87" w:right="81"/>
              <w:jc w:val="left"/>
              <w:rPr>
                <w:szCs w:val="21"/>
              </w:rPr>
            </w:pPr>
            <w:r>
              <w:rPr>
                <w:szCs w:val="21"/>
              </w:rPr>
              <w:t>轿厢检修开关、停止装置</w:t>
            </w:r>
          </w:p>
        </w:tc>
        <w:tc>
          <w:tcPr>
            <w:tcW w:w="4776" w:type="dxa"/>
          </w:tcPr>
          <w:p>
            <w:pPr>
              <w:pStyle w:val="28"/>
              <w:spacing w:before="79"/>
              <w:ind w:left="99" w:right="90"/>
              <w:jc w:val="left"/>
              <w:rPr>
                <w:szCs w:val="21"/>
              </w:rPr>
            </w:pPr>
            <w:r>
              <w:rPr>
                <w:szCs w:val="21"/>
              </w:rPr>
              <w:t>工作正常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3" w:hRule="atLeast"/>
        </w:trPr>
        <w:tc>
          <w:tcPr>
            <w:tcW w:w="816" w:type="dxa"/>
          </w:tcPr>
          <w:p>
            <w:pPr>
              <w:pStyle w:val="28"/>
              <w:spacing w:before="79"/>
              <w:ind w:left="287"/>
              <w:rPr>
                <w:szCs w:val="21"/>
              </w:rPr>
            </w:pPr>
            <w:r>
              <w:rPr>
                <w:szCs w:val="21"/>
              </w:rPr>
              <w:t>15</w:t>
            </w:r>
          </w:p>
        </w:tc>
        <w:tc>
          <w:tcPr>
            <w:tcW w:w="3604" w:type="dxa"/>
          </w:tcPr>
          <w:p>
            <w:pPr>
              <w:pStyle w:val="28"/>
              <w:spacing w:before="79"/>
              <w:ind w:left="87" w:right="81"/>
              <w:jc w:val="left"/>
              <w:rPr>
                <w:szCs w:val="21"/>
              </w:rPr>
            </w:pPr>
            <w:r>
              <w:rPr>
                <w:szCs w:val="21"/>
              </w:rPr>
              <w:t>轿内报警装置、对讲系统</w:t>
            </w:r>
          </w:p>
        </w:tc>
        <w:tc>
          <w:tcPr>
            <w:tcW w:w="4776" w:type="dxa"/>
          </w:tcPr>
          <w:p>
            <w:pPr>
              <w:pStyle w:val="28"/>
              <w:spacing w:before="79"/>
              <w:ind w:left="99" w:right="90"/>
              <w:jc w:val="left"/>
              <w:rPr>
                <w:szCs w:val="21"/>
              </w:rPr>
            </w:pPr>
            <w:r>
              <w:rPr>
                <w:szCs w:val="21"/>
              </w:rPr>
              <w:t>正常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85" w:hRule="atLeast"/>
        </w:trPr>
        <w:tc>
          <w:tcPr>
            <w:tcW w:w="816" w:type="dxa"/>
          </w:tcPr>
          <w:p>
            <w:pPr>
              <w:pStyle w:val="28"/>
              <w:spacing w:before="81"/>
              <w:ind w:left="287"/>
              <w:rPr>
                <w:szCs w:val="21"/>
              </w:rPr>
            </w:pPr>
            <w:r>
              <w:rPr>
                <w:szCs w:val="21"/>
              </w:rPr>
              <w:t>16</w:t>
            </w:r>
          </w:p>
        </w:tc>
        <w:tc>
          <w:tcPr>
            <w:tcW w:w="3604" w:type="dxa"/>
          </w:tcPr>
          <w:p>
            <w:pPr>
              <w:pStyle w:val="28"/>
              <w:spacing w:before="81"/>
              <w:ind w:left="87" w:right="81"/>
              <w:jc w:val="left"/>
              <w:rPr>
                <w:szCs w:val="21"/>
              </w:rPr>
            </w:pPr>
            <w:r>
              <w:rPr>
                <w:szCs w:val="21"/>
              </w:rPr>
              <w:t>轿内显示、指令按钮</w:t>
            </w:r>
          </w:p>
        </w:tc>
        <w:tc>
          <w:tcPr>
            <w:tcW w:w="4776" w:type="dxa"/>
          </w:tcPr>
          <w:p>
            <w:pPr>
              <w:pStyle w:val="28"/>
              <w:spacing w:before="81"/>
              <w:ind w:left="99" w:right="90"/>
              <w:jc w:val="left"/>
              <w:rPr>
                <w:szCs w:val="21"/>
              </w:rPr>
            </w:pPr>
            <w:r>
              <w:rPr>
                <w:szCs w:val="21"/>
              </w:rPr>
              <w:t>齐全，有效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97" w:hRule="atLeast"/>
        </w:trPr>
        <w:tc>
          <w:tcPr>
            <w:tcW w:w="816" w:type="dxa"/>
          </w:tcPr>
          <w:p>
            <w:pPr>
              <w:pStyle w:val="28"/>
              <w:spacing w:before="17"/>
              <w:rPr>
                <w:rFonts w:ascii="Microsoft JhengHei"/>
                <w:b/>
                <w:szCs w:val="21"/>
              </w:rPr>
            </w:pPr>
          </w:p>
          <w:p>
            <w:pPr>
              <w:pStyle w:val="28"/>
              <w:ind w:left="287"/>
              <w:rPr>
                <w:szCs w:val="21"/>
              </w:rPr>
            </w:pPr>
            <w:r>
              <w:rPr>
                <w:szCs w:val="21"/>
              </w:rPr>
              <w:t>17</w:t>
            </w:r>
          </w:p>
        </w:tc>
        <w:tc>
          <w:tcPr>
            <w:tcW w:w="3604" w:type="dxa"/>
          </w:tcPr>
          <w:p>
            <w:pPr>
              <w:pStyle w:val="28"/>
              <w:spacing w:before="79"/>
              <w:ind w:left="87" w:right="80"/>
              <w:jc w:val="left"/>
              <w:rPr>
                <w:szCs w:val="21"/>
              </w:rPr>
            </w:pPr>
            <w:r>
              <w:rPr>
                <w:szCs w:val="21"/>
              </w:rPr>
              <w:t>轿门防撞击保护装置(安全触板，光幕、光电等)</w:t>
            </w:r>
          </w:p>
        </w:tc>
        <w:tc>
          <w:tcPr>
            <w:tcW w:w="4776" w:type="dxa"/>
          </w:tcPr>
          <w:p>
            <w:pPr>
              <w:pStyle w:val="28"/>
              <w:ind w:right="90"/>
              <w:jc w:val="left"/>
              <w:rPr>
                <w:szCs w:val="21"/>
              </w:rPr>
            </w:pPr>
            <w:r>
              <w:rPr>
                <w:szCs w:val="21"/>
              </w:rPr>
              <w:t>功能有效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trPr>
        <w:tc>
          <w:tcPr>
            <w:tcW w:w="816" w:type="dxa"/>
          </w:tcPr>
          <w:p>
            <w:pPr>
              <w:pStyle w:val="28"/>
              <w:spacing w:before="79"/>
              <w:ind w:left="287"/>
              <w:rPr>
                <w:szCs w:val="21"/>
              </w:rPr>
            </w:pPr>
            <w:r>
              <w:rPr>
                <w:szCs w:val="21"/>
              </w:rPr>
              <w:t>18</w:t>
            </w:r>
          </w:p>
        </w:tc>
        <w:tc>
          <w:tcPr>
            <w:tcW w:w="3604" w:type="dxa"/>
          </w:tcPr>
          <w:p>
            <w:pPr>
              <w:pStyle w:val="28"/>
              <w:spacing w:before="79"/>
              <w:ind w:left="87" w:right="81"/>
              <w:jc w:val="left"/>
              <w:rPr>
                <w:szCs w:val="21"/>
              </w:rPr>
            </w:pPr>
            <w:r>
              <w:rPr>
                <w:szCs w:val="21"/>
              </w:rPr>
              <w:t>轿门门锁触点</w:t>
            </w:r>
          </w:p>
        </w:tc>
        <w:tc>
          <w:tcPr>
            <w:tcW w:w="4776" w:type="dxa"/>
          </w:tcPr>
          <w:p>
            <w:pPr>
              <w:pStyle w:val="28"/>
              <w:spacing w:before="79"/>
              <w:ind w:left="99" w:right="91"/>
              <w:jc w:val="left"/>
              <w:rPr>
                <w:szCs w:val="21"/>
              </w:rPr>
            </w:pPr>
            <w:r>
              <w:rPr>
                <w:szCs w:val="21"/>
              </w:rPr>
              <w:t>清洁，触点接触良好，接线可靠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9" w:hRule="atLeast"/>
        </w:trPr>
        <w:tc>
          <w:tcPr>
            <w:tcW w:w="816" w:type="dxa"/>
          </w:tcPr>
          <w:p>
            <w:pPr>
              <w:pStyle w:val="28"/>
              <w:spacing w:before="79"/>
              <w:ind w:left="287"/>
              <w:rPr>
                <w:szCs w:val="21"/>
              </w:rPr>
            </w:pPr>
            <w:r>
              <w:rPr>
                <w:szCs w:val="21"/>
              </w:rPr>
              <w:t>19</w:t>
            </w:r>
          </w:p>
        </w:tc>
        <w:tc>
          <w:tcPr>
            <w:tcW w:w="3604" w:type="dxa"/>
          </w:tcPr>
          <w:p>
            <w:pPr>
              <w:pStyle w:val="28"/>
              <w:spacing w:before="79"/>
              <w:ind w:left="87" w:right="81"/>
              <w:jc w:val="left"/>
              <w:rPr>
                <w:szCs w:val="21"/>
              </w:rPr>
            </w:pPr>
            <w:r>
              <w:rPr>
                <w:szCs w:val="21"/>
              </w:rPr>
              <w:t>轿门运行 开启和关闭</w:t>
            </w:r>
          </w:p>
        </w:tc>
        <w:tc>
          <w:tcPr>
            <w:tcW w:w="4776" w:type="dxa"/>
          </w:tcPr>
          <w:p>
            <w:pPr>
              <w:pStyle w:val="28"/>
              <w:spacing w:before="79"/>
              <w:ind w:left="99" w:right="90"/>
              <w:jc w:val="left"/>
              <w:rPr>
                <w:szCs w:val="21"/>
              </w:rPr>
            </w:pPr>
            <w:r>
              <w:rPr>
                <w:szCs w:val="21"/>
              </w:rPr>
              <w:t>工作正常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0" w:hRule="atLeast"/>
        </w:trPr>
        <w:tc>
          <w:tcPr>
            <w:tcW w:w="816" w:type="dxa"/>
          </w:tcPr>
          <w:p>
            <w:pPr>
              <w:pStyle w:val="28"/>
              <w:spacing w:before="79"/>
              <w:ind w:left="287"/>
              <w:rPr>
                <w:szCs w:val="21"/>
              </w:rPr>
            </w:pPr>
            <w:r>
              <w:rPr>
                <w:szCs w:val="21"/>
              </w:rPr>
              <w:t>20</w:t>
            </w:r>
          </w:p>
        </w:tc>
        <w:tc>
          <w:tcPr>
            <w:tcW w:w="3604" w:type="dxa"/>
          </w:tcPr>
          <w:p>
            <w:pPr>
              <w:pStyle w:val="28"/>
              <w:spacing w:before="79"/>
              <w:ind w:left="87" w:right="81"/>
              <w:jc w:val="left"/>
              <w:rPr>
                <w:szCs w:val="21"/>
              </w:rPr>
            </w:pPr>
            <w:r>
              <w:rPr>
                <w:szCs w:val="21"/>
              </w:rPr>
              <w:t>轿厢平层准确度</w:t>
            </w:r>
          </w:p>
        </w:tc>
        <w:tc>
          <w:tcPr>
            <w:tcW w:w="4776" w:type="dxa"/>
          </w:tcPr>
          <w:p>
            <w:pPr>
              <w:pStyle w:val="28"/>
              <w:spacing w:before="79"/>
              <w:ind w:left="99" w:right="90"/>
              <w:jc w:val="left"/>
              <w:rPr>
                <w:szCs w:val="21"/>
              </w:rPr>
            </w:pPr>
            <w:r>
              <w:rPr>
                <w:szCs w:val="21"/>
              </w:rPr>
              <w:t>符合标准值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816" w:type="dxa"/>
          </w:tcPr>
          <w:p>
            <w:pPr>
              <w:pStyle w:val="28"/>
              <w:spacing w:before="79"/>
              <w:ind w:left="287"/>
              <w:rPr>
                <w:szCs w:val="21"/>
              </w:rPr>
            </w:pPr>
            <w:r>
              <w:rPr>
                <w:szCs w:val="21"/>
              </w:rPr>
              <w:t>21</w:t>
            </w:r>
          </w:p>
        </w:tc>
        <w:tc>
          <w:tcPr>
            <w:tcW w:w="3604" w:type="dxa"/>
          </w:tcPr>
          <w:p>
            <w:pPr>
              <w:pStyle w:val="28"/>
              <w:spacing w:before="79"/>
              <w:ind w:left="87" w:right="81"/>
              <w:jc w:val="left"/>
              <w:rPr>
                <w:szCs w:val="21"/>
              </w:rPr>
            </w:pPr>
            <w:r>
              <w:rPr>
                <w:szCs w:val="21"/>
              </w:rPr>
              <w:t>层站召唤、层楼显示</w:t>
            </w:r>
          </w:p>
        </w:tc>
        <w:tc>
          <w:tcPr>
            <w:tcW w:w="4776" w:type="dxa"/>
          </w:tcPr>
          <w:p>
            <w:pPr>
              <w:pStyle w:val="28"/>
              <w:spacing w:before="79"/>
              <w:ind w:left="99" w:right="90"/>
              <w:jc w:val="left"/>
              <w:rPr>
                <w:szCs w:val="21"/>
              </w:rPr>
            </w:pPr>
            <w:r>
              <w:rPr>
                <w:szCs w:val="21"/>
              </w:rPr>
              <w:t>齐全，有效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 w:hRule="atLeast"/>
        </w:trPr>
        <w:tc>
          <w:tcPr>
            <w:tcW w:w="816" w:type="dxa"/>
          </w:tcPr>
          <w:p>
            <w:pPr>
              <w:pStyle w:val="28"/>
              <w:spacing w:before="81"/>
              <w:ind w:left="287"/>
              <w:rPr>
                <w:szCs w:val="21"/>
              </w:rPr>
            </w:pPr>
            <w:r>
              <w:rPr>
                <w:szCs w:val="21"/>
              </w:rPr>
              <w:t>22</w:t>
            </w:r>
          </w:p>
        </w:tc>
        <w:tc>
          <w:tcPr>
            <w:tcW w:w="3604" w:type="dxa"/>
          </w:tcPr>
          <w:p>
            <w:pPr>
              <w:pStyle w:val="28"/>
              <w:spacing w:before="81"/>
              <w:ind w:left="87" w:right="81"/>
              <w:jc w:val="left"/>
              <w:rPr>
                <w:szCs w:val="21"/>
              </w:rPr>
            </w:pPr>
            <w:r>
              <w:rPr>
                <w:szCs w:val="21"/>
              </w:rPr>
              <w:t>层门地坎</w:t>
            </w:r>
          </w:p>
        </w:tc>
        <w:tc>
          <w:tcPr>
            <w:tcW w:w="4776" w:type="dxa"/>
          </w:tcPr>
          <w:p>
            <w:pPr>
              <w:pStyle w:val="28"/>
              <w:spacing w:before="81"/>
              <w:ind w:left="99" w:right="90"/>
              <w:jc w:val="left"/>
              <w:rPr>
                <w:szCs w:val="21"/>
              </w:rPr>
            </w:pPr>
            <w:r>
              <w:rPr>
                <w:szCs w:val="21"/>
              </w:rPr>
              <w:t>清洁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816" w:type="dxa"/>
          </w:tcPr>
          <w:p>
            <w:pPr>
              <w:pStyle w:val="28"/>
              <w:spacing w:before="79"/>
              <w:ind w:left="287"/>
              <w:rPr>
                <w:szCs w:val="21"/>
              </w:rPr>
            </w:pPr>
            <w:r>
              <w:rPr>
                <w:szCs w:val="21"/>
              </w:rPr>
              <w:t>23</w:t>
            </w:r>
          </w:p>
        </w:tc>
        <w:tc>
          <w:tcPr>
            <w:tcW w:w="3604" w:type="dxa"/>
          </w:tcPr>
          <w:p>
            <w:pPr>
              <w:pStyle w:val="28"/>
              <w:spacing w:before="79"/>
              <w:ind w:left="87" w:right="81"/>
              <w:jc w:val="left"/>
              <w:rPr>
                <w:szCs w:val="21"/>
              </w:rPr>
            </w:pPr>
            <w:r>
              <w:rPr>
                <w:szCs w:val="21"/>
              </w:rPr>
              <w:t>层门自动关门装置</w:t>
            </w:r>
          </w:p>
        </w:tc>
        <w:tc>
          <w:tcPr>
            <w:tcW w:w="4776" w:type="dxa"/>
          </w:tcPr>
          <w:p>
            <w:pPr>
              <w:pStyle w:val="28"/>
              <w:spacing w:before="79"/>
              <w:ind w:left="99" w:right="90"/>
              <w:jc w:val="left"/>
              <w:rPr>
                <w:szCs w:val="21"/>
              </w:rPr>
            </w:pPr>
            <w:r>
              <w:rPr>
                <w:szCs w:val="21"/>
              </w:rPr>
              <w:t>正常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72" w:hRule="atLeast"/>
        </w:trPr>
        <w:tc>
          <w:tcPr>
            <w:tcW w:w="816" w:type="dxa"/>
          </w:tcPr>
          <w:p>
            <w:pPr>
              <w:pStyle w:val="28"/>
              <w:spacing w:before="17"/>
              <w:rPr>
                <w:rFonts w:ascii="Microsoft JhengHei"/>
                <w:b/>
                <w:szCs w:val="21"/>
              </w:rPr>
            </w:pPr>
          </w:p>
          <w:p>
            <w:pPr>
              <w:pStyle w:val="28"/>
              <w:ind w:left="287"/>
              <w:rPr>
                <w:szCs w:val="21"/>
              </w:rPr>
            </w:pPr>
            <w:r>
              <w:rPr>
                <w:szCs w:val="21"/>
              </w:rPr>
              <w:t>24</w:t>
            </w:r>
          </w:p>
        </w:tc>
        <w:tc>
          <w:tcPr>
            <w:tcW w:w="3604" w:type="dxa"/>
          </w:tcPr>
          <w:p>
            <w:pPr>
              <w:pStyle w:val="28"/>
              <w:spacing w:before="17"/>
              <w:jc w:val="left"/>
              <w:rPr>
                <w:rFonts w:ascii="Microsoft JhengHei"/>
                <w:b/>
                <w:szCs w:val="21"/>
              </w:rPr>
            </w:pPr>
          </w:p>
          <w:p>
            <w:pPr>
              <w:pStyle w:val="28"/>
              <w:ind w:left="87" w:right="81"/>
              <w:jc w:val="left"/>
              <w:rPr>
                <w:szCs w:val="21"/>
              </w:rPr>
            </w:pPr>
            <w:r>
              <w:rPr>
                <w:szCs w:val="21"/>
              </w:rPr>
              <w:t>层门门锁自动复位</w:t>
            </w:r>
          </w:p>
        </w:tc>
        <w:tc>
          <w:tcPr>
            <w:tcW w:w="4776" w:type="dxa"/>
          </w:tcPr>
          <w:p>
            <w:pPr>
              <w:pStyle w:val="28"/>
              <w:spacing w:before="79"/>
              <w:ind w:left="99" w:right="91"/>
              <w:jc w:val="left"/>
              <w:rPr>
                <w:szCs w:val="21"/>
              </w:rPr>
            </w:pPr>
            <w:r>
              <w:rPr>
                <w:szCs w:val="21"/>
              </w:rPr>
              <w:t>用层门钥匙打开手动开锁装置释放后，层门门锁</w:t>
            </w:r>
          </w:p>
          <w:p>
            <w:pPr>
              <w:pStyle w:val="28"/>
              <w:spacing w:before="160"/>
              <w:ind w:left="99" w:right="90"/>
              <w:jc w:val="left"/>
              <w:rPr>
                <w:szCs w:val="21"/>
              </w:rPr>
            </w:pPr>
            <w:r>
              <w:rPr>
                <w:szCs w:val="21"/>
              </w:rPr>
              <w:t>能自动复位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1" w:hRule="atLeast"/>
        </w:trPr>
        <w:tc>
          <w:tcPr>
            <w:tcW w:w="816" w:type="dxa"/>
          </w:tcPr>
          <w:p>
            <w:pPr>
              <w:pStyle w:val="28"/>
              <w:spacing w:before="79"/>
              <w:ind w:left="287"/>
              <w:rPr>
                <w:szCs w:val="21"/>
              </w:rPr>
            </w:pPr>
            <w:r>
              <w:rPr>
                <w:szCs w:val="21"/>
              </w:rPr>
              <w:t>25</w:t>
            </w:r>
          </w:p>
        </w:tc>
        <w:tc>
          <w:tcPr>
            <w:tcW w:w="3604" w:type="dxa"/>
          </w:tcPr>
          <w:p>
            <w:pPr>
              <w:pStyle w:val="28"/>
              <w:spacing w:before="79"/>
              <w:ind w:left="87" w:right="81"/>
              <w:jc w:val="left"/>
              <w:rPr>
                <w:szCs w:val="21"/>
              </w:rPr>
            </w:pPr>
            <w:r>
              <w:rPr>
                <w:szCs w:val="21"/>
              </w:rPr>
              <w:t>层门门锁电气触点</w:t>
            </w:r>
          </w:p>
        </w:tc>
        <w:tc>
          <w:tcPr>
            <w:tcW w:w="4776" w:type="dxa"/>
          </w:tcPr>
          <w:p>
            <w:pPr>
              <w:pStyle w:val="28"/>
              <w:spacing w:before="79"/>
              <w:ind w:left="99" w:right="91"/>
              <w:jc w:val="left"/>
              <w:rPr>
                <w:szCs w:val="21"/>
              </w:rPr>
            </w:pPr>
            <w:r>
              <w:rPr>
                <w:szCs w:val="21"/>
              </w:rPr>
              <w:t>清洁，触点接触良好，接线可靠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trPr>
        <w:tc>
          <w:tcPr>
            <w:tcW w:w="816" w:type="dxa"/>
          </w:tcPr>
          <w:p>
            <w:pPr>
              <w:pStyle w:val="28"/>
              <w:spacing w:before="79"/>
              <w:ind w:left="287"/>
              <w:rPr>
                <w:szCs w:val="21"/>
              </w:rPr>
            </w:pPr>
            <w:r>
              <w:rPr>
                <w:szCs w:val="21"/>
              </w:rPr>
              <w:t>26</w:t>
            </w:r>
          </w:p>
        </w:tc>
        <w:tc>
          <w:tcPr>
            <w:tcW w:w="3604" w:type="dxa"/>
          </w:tcPr>
          <w:p>
            <w:pPr>
              <w:pStyle w:val="28"/>
              <w:spacing w:before="79"/>
              <w:ind w:left="87" w:right="81"/>
              <w:jc w:val="left"/>
              <w:rPr>
                <w:szCs w:val="21"/>
              </w:rPr>
            </w:pPr>
            <w:r>
              <w:rPr>
                <w:szCs w:val="21"/>
              </w:rPr>
              <w:t>层门锁紧元件啮合长度</w:t>
            </w:r>
          </w:p>
        </w:tc>
        <w:tc>
          <w:tcPr>
            <w:tcW w:w="4776" w:type="dxa"/>
          </w:tcPr>
          <w:p>
            <w:pPr>
              <w:pStyle w:val="28"/>
              <w:spacing w:before="79"/>
              <w:ind w:left="99" w:right="90"/>
              <w:jc w:val="left"/>
              <w:rPr>
                <w:szCs w:val="21"/>
              </w:rPr>
            </w:pPr>
            <w:r>
              <w:rPr>
                <w:szCs w:val="21"/>
              </w:rPr>
              <w:t>不小于 7mm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7" w:hRule="atLeast"/>
        </w:trPr>
        <w:tc>
          <w:tcPr>
            <w:tcW w:w="816" w:type="dxa"/>
          </w:tcPr>
          <w:p>
            <w:pPr>
              <w:pStyle w:val="28"/>
              <w:spacing w:before="79"/>
              <w:ind w:left="287"/>
              <w:rPr>
                <w:szCs w:val="21"/>
              </w:rPr>
            </w:pPr>
            <w:r>
              <w:rPr>
                <w:szCs w:val="21"/>
              </w:rPr>
              <w:t>27</w:t>
            </w:r>
          </w:p>
        </w:tc>
        <w:tc>
          <w:tcPr>
            <w:tcW w:w="3604" w:type="dxa"/>
          </w:tcPr>
          <w:p>
            <w:pPr>
              <w:pStyle w:val="28"/>
              <w:spacing w:before="79"/>
              <w:ind w:left="87" w:right="81"/>
              <w:jc w:val="left"/>
              <w:rPr>
                <w:szCs w:val="21"/>
              </w:rPr>
            </w:pPr>
            <w:r>
              <w:rPr>
                <w:szCs w:val="21"/>
              </w:rPr>
              <w:t>底坑</w:t>
            </w:r>
          </w:p>
        </w:tc>
        <w:tc>
          <w:tcPr>
            <w:tcW w:w="4776" w:type="dxa"/>
          </w:tcPr>
          <w:p>
            <w:pPr>
              <w:pStyle w:val="28"/>
              <w:spacing w:before="79"/>
              <w:ind w:left="99" w:right="91"/>
              <w:jc w:val="left"/>
              <w:rPr>
                <w:szCs w:val="21"/>
              </w:rPr>
            </w:pPr>
            <w:r>
              <w:rPr>
                <w:szCs w:val="21"/>
              </w:rPr>
              <w:t>清洁，无渗水、积水，照明正常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 w:hRule="atLeast"/>
        </w:trPr>
        <w:tc>
          <w:tcPr>
            <w:tcW w:w="816" w:type="dxa"/>
          </w:tcPr>
          <w:p>
            <w:pPr>
              <w:pStyle w:val="28"/>
              <w:spacing w:before="81"/>
              <w:ind w:left="287"/>
              <w:rPr>
                <w:szCs w:val="21"/>
              </w:rPr>
            </w:pPr>
            <w:r>
              <w:rPr>
                <w:szCs w:val="21"/>
              </w:rPr>
              <w:t>28</w:t>
            </w:r>
          </w:p>
        </w:tc>
        <w:tc>
          <w:tcPr>
            <w:tcW w:w="3604" w:type="dxa"/>
          </w:tcPr>
          <w:p>
            <w:pPr>
              <w:pStyle w:val="28"/>
              <w:spacing w:before="81"/>
              <w:ind w:left="87" w:right="81"/>
              <w:jc w:val="left"/>
              <w:rPr>
                <w:szCs w:val="21"/>
              </w:rPr>
            </w:pPr>
            <w:r>
              <w:rPr>
                <w:szCs w:val="21"/>
              </w:rPr>
              <w:t>底坑停止装置</w:t>
            </w:r>
          </w:p>
        </w:tc>
        <w:tc>
          <w:tcPr>
            <w:tcW w:w="4776" w:type="dxa"/>
          </w:tcPr>
          <w:p>
            <w:pPr>
              <w:pStyle w:val="28"/>
              <w:spacing w:before="81"/>
              <w:ind w:left="99" w:right="90"/>
              <w:jc w:val="left"/>
              <w:rPr>
                <w:szCs w:val="21"/>
              </w:rPr>
            </w:pPr>
            <w:r>
              <w:rPr>
                <w:szCs w:val="21"/>
              </w:rPr>
              <w:t>工作正常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7" w:hRule="atLeast"/>
        </w:trPr>
        <w:tc>
          <w:tcPr>
            <w:tcW w:w="816" w:type="dxa"/>
          </w:tcPr>
          <w:p>
            <w:pPr>
              <w:pStyle w:val="28"/>
              <w:spacing w:before="79"/>
              <w:ind w:left="287"/>
              <w:rPr>
                <w:szCs w:val="21"/>
              </w:rPr>
            </w:pPr>
            <w:r>
              <w:rPr>
                <w:szCs w:val="21"/>
              </w:rPr>
              <w:t>29</w:t>
            </w:r>
          </w:p>
        </w:tc>
        <w:tc>
          <w:tcPr>
            <w:tcW w:w="3604" w:type="dxa"/>
          </w:tcPr>
          <w:p>
            <w:pPr>
              <w:pStyle w:val="28"/>
              <w:spacing w:before="79"/>
              <w:ind w:left="87" w:right="81"/>
              <w:jc w:val="left"/>
              <w:rPr>
                <w:szCs w:val="21"/>
              </w:rPr>
            </w:pPr>
            <w:r>
              <w:rPr>
                <w:szCs w:val="21"/>
              </w:rPr>
              <w:t>液压柱塞</w:t>
            </w:r>
          </w:p>
        </w:tc>
        <w:tc>
          <w:tcPr>
            <w:tcW w:w="4776" w:type="dxa"/>
          </w:tcPr>
          <w:p>
            <w:pPr>
              <w:pStyle w:val="28"/>
              <w:spacing w:before="79"/>
              <w:ind w:left="99" w:right="91"/>
              <w:jc w:val="left"/>
              <w:rPr>
                <w:szCs w:val="21"/>
              </w:rPr>
            </w:pPr>
            <w:r>
              <w:rPr>
                <w:szCs w:val="21"/>
              </w:rPr>
              <w:t>无漏油，运行顺畅，柱塞表面光滑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7" w:hRule="atLeast"/>
        </w:trPr>
        <w:tc>
          <w:tcPr>
            <w:tcW w:w="816" w:type="dxa"/>
          </w:tcPr>
          <w:p>
            <w:pPr>
              <w:pStyle w:val="28"/>
              <w:spacing w:before="79"/>
              <w:ind w:left="287"/>
              <w:rPr>
                <w:szCs w:val="21"/>
              </w:rPr>
            </w:pPr>
            <w:r>
              <w:rPr>
                <w:szCs w:val="21"/>
              </w:rPr>
              <w:t>30</w:t>
            </w:r>
          </w:p>
        </w:tc>
        <w:tc>
          <w:tcPr>
            <w:tcW w:w="3604" w:type="dxa"/>
          </w:tcPr>
          <w:p>
            <w:pPr>
              <w:pStyle w:val="28"/>
              <w:spacing w:before="79"/>
              <w:ind w:left="87" w:right="81"/>
              <w:jc w:val="left"/>
              <w:rPr>
                <w:szCs w:val="21"/>
              </w:rPr>
            </w:pPr>
            <w:r>
              <w:rPr>
                <w:szCs w:val="21"/>
              </w:rPr>
              <w:t>井道内液压油管、接口</w:t>
            </w:r>
          </w:p>
        </w:tc>
        <w:tc>
          <w:tcPr>
            <w:tcW w:w="4776" w:type="dxa"/>
          </w:tcPr>
          <w:p>
            <w:pPr>
              <w:pStyle w:val="28"/>
              <w:spacing w:before="79"/>
              <w:ind w:left="99" w:right="90"/>
              <w:jc w:val="left"/>
              <w:rPr>
                <w:szCs w:val="21"/>
              </w:rPr>
            </w:pPr>
            <w:r>
              <w:rPr>
                <w:szCs w:val="21"/>
              </w:rPr>
              <w:t>无漏油</w:t>
            </w:r>
          </w:p>
        </w:tc>
      </w:tr>
    </w:tbl>
    <w:p>
      <w:pPr>
        <w:sectPr>
          <w:pgSz w:w="11910" w:h="16840"/>
          <w:pgMar w:top="1420" w:right="900" w:bottom="1300" w:left="1240" w:header="0" w:footer="1109" w:gutter="0"/>
          <w:cols w:space="720" w:num="1"/>
        </w:sectPr>
      </w:pPr>
    </w:p>
    <w:p>
      <w:pPr>
        <w:pStyle w:val="30"/>
        <w:tabs>
          <w:tab w:val="left" w:pos="802"/>
        </w:tabs>
        <w:spacing w:before="41"/>
        <w:ind w:left="0" w:firstLine="0"/>
        <w:rPr>
          <w:szCs w:val="21"/>
        </w:rPr>
      </w:pPr>
      <w:r>
        <w:rPr>
          <w:rFonts w:hint="eastAsia"/>
          <w:szCs w:val="21"/>
        </w:rPr>
        <w:t>3.</w:t>
      </w:r>
      <w:r>
        <w:rPr>
          <w:szCs w:val="21"/>
        </w:rPr>
        <w:t>杂物电梯维护保养项目(内容)和要求</w:t>
      </w:r>
    </w:p>
    <w:p>
      <w:pPr>
        <w:pStyle w:val="6"/>
        <w:spacing w:before="4"/>
        <w:rPr>
          <w:sz w:val="21"/>
          <w:szCs w:val="21"/>
        </w:rPr>
      </w:pPr>
    </w:p>
    <w:tbl>
      <w:tblPr>
        <w:tblStyle w:val="12"/>
        <w:tblW w:w="0" w:type="auto"/>
        <w:tblInd w:w="1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8"/>
        <w:gridCol w:w="2470"/>
        <w:gridCol w:w="57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7" w:hRule="atLeast"/>
        </w:trPr>
        <w:tc>
          <w:tcPr>
            <w:tcW w:w="958" w:type="dxa"/>
          </w:tcPr>
          <w:p>
            <w:pPr>
              <w:pStyle w:val="28"/>
              <w:spacing w:before="79"/>
              <w:ind w:left="219" w:right="208"/>
              <w:jc w:val="center"/>
              <w:rPr>
                <w:szCs w:val="21"/>
              </w:rPr>
            </w:pPr>
            <w:r>
              <w:rPr>
                <w:szCs w:val="21"/>
              </w:rPr>
              <w:t>序号</w:t>
            </w:r>
          </w:p>
        </w:tc>
        <w:tc>
          <w:tcPr>
            <w:tcW w:w="2470" w:type="dxa"/>
          </w:tcPr>
          <w:p>
            <w:pPr>
              <w:pStyle w:val="28"/>
              <w:spacing w:before="79"/>
              <w:jc w:val="left"/>
              <w:rPr>
                <w:szCs w:val="21"/>
              </w:rPr>
            </w:pPr>
            <w:r>
              <w:rPr>
                <w:szCs w:val="21"/>
              </w:rPr>
              <w:t>维护保养项目(内容)</w:t>
            </w:r>
          </w:p>
        </w:tc>
        <w:tc>
          <w:tcPr>
            <w:tcW w:w="5770" w:type="dxa"/>
          </w:tcPr>
          <w:p>
            <w:pPr>
              <w:pStyle w:val="28"/>
              <w:spacing w:before="79"/>
              <w:ind w:left="66" w:right="63"/>
              <w:rPr>
                <w:szCs w:val="21"/>
              </w:rPr>
            </w:pPr>
            <w:r>
              <w:rPr>
                <w:szCs w:val="21"/>
              </w:rPr>
              <w:t>维护保养基本要求</w:t>
            </w:r>
            <w:r>
              <w:rPr>
                <w:rFonts w:hint="eastAsia"/>
                <w:b/>
                <w:bCs/>
                <w:color w:val="FF000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958" w:type="dxa"/>
          </w:tcPr>
          <w:p>
            <w:pPr>
              <w:pStyle w:val="28"/>
              <w:spacing w:before="79"/>
              <w:ind w:left="11"/>
              <w:jc w:val="center"/>
              <w:rPr>
                <w:szCs w:val="21"/>
              </w:rPr>
            </w:pPr>
            <w:r>
              <w:rPr>
                <w:szCs w:val="21"/>
              </w:rPr>
              <w:t>1</w:t>
            </w:r>
          </w:p>
        </w:tc>
        <w:tc>
          <w:tcPr>
            <w:tcW w:w="2470" w:type="dxa"/>
          </w:tcPr>
          <w:p>
            <w:pPr>
              <w:pStyle w:val="28"/>
              <w:spacing w:before="79"/>
              <w:jc w:val="left"/>
              <w:rPr>
                <w:szCs w:val="21"/>
              </w:rPr>
            </w:pPr>
            <w:r>
              <w:rPr>
                <w:szCs w:val="21"/>
              </w:rPr>
              <w:t>机房、通道环境</w:t>
            </w:r>
          </w:p>
        </w:tc>
        <w:tc>
          <w:tcPr>
            <w:tcW w:w="5770" w:type="dxa"/>
          </w:tcPr>
          <w:p>
            <w:pPr>
              <w:pStyle w:val="28"/>
              <w:spacing w:before="79"/>
              <w:ind w:left="66" w:right="63"/>
              <w:rPr>
                <w:szCs w:val="21"/>
              </w:rPr>
            </w:pPr>
            <w:r>
              <w:rPr>
                <w:szCs w:val="21"/>
              </w:rPr>
              <w:t>清洁，门窗完好，照明正常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958" w:type="dxa"/>
          </w:tcPr>
          <w:p>
            <w:pPr>
              <w:pStyle w:val="28"/>
              <w:spacing w:before="79"/>
              <w:ind w:left="11"/>
              <w:jc w:val="center"/>
              <w:rPr>
                <w:szCs w:val="21"/>
              </w:rPr>
            </w:pPr>
            <w:r>
              <w:rPr>
                <w:szCs w:val="21"/>
              </w:rPr>
              <w:t>2</w:t>
            </w:r>
          </w:p>
        </w:tc>
        <w:tc>
          <w:tcPr>
            <w:tcW w:w="2470" w:type="dxa"/>
          </w:tcPr>
          <w:p>
            <w:pPr>
              <w:pStyle w:val="28"/>
              <w:spacing w:before="79"/>
              <w:jc w:val="left"/>
              <w:rPr>
                <w:szCs w:val="21"/>
              </w:rPr>
            </w:pPr>
            <w:r>
              <w:rPr>
                <w:szCs w:val="21"/>
              </w:rPr>
              <w:t>手动紧急操作装置</w:t>
            </w:r>
          </w:p>
        </w:tc>
        <w:tc>
          <w:tcPr>
            <w:tcW w:w="5770" w:type="dxa"/>
          </w:tcPr>
          <w:p>
            <w:pPr>
              <w:pStyle w:val="28"/>
              <w:spacing w:before="79"/>
              <w:ind w:left="66" w:right="63"/>
              <w:rPr>
                <w:szCs w:val="21"/>
              </w:rPr>
            </w:pPr>
            <w:r>
              <w:rPr>
                <w:szCs w:val="21"/>
              </w:rPr>
              <w:t>齐全，在指定位置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70" w:hRule="atLeast"/>
        </w:trPr>
        <w:tc>
          <w:tcPr>
            <w:tcW w:w="958" w:type="dxa"/>
          </w:tcPr>
          <w:p>
            <w:pPr>
              <w:pStyle w:val="28"/>
              <w:spacing w:before="81"/>
              <w:ind w:left="11"/>
              <w:jc w:val="center"/>
              <w:rPr>
                <w:szCs w:val="21"/>
              </w:rPr>
            </w:pPr>
            <w:r>
              <w:rPr>
                <w:szCs w:val="21"/>
              </w:rPr>
              <w:t>3</w:t>
            </w:r>
          </w:p>
        </w:tc>
        <w:tc>
          <w:tcPr>
            <w:tcW w:w="2470" w:type="dxa"/>
          </w:tcPr>
          <w:p>
            <w:pPr>
              <w:pStyle w:val="28"/>
              <w:spacing w:before="81"/>
              <w:ind w:right="1121"/>
              <w:jc w:val="left"/>
              <w:rPr>
                <w:szCs w:val="21"/>
              </w:rPr>
            </w:pPr>
            <w:r>
              <w:rPr>
                <w:szCs w:val="21"/>
              </w:rPr>
              <w:t>驱动主机</w:t>
            </w:r>
          </w:p>
        </w:tc>
        <w:tc>
          <w:tcPr>
            <w:tcW w:w="5770" w:type="dxa"/>
          </w:tcPr>
          <w:p>
            <w:pPr>
              <w:pStyle w:val="28"/>
              <w:spacing w:before="81"/>
              <w:ind w:left="66" w:right="63"/>
              <w:rPr>
                <w:szCs w:val="21"/>
              </w:rPr>
            </w:pPr>
            <w:r>
              <w:rPr>
                <w:szCs w:val="21"/>
              </w:rPr>
              <w:t>运行时无异常振动和异常声响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958" w:type="dxa"/>
          </w:tcPr>
          <w:p>
            <w:pPr>
              <w:pStyle w:val="28"/>
              <w:spacing w:before="79"/>
              <w:ind w:left="11"/>
              <w:jc w:val="center"/>
              <w:rPr>
                <w:szCs w:val="21"/>
              </w:rPr>
            </w:pPr>
            <w:r>
              <w:rPr>
                <w:szCs w:val="21"/>
              </w:rPr>
              <w:t>4</w:t>
            </w:r>
          </w:p>
        </w:tc>
        <w:tc>
          <w:tcPr>
            <w:tcW w:w="2470" w:type="dxa"/>
          </w:tcPr>
          <w:p>
            <w:pPr>
              <w:pStyle w:val="28"/>
              <w:spacing w:before="79"/>
              <w:jc w:val="left"/>
              <w:rPr>
                <w:szCs w:val="21"/>
              </w:rPr>
            </w:pPr>
            <w:r>
              <w:rPr>
                <w:szCs w:val="21"/>
              </w:rPr>
              <w:t>制动器各销轴部位</w:t>
            </w:r>
          </w:p>
        </w:tc>
        <w:tc>
          <w:tcPr>
            <w:tcW w:w="5770" w:type="dxa"/>
          </w:tcPr>
          <w:p>
            <w:pPr>
              <w:pStyle w:val="28"/>
              <w:spacing w:before="79"/>
              <w:ind w:left="66" w:right="63"/>
              <w:rPr>
                <w:szCs w:val="21"/>
              </w:rPr>
            </w:pPr>
            <w:r>
              <w:rPr>
                <w:szCs w:val="21"/>
              </w:rPr>
              <w:t>润滑，动作灵活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7" w:hRule="atLeast"/>
        </w:trPr>
        <w:tc>
          <w:tcPr>
            <w:tcW w:w="958" w:type="dxa"/>
          </w:tcPr>
          <w:p>
            <w:pPr>
              <w:pStyle w:val="28"/>
              <w:spacing w:before="79"/>
              <w:ind w:left="11"/>
              <w:jc w:val="center"/>
              <w:rPr>
                <w:szCs w:val="21"/>
              </w:rPr>
            </w:pPr>
            <w:r>
              <w:rPr>
                <w:szCs w:val="21"/>
              </w:rPr>
              <w:t>5</w:t>
            </w:r>
          </w:p>
        </w:tc>
        <w:tc>
          <w:tcPr>
            <w:tcW w:w="2470" w:type="dxa"/>
          </w:tcPr>
          <w:p>
            <w:pPr>
              <w:pStyle w:val="28"/>
              <w:spacing w:before="79"/>
              <w:jc w:val="left"/>
              <w:rPr>
                <w:szCs w:val="21"/>
              </w:rPr>
            </w:pPr>
            <w:r>
              <w:rPr>
                <w:szCs w:val="21"/>
              </w:rPr>
              <w:t>制动器间隙</w:t>
            </w:r>
          </w:p>
        </w:tc>
        <w:tc>
          <w:tcPr>
            <w:tcW w:w="5770" w:type="dxa"/>
          </w:tcPr>
          <w:p>
            <w:pPr>
              <w:pStyle w:val="28"/>
              <w:spacing w:before="79"/>
              <w:ind w:left="66" w:right="63"/>
              <w:rPr>
                <w:szCs w:val="21"/>
              </w:rPr>
            </w:pPr>
            <w:r>
              <w:rPr>
                <w:szCs w:val="21"/>
              </w:rPr>
              <w:t>打开时制动衬与制动轮不发生摩擦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958" w:type="dxa"/>
          </w:tcPr>
          <w:p>
            <w:pPr>
              <w:pStyle w:val="28"/>
              <w:spacing w:before="79"/>
              <w:ind w:left="11"/>
              <w:jc w:val="center"/>
              <w:rPr>
                <w:szCs w:val="21"/>
              </w:rPr>
            </w:pPr>
            <w:r>
              <w:rPr>
                <w:szCs w:val="21"/>
              </w:rPr>
              <w:t>6</w:t>
            </w:r>
          </w:p>
        </w:tc>
        <w:tc>
          <w:tcPr>
            <w:tcW w:w="2470" w:type="dxa"/>
          </w:tcPr>
          <w:p>
            <w:pPr>
              <w:pStyle w:val="28"/>
              <w:spacing w:before="79"/>
              <w:jc w:val="left"/>
              <w:rPr>
                <w:szCs w:val="21"/>
              </w:rPr>
            </w:pPr>
            <w:r>
              <w:rPr>
                <w:szCs w:val="21"/>
              </w:rPr>
              <w:t>限速器各销轴部位</w:t>
            </w:r>
          </w:p>
        </w:tc>
        <w:tc>
          <w:tcPr>
            <w:tcW w:w="5770" w:type="dxa"/>
          </w:tcPr>
          <w:p>
            <w:pPr>
              <w:pStyle w:val="28"/>
              <w:spacing w:before="79"/>
              <w:ind w:left="66" w:right="63"/>
              <w:rPr>
                <w:szCs w:val="21"/>
              </w:rPr>
            </w:pPr>
            <w:r>
              <w:rPr>
                <w:szCs w:val="21"/>
              </w:rPr>
              <w:t>润滑，转动灵活，电气开关正常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7" w:hRule="atLeast"/>
        </w:trPr>
        <w:tc>
          <w:tcPr>
            <w:tcW w:w="958" w:type="dxa"/>
          </w:tcPr>
          <w:p>
            <w:pPr>
              <w:pStyle w:val="28"/>
              <w:spacing w:before="79"/>
              <w:ind w:left="11"/>
              <w:jc w:val="center"/>
              <w:rPr>
                <w:szCs w:val="21"/>
              </w:rPr>
            </w:pPr>
            <w:r>
              <w:rPr>
                <w:szCs w:val="21"/>
              </w:rPr>
              <w:t>7</w:t>
            </w:r>
          </w:p>
        </w:tc>
        <w:tc>
          <w:tcPr>
            <w:tcW w:w="2470" w:type="dxa"/>
          </w:tcPr>
          <w:p>
            <w:pPr>
              <w:pStyle w:val="28"/>
              <w:spacing w:before="79"/>
              <w:ind w:right="1121"/>
              <w:jc w:val="left"/>
              <w:rPr>
                <w:szCs w:val="21"/>
              </w:rPr>
            </w:pPr>
            <w:r>
              <w:rPr>
                <w:szCs w:val="21"/>
              </w:rPr>
              <w:t>轿顶</w:t>
            </w:r>
          </w:p>
        </w:tc>
        <w:tc>
          <w:tcPr>
            <w:tcW w:w="5770" w:type="dxa"/>
          </w:tcPr>
          <w:p>
            <w:pPr>
              <w:pStyle w:val="28"/>
              <w:spacing w:before="79"/>
              <w:ind w:left="66" w:right="63"/>
              <w:rPr>
                <w:szCs w:val="21"/>
              </w:rPr>
            </w:pPr>
            <w:r>
              <w:rPr>
                <w:szCs w:val="21"/>
              </w:rPr>
              <w:t>清洁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7" w:hRule="atLeast"/>
        </w:trPr>
        <w:tc>
          <w:tcPr>
            <w:tcW w:w="958" w:type="dxa"/>
          </w:tcPr>
          <w:p>
            <w:pPr>
              <w:pStyle w:val="28"/>
              <w:spacing w:before="79"/>
              <w:ind w:left="11"/>
              <w:jc w:val="center"/>
              <w:rPr>
                <w:szCs w:val="21"/>
              </w:rPr>
            </w:pPr>
            <w:r>
              <w:rPr>
                <w:szCs w:val="21"/>
              </w:rPr>
              <w:t>8</w:t>
            </w:r>
          </w:p>
        </w:tc>
        <w:tc>
          <w:tcPr>
            <w:tcW w:w="2470" w:type="dxa"/>
          </w:tcPr>
          <w:p>
            <w:pPr>
              <w:pStyle w:val="28"/>
              <w:spacing w:before="79"/>
              <w:jc w:val="left"/>
              <w:rPr>
                <w:szCs w:val="21"/>
              </w:rPr>
            </w:pPr>
            <w:r>
              <w:rPr>
                <w:szCs w:val="21"/>
              </w:rPr>
              <w:t>轿顶停止装置</w:t>
            </w:r>
          </w:p>
        </w:tc>
        <w:tc>
          <w:tcPr>
            <w:tcW w:w="5770" w:type="dxa"/>
          </w:tcPr>
          <w:p>
            <w:pPr>
              <w:pStyle w:val="28"/>
              <w:spacing w:before="79"/>
              <w:ind w:left="66" w:right="63"/>
              <w:rPr>
                <w:szCs w:val="21"/>
              </w:rPr>
            </w:pPr>
            <w:r>
              <w:rPr>
                <w:szCs w:val="21"/>
              </w:rPr>
              <w:t>工作正常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70" w:hRule="atLeast"/>
        </w:trPr>
        <w:tc>
          <w:tcPr>
            <w:tcW w:w="958" w:type="dxa"/>
          </w:tcPr>
          <w:p>
            <w:pPr>
              <w:pStyle w:val="28"/>
              <w:spacing w:before="81"/>
              <w:ind w:left="11"/>
              <w:jc w:val="center"/>
              <w:rPr>
                <w:szCs w:val="21"/>
              </w:rPr>
            </w:pPr>
            <w:r>
              <w:rPr>
                <w:szCs w:val="21"/>
              </w:rPr>
              <w:t>9</w:t>
            </w:r>
          </w:p>
        </w:tc>
        <w:tc>
          <w:tcPr>
            <w:tcW w:w="2470" w:type="dxa"/>
          </w:tcPr>
          <w:p>
            <w:pPr>
              <w:pStyle w:val="28"/>
              <w:spacing w:before="81"/>
              <w:jc w:val="left"/>
              <w:rPr>
                <w:szCs w:val="21"/>
              </w:rPr>
            </w:pPr>
            <w:r>
              <w:rPr>
                <w:szCs w:val="21"/>
              </w:rPr>
              <w:t>导靴上油杯</w:t>
            </w:r>
          </w:p>
        </w:tc>
        <w:tc>
          <w:tcPr>
            <w:tcW w:w="5770" w:type="dxa"/>
          </w:tcPr>
          <w:p>
            <w:pPr>
              <w:pStyle w:val="28"/>
              <w:spacing w:before="81"/>
              <w:ind w:left="66" w:right="63"/>
              <w:rPr>
                <w:szCs w:val="21"/>
              </w:rPr>
            </w:pPr>
            <w:r>
              <w:rPr>
                <w:szCs w:val="21"/>
              </w:rPr>
              <w:t>吸油毛毡齐全，油量适宜，油杯无泄漏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7" w:hRule="atLeast"/>
        </w:trPr>
        <w:tc>
          <w:tcPr>
            <w:tcW w:w="958" w:type="dxa"/>
          </w:tcPr>
          <w:p>
            <w:pPr>
              <w:pStyle w:val="28"/>
              <w:spacing w:before="79"/>
              <w:ind w:left="219" w:right="208"/>
              <w:jc w:val="center"/>
              <w:rPr>
                <w:szCs w:val="21"/>
              </w:rPr>
            </w:pPr>
            <w:r>
              <w:rPr>
                <w:szCs w:val="21"/>
              </w:rPr>
              <w:t>10</w:t>
            </w:r>
          </w:p>
        </w:tc>
        <w:tc>
          <w:tcPr>
            <w:tcW w:w="2470" w:type="dxa"/>
          </w:tcPr>
          <w:p>
            <w:pPr>
              <w:pStyle w:val="28"/>
              <w:spacing w:before="79"/>
              <w:ind w:right="478"/>
              <w:jc w:val="left"/>
              <w:rPr>
                <w:szCs w:val="21"/>
              </w:rPr>
            </w:pPr>
            <w:r>
              <w:rPr>
                <w:szCs w:val="21"/>
              </w:rPr>
              <w:t>对重/平衡重块及压板</w:t>
            </w:r>
          </w:p>
        </w:tc>
        <w:tc>
          <w:tcPr>
            <w:tcW w:w="5770" w:type="dxa"/>
          </w:tcPr>
          <w:p>
            <w:pPr>
              <w:pStyle w:val="28"/>
              <w:spacing w:before="79"/>
              <w:ind w:left="66" w:right="63"/>
              <w:rPr>
                <w:szCs w:val="21"/>
              </w:rPr>
            </w:pPr>
            <w:r>
              <w:rPr>
                <w:szCs w:val="21"/>
              </w:rPr>
              <w:t>对重/平衡重块无松动，压板紧固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7" w:hRule="atLeast"/>
        </w:trPr>
        <w:tc>
          <w:tcPr>
            <w:tcW w:w="958" w:type="dxa"/>
          </w:tcPr>
          <w:p>
            <w:pPr>
              <w:pStyle w:val="28"/>
              <w:spacing w:before="79"/>
              <w:ind w:left="219" w:right="208"/>
              <w:jc w:val="center"/>
              <w:rPr>
                <w:szCs w:val="21"/>
              </w:rPr>
            </w:pPr>
            <w:r>
              <w:rPr>
                <w:szCs w:val="21"/>
              </w:rPr>
              <w:t>11</w:t>
            </w:r>
          </w:p>
        </w:tc>
        <w:tc>
          <w:tcPr>
            <w:tcW w:w="2470" w:type="dxa"/>
          </w:tcPr>
          <w:p>
            <w:pPr>
              <w:pStyle w:val="28"/>
              <w:spacing w:before="79"/>
              <w:ind w:right="1121"/>
              <w:jc w:val="left"/>
              <w:rPr>
                <w:szCs w:val="21"/>
              </w:rPr>
            </w:pPr>
            <w:r>
              <w:rPr>
                <w:szCs w:val="21"/>
              </w:rPr>
              <w:t>井道照明</w:t>
            </w:r>
          </w:p>
        </w:tc>
        <w:tc>
          <w:tcPr>
            <w:tcW w:w="5770" w:type="dxa"/>
          </w:tcPr>
          <w:p>
            <w:pPr>
              <w:pStyle w:val="28"/>
              <w:spacing w:before="79"/>
              <w:ind w:left="66" w:right="63"/>
              <w:rPr>
                <w:szCs w:val="21"/>
              </w:rPr>
            </w:pPr>
            <w:r>
              <w:rPr>
                <w:szCs w:val="21"/>
              </w:rPr>
              <w:t>齐全，正常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7" w:hRule="atLeast"/>
        </w:trPr>
        <w:tc>
          <w:tcPr>
            <w:tcW w:w="958" w:type="dxa"/>
          </w:tcPr>
          <w:p>
            <w:pPr>
              <w:pStyle w:val="28"/>
              <w:spacing w:before="79"/>
              <w:ind w:left="219" w:right="208"/>
              <w:jc w:val="center"/>
              <w:rPr>
                <w:szCs w:val="21"/>
              </w:rPr>
            </w:pPr>
            <w:r>
              <w:rPr>
                <w:szCs w:val="21"/>
              </w:rPr>
              <w:t>12</w:t>
            </w:r>
          </w:p>
        </w:tc>
        <w:tc>
          <w:tcPr>
            <w:tcW w:w="2470" w:type="dxa"/>
          </w:tcPr>
          <w:p>
            <w:pPr>
              <w:pStyle w:val="28"/>
              <w:spacing w:before="79"/>
              <w:jc w:val="left"/>
              <w:rPr>
                <w:szCs w:val="21"/>
              </w:rPr>
            </w:pPr>
            <w:r>
              <w:rPr>
                <w:szCs w:val="21"/>
              </w:rPr>
              <w:t>轿门门锁触点</w:t>
            </w:r>
          </w:p>
        </w:tc>
        <w:tc>
          <w:tcPr>
            <w:tcW w:w="5770" w:type="dxa"/>
          </w:tcPr>
          <w:p>
            <w:pPr>
              <w:pStyle w:val="28"/>
              <w:spacing w:before="79"/>
              <w:ind w:left="66" w:right="63"/>
              <w:rPr>
                <w:szCs w:val="21"/>
              </w:rPr>
            </w:pPr>
            <w:r>
              <w:rPr>
                <w:szCs w:val="21"/>
              </w:rPr>
              <w:t>清洁，触点接触良好，接线可靠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958" w:type="dxa"/>
          </w:tcPr>
          <w:p>
            <w:pPr>
              <w:pStyle w:val="28"/>
              <w:spacing w:before="79"/>
              <w:ind w:left="219" w:right="208"/>
              <w:jc w:val="center"/>
              <w:rPr>
                <w:szCs w:val="21"/>
              </w:rPr>
            </w:pPr>
            <w:r>
              <w:rPr>
                <w:szCs w:val="21"/>
              </w:rPr>
              <w:t>13</w:t>
            </w:r>
          </w:p>
        </w:tc>
        <w:tc>
          <w:tcPr>
            <w:tcW w:w="2470" w:type="dxa"/>
          </w:tcPr>
          <w:p>
            <w:pPr>
              <w:pStyle w:val="28"/>
              <w:spacing w:before="79"/>
              <w:jc w:val="left"/>
              <w:rPr>
                <w:szCs w:val="21"/>
              </w:rPr>
            </w:pPr>
            <w:r>
              <w:rPr>
                <w:szCs w:val="21"/>
              </w:rPr>
              <w:t>层站召唤、层楼显示</w:t>
            </w:r>
          </w:p>
        </w:tc>
        <w:tc>
          <w:tcPr>
            <w:tcW w:w="5770" w:type="dxa"/>
          </w:tcPr>
          <w:p>
            <w:pPr>
              <w:pStyle w:val="28"/>
              <w:spacing w:before="79"/>
              <w:ind w:left="66" w:right="63"/>
              <w:rPr>
                <w:szCs w:val="21"/>
              </w:rPr>
            </w:pPr>
            <w:r>
              <w:rPr>
                <w:szCs w:val="21"/>
              </w:rPr>
              <w:t>齐全，有效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7" w:hRule="atLeast"/>
        </w:trPr>
        <w:tc>
          <w:tcPr>
            <w:tcW w:w="958" w:type="dxa"/>
          </w:tcPr>
          <w:p>
            <w:pPr>
              <w:pStyle w:val="28"/>
              <w:spacing w:before="79"/>
              <w:ind w:left="219" w:right="208"/>
              <w:jc w:val="center"/>
              <w:rPr>
                <w:szCs w:val="21"/>
              </w:rPr>
            </w:pPr>
            <w:r>
              <w:rPr>
                <w:szCs w:val="21"/>
              </w:rPr>
              <w:t>14</w:t>
            </w:r>
          </w:p>
        </w:tc>
        <w:tc>
          <w:tcPr>
            <w:tcW w:w="2470" w:type="dxa"/>
          </w:tcPr>
          <w:p>
            <w:pPr>
              <w:pStyle w:val="28"/>
              <w:spacing w:before="79"/>
              <w:ind w:right="1121"/>
              <w:jc w:val="left"/>
              <w:rPr>
                <w:szCs w:val="21"/>
              </w:rPr>
            </w:pPr>
            <w:r>
              <w:rPr>
                <w:szCs w:val="21"/>
              </w:rPr>
              <w:t>层门地坎</w:t>
            </w:r>
          </w:p>
        </w:tc>
        <w:tc>
          <w:tcPr>
            <w:tcW w:w="5770" w:type="dxa"/>
          </w:tcPr>
          <w:p>
            <w:pPr>
              <w:pStyle w:val="28"/>
              <w:spacing w:before="79"/>
              <w:ind w:left="66" w:right="63"/>
              <w:rPr>
                <w:szCs w:val="21"/>
              </w:rPr>
            </w:pPr>
            <w:r>
              <w:rPr>
                <w:szCs w:val="21"/>
              </w:rPr>
              <w:t>清洁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7" w:hRule="atLeast"/>
        </w:trPr>
        <w:tc>
          <w:tcPr>
            <w:tcW w:w="958" w:type="dxa"/>
          </w:tcPr>
          <w:p>
            <w:pPr>
              <w:pStyle w:val="28"/>
              <w:spacing w:before="6"/>
              <w:rPr>
                <w:szCs w:val="21"/>
              </w:rPr>
            </w:pPr>
          </w:p>
          <w:p>
            <w:pPr>
              <w:pStyle w:val="28"/>
              <w:ind w:left="219" w:right="208"/>
              <w:jc w:val="center"/>
              <w:rPr>
                <w:szCs w:val="21"/>
              </w:rPr>
            </w:pPr>
            <w:r>
              <w:rPr>
                <w:szCs w:val="21"/>
              </w:rPr>
              <w:t>15</w:t>
            </w:r>
          </w:p>
        </w:tc>
        <w:tc>
          <w:tcPr>
            <w:tcW w:w="2470" w:type="dxa"/>
          </w:tcPr>
          <w:p>
            <w:pPr>
              <w:pStyle w:val="28"/>
              <w:jc w:val="left"/>
              <w:rPr>
                <w:szCs w:val="21"/>
              </w:rPr>
            </w:pPr>
            <w:r>
              <w:rPr>
                <w:szCs w:val="21"/>
              </w:rPr>
              <w:t>层门门锁自动复位</w:t>
            </w:r>
          </w:p>
        </w:tc>
        <w:tc>
          <w:tcPr>
            <w:tcW w:w="5770" w:type="dxa"/>
          </w:tcPr>
          <w:p>
            <w:pPr>
              <w:pStyle w:val="28"/>
              <w:spacing w:before="81"/>
              <w:ind w:left="68" w:right="63"/>
              <w:rPr>
                <w:szCs w:val="21"/>
              </w:rPr>
            </w:pPr>
            <w:r>
              <w:rPr>
                <w:szCs w:val="21"/>
              </w:rPr>
              <w:t>用层门钥匙打开手动开锁装置释放后，层门门锁能自动复位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7" w:hRule="atLeast"/>
        </w:trPr>
        <w:tc>
          <w:tcPr>
            <w:tcW w:w="958" w:type="dxa"/>
          </w:tcPr>
          <w:p>
            <w:pPr>
              <w:pStyle w:val="28"/>
              <w:spacing w:before="79"/>
              <w:ind w:left="219" w:right="208"/>
              <w:jc w:val="center"/>
              <w:rPr>
                <w:szCs w:val="21"/>
              </w:rPr>
            </w:pPr>
            <w:r>
              <w:rPr>
                <w:szCs w:val="21"/>
              </w:rPr>
              <w:t>16</w:t>
            </w:r>
          </w:p>
        </w:tc>
        <w:tc>
          <w:tcPr>
            <w:tcW w:w="2470" w:type="dxa"/>
          </w:tcPr>
          <w:p>
            <w:pPr>
              <w:pStyle w:val="28"/>
              <w:spacing w:before="79"/>
              <w:jc w:val="left"/>
              <w:rPr>
                <w:szCs w:val="21"/>
              </w:rPr>
            </w:pPr>
            <w:r>
              <w:rPr>
                <w:szCs w:val="21"/>
              </w:rPr>
              <w:t>层门门锁电气触点</w:t>
            </w:r>
          </w:p>
        </w:tc>
        <w:tc>
          <w:tcPr>
            <w:tcW w:w="5770" w:type="dxa"/>
          </w:tcPr>
          <w:p>
            <w:pPr>
              <w:pStyle w:val="28"/>
              <w:spacing w:before="79"/>
              <w:ind w:left="66" w:right="63"/>
              <w:rPr>
                <w:szCs w:val="21"/>
              </w:rPr>
            </w:pPr>
            <w:r>
              <w:rPr>
                <w:szCs w:val="21"/>
              </w:rPr>
              <w:t>清洁，触点接触良好，接线可靠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7" w:hRule="atLeast"/>
        </w:trPr>
        <w:tc>
          <w:tcPr>
            <w:tcW w:w="958" w:type="dxa"/>
          </w:tcPr>
          <w:p>
            <w:pPr>
              <w:pStyle w:val="28"/>
              <w:spacing w:before="79"/>
              <w:ind w:left="219" w:right="208"/>
              <w:jc w:val="center"/>
              <w:rPr>
                <w:szCs w:val="21"/>
              </w:rPr>
            </w:pPr>
            <w:r>
              <w:rPr>
                <w:szCs w:val="21"/>
              </w:rPr>
              <w:t>17</w:t>
            </w:r>
          </w:p>
        </w:tc>
        <w:tc>
          <w:tcPr>
            <w:tcW w:w="2470" w:type="dxa"/>
          </w:tcPr>
          <w:p>
            <w:pPr>
              <w:pStyle w:val="28"/>
              <w:spacing w:before="79"/>
              <w:ind w:right="419"/>
              <w:jc w:val="left"/>
              <w:rPr>
                <w:szCs w:val="21"/>
              </w:rPr>
            </w:pPr>
            <w:r>
              <w:rPr>
                <w:szCs w:val="21"/>
              </w:rPr>
              <w:t>层门锁紧元件啮合长度</w:t>
            </w:r>
          </w:p>
        </w:tc>
        <w:tc>
          <w:tcPr>
            <w:tcW w:w="5770" w:type="dxa"/>
          </w:tcPr>
          <w:p>
            <w:pPr>
              <w:pStyle w:val="28"/>
              <w:spacing w:before="79"/>
              <w:ind w:left="66" w:right="63"/>
              <w:rPr>
                <w:szCs w:val="21"/>
              </w:rPr>
            </w:pPr>
            <w:r>
              <w:rPr>
                <w:szCs w:val="21"/>
              </w:rPr>
              <w:t>不小于 5mm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8" w:hRule="atLeast"/>
        </w:trPr>
        <w:tc>
          <w:tcPr>
            <w:tcW w:w="958" w:type="dxa"/>
          </w:tcPr>
          <w:p>
            <w:pPr>
              <w:pStyle w:val="28"/>
              <w:spacing w:before="79"/>
              <w:ind w:left="219" w:right="208"/>
              <w:jc w:val="center"/>
              <w:rPr>
                <w:szCs w:val="21"/>
              </w:rPr>
            </w:pPr>
            <w:r>
              <w:rPr>
                <w:szCs w:val="21"/>
              </w:rPr>
              <w:t>18</w:t>
            </w:r>
          </w:p>
        </w:tc>
        <w:tc>
          <w:tcPr>
            <w:tcW w:w="2470" w:type="dxa"/>
          </w:tcPr>
          <w:p>
            <w:pPr>
              <w:pStyle w:val="28"/>
              <w:spacing w:before="79"/>
              <w:jc w:val="left"/>
              <w:rPr>
                <w:szCs w:val="21"/>
              </w:rPr>
            </w:pPr>
            <w:r>
              <w:rPr>
                <w:szCs w:val="21"/>
              </w:rPr>
              <w:t>层门门导靴</w:t>
            </w:r>
          </w:p>
        </w:tc>
        <w:tc>
          <w:tcPr>
            <w:tcW w:w="5770" w:type="dxa"/>
          </w:tcPr>
          <w:p>
            <w:pPr>
              <w:pStyle w:val="28"/>
              <w:spacing w:before="79"/>
              <w:ind w:left="66" w:right="63"/>
              <w:rPr>
                <w:szCs w:val="21"/>
              </w:rPr>
            </w:pPr>
            <w:r>
              <w:rPr>
                <w:szCs w:val="21"/>
              </w:rPr>
              <w:t>无卡阻，滑动顺畅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958" w:type="dxa"/>
          </w:tcPr>
          <w:p>
            <w:pPr>
              <w:pStyle w:val="28"/>
              <w:spacing w:before="79"/>
              <w:ind w:left="219" w:right="208"/>
              <w:jc w:val="center"/>
              <w:rPr>
                <w:szCs w:val="21"/>
              </w:rPr>
            </w:pPr>
            <w:r>
              <w:rPr>
                <w:szCs w:val="21"/>
              </w:rPr>
              <w:t>19</w:t>
            </w:r>
          </w:p>
        </w:tc>
        <w:tc>
          <w:tcPr>
            <w:tcW w:w="2470" w:type="dxa"/>
          </w:tcPr>
          <w:p>
            <w:pPr>
              <w:pStyle w:val="28"/>
              <w:spacing w:before="79"/>
              <w:ind w:right="1121"/>
              <w:jc w:val="left"/>
              <w:rPr>
                <w:szCs w:val="21"/>
              </w:rPr>
            </w:pPr>
            <w:r>
              <w:rPr>
                <w:szCs w:val="21"/>
              </w:rPr>
              <w:t>底坑环境</w:t>
            </w:r>
          </w:p>
        </w:tc>
        <w:tc>
          <w:tcPr>
            <w:tcW w:w="5770" w:type="dxa"/>
          </w:tcPr>
          <w:p>
            <w:pPr>
              <w:pStyle w:val="28"/>
              <w:spacing w:before="79"/>
              <w:ind w:left="66" w:right="63"/>
              <w:rPr>
                <w:szCs w:val="21"/>
              </w:rPr>
            </w:pPr>
            <w:r>
              <w:rPr>
                <w:szCs w:val="21"/>
              </w:rPr>
              <w:t>清洁，无渗水、积水，照明正常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958" w:type="dxa"/>
          </w:tcPr>
          <w:p>
            <w:pPr>
              <w:pStyle w:val="28"/>
              <w:spacing w:before="79"/>
              <w:ind w:left="219" w:right="208"/>
              <w:jc w:val="center"/>
              <w:rPr>
                <w:szCs w:val="21"/>
              </w:rPr>
            </w:pPr>
            <w:r>
              <w:rPr>
                <w:szCs w:val="21"/>
              </w:rPr>
              <w:t>20</w:t>
            </w:r>
          </w:p>
        </w:tc>
        <w:tc>
          <w:tcPr>
            <w:tcW w:w="2470" w:type="dxa"/>
          </w:tcPr>
          <w:p>
            <w:pPr>
              <w:pStyle w:val="28"/>
              <w:spacing w:before="79"/>
              <w:jc w:val="left"/>
              <w:rPr>
                <w:szCs w:val="21"/>
              </w:rPr>
            </w:pPr>
            <w:r>
              <w:rPr>
                <w:szCs w:val="21"/>
              </w:rPr>
              <w:t>底坑停止装置</w:t>
            </w:r>
          </w:p>
        </w:tc>
        <w:tc>
          <w:tcPr>
            <w:tcW w:w="5770" w:type="dxa"/>
          </w:tcPr>
          <w:p>
            <w:pPr>
              <w:pStyle w:val="28"/>
              <w:spacing w:before="79"/>
              <w:ind w:left="66" w:right="63"/>
              <w:rPr>
                <w:szCs w:val="21"/>
              </w:rPr>
            </w:pPr>
            <w:r>
              <w:rPr>
                <w:szCs w:val="21"/>
              </w:rPr>
              <w:t>工作正常</w:t>
            </w:r>
          </w:p>
        </w:tc>
      </w:tr>
    </w:tbl>
    <w:p>
      <w:pPr>
        <w:ind w:right="735"/>
        <w:jc w:val="right"/>
      </w:pPr>
    </w:p>
    <w:p>
      <w:pPr>
        <w:pStyle w:val="2"/>
      </w:pPr>
    </w:p>
    <w:p>
      <w:pPr>
        <w:pStyle w:val="2"/>
        <w:rPr>
          <w:rFonts w:cs="宋体"/>
          <w:b/>
          <w:bCs/>
        </w:rPr>
      </w:pPr>
      <w:r>
        <w:rPr>
          <w:rFonts w:hint="eastAsia" w:cs="宋体"/>
          <w:b/>
          <w:bCs/>
        </w:rPr>
        <w:t>（三）电梯维保基本要求</w:t>
      </w:r>
    </w:p>
    <w:p>
      <w:pPr>
        <w:pStyle w:val="2"/>
        <w:ind w:left="-78" w:leftChars="-37"/>
        <w:rPr>
          <w:color w:val="auto"/>
        </w:rPr>
      </w:pPr>
      <w:r>
        <w:rPr>
          <w:rFonts w:hint="eastAsia"/>
          <w:color w:val="auto"/>
        </w:rPr>
        <w:t>1、保证所有机组的正常运行。</w:t>
      </w:r>
    </w:p>
    <w:p>
      <w:pPr>
        <w:pStyle w:val="2"/>
        <w:ind w:left="-78" w:leftChars="-37"/>
        <w:rPr>
          <w:color w:val="auto"/>
        </w:rPr>
      </w:pPr>
      <w:r>
        <w:rPr>
          <w:rFonts w:hint="eastAsia"/>
          <w:color w:val="auto"/>
        </w:rPr>
        <w:t>2、保证招标方通过年检（检测费用由招标方承担，中标方承办年检手续）。</w:t>
      </w:r>
    </w:p>
    <w:p>
      <w:pPr>
        <w:pStyle w:val="2"/>
        <w:ind w:left="-78" w:leftChars="-37"/>
        <w:rPr>
          <w:color w:val="auto"/>
        </w:rPr>
      </w:pPr>
      <w:r>
        <w:rPr>
          <w:rFonts w:hint="eastAsia"/>
          <w:color w:val="auto"/>
        </w:rPr>
        <w:t>3、每月定期对机组进行两次检查保养，保养须符合行业安全运行标准。保养完毕后，将保养单交招标方有关部门签字认可。保养任务的完成与否，以保养单为准。</w:t>
      </w:r>
    </w:p>
    <w:p>
      <w:pPr>
        <w:pStyle w:val="2"/>
        <w:ind w:left="-393" w:leftChars="-187" w:firstLine="360" w:firstLineChars="150"/>
        <w:rPr>
          <w:color w:val="auto"/>
        </w:rPr>
      </w:pPr>
      <w:r>
        <w:rPr>
          <w:rFonts w:hint="eastAsia"/>
          <w:color w:val="auto"/>
        </w:rPr>
        <w:t>4、投标总价</w:t>
      </w:r>
      <w:r>
        <w:rPr>
          <w:rFonts w:hint="eastAsia" w:ascii="宋体" w:hAnsi="宋体"/>
          <w:color w:val="2B2B2B"/>
        </w:rPr>
        <w:t>中应包括与维保内容有关的所有费用（比如人工、工具、两百元以内零配件费用等等）</w:t>
      </w:r>
      <w:r>
        <w:rPr>
          <w:rFonts w:hint="eastAsia"/>
          <w:color w:val="auto"/>
        </w:rPr>
        <w:t>和售后服务、税金及其它所有费用的总和，如另有要求请在投标文件中注明。</w:t>
      </w:r>
    </w:p>
    <w:p>
      <w:pPr>
        <w:pStyle w:val="2"/>
        <w:ind w:left="-393" w:leftChars="-187" w:firstLine="241" w:firstLineChars="100"/>
        <w:rPr>
          <w:color w:val="auto"/>
        </w:rPr>
      </w:pPr>
      <w:r>
        <w:rPr>
          <w:rFonts w:hint="eastAsia" w:cs="宋体"/>
          <w:b/>
          <w:bCs/>
        </w:rPr>
        <w:t>（四）商务要求</w:t>
      </w:r>
    </w:p>
    <w:p>
      <w:pPr>
        <w:pStyle w:val="2"/>
        <w:ind w:left="-708" w:leftChars="-337" w:firstLine="482" w:firstLineChars="200"/>
        <w:rPr>
          <w:rFonts w:cs="宋体"/>
        </w:rPr>
      </w:pPr>
      <w:r>
        <w:rPr>
          <w:rFonts w:hint="eastAsia" w:cs="宋体"/>
          <w:b/>
          <w:bCs/>
        </w:rPr>
        <w:t>1、投标人资格要求</w:t>
      </w:r>
    </w:p>
    <w:p>
      <w:pPr>
        <w:pStyle w:val="2"/>
        <w:ind w:left="-708" w:leftChars="-337" w:firstLine="480" w:firstLineChars="200"/>
        <w:rPr>
          <w:rFonts w:cs="宋体"/>
        </w:rPr>
      </w:pPr>
      <w:r>
        <w:rPr>
          <w:rFonts w:hint="eastAsia" w:cs="宋体"/>
        </w:rPr>
        <w:t>1）投标人为独立法人，并具备统一社会信用代码。</w:t>
      </w:r>
    </w:p>
    <w:p>
      <w:pPr>
        <w:pStyle w:val="2"/>
        <w:ind w:left="-288" w:leftChars="-137"/>
        <w:rPr>
          <w:rFonts w:cs="宋体"/>
        </w:rPr>
      </w:pPr>
      <w:r>
        <w:rPr>
          <w:rFonts w:hint="eastAsia" w:cs="宋体"/>
        </w:rPr>
        <w:t>2）被列入失信被执行人、重大税收违法案件当事人名单、政府采购严重违法失信行为记录名单及其他不符合《中华人民共和国政府采购法》第二十二条规定条件的供应商，将被 拒绝其参与本次招投标活动。（在“信用中国”网站（www.creditchina.gov.cn）或“中国政府采购网”（www.ccgp.gov.cn）查询相关供应商主体信用记录。）</w:t>
      </w:r>
    </w:p>
    <w:p>
      <w:pPr>
        <w:pStyle w:val="2"/>
        <w:ind w:left="-393" w:leftChars="-187" w:firstLine="120" w:firstLineChars="50"/>
        <w:rPr>
          <w:rFonts w:cs="宋体"/>
        </w:rPr>
      </w:pPr>
      <w:r>
        <w:rPr>
          <w:rFonts w:hint="eastAsia" w:cs="宋体"/>
        </w:rPr>
        <w:t>3）被列入我院投标人黑名单（在我院招投标活动中存在2次违规行为）未满3年的投标人将被拒绝其参与本次招投标活动。</w:t>
      </w:r>
    </w:p>
    <w:p>
      <w:pPr>
        <w:pStyle w:val="2"/>
        <w:ind w:left="-393" w:leftChars="-187" w:firstLine="120" w:firstLineChars="50"/>
        <w:rPr>
          <w:rFonts w:cs="宋体"/>
        </w:rPr>
      </w:pPr>
      <w:r>
        <w:rPr>
          <w:rFonts w:hint="eastAsia" w:cs="宋体"/>
        </w:rPr>
        <w:t>4）</w:t>
      </w:r>
      <w:r>
        <w:rPr>
          <w:rFonts w:hint="eastAsia" w:cs="宋体"/>
          <w:color w:val="auto"/>
        </w:rPr>
        <w:t>本项目不接收联合体投标。</w:t>
      </w:r>
    </w:p>
    <w:p>
      <w:pPr>
        <w:pStyle w:val="2"/>
        <w:ind w:left="-288" w:leftChars="-137"/>
      </w:pPr>
      <w:r>
        <w:rPr>
          <w:rFonts w:hint="eastAsia" w:cs="宋体"/>
        </w:rPr>
        <w:t>5）投标人应提供</w:t>
      </w:r>
      <w:r>
        <w:rPr>
          <w:rFonts w:hint="eastAsia"/>
        </w:rPr>
        <w:t>相似的消防设施维保合同经验，且均处于合同期内，并提供相应证明文件。</w:t>
      </w:r>
    </w:p>
    <w:p>
      <w:pPr>
        <w:pStyle w:val="2"/>
        <w:ind w:left="-288" w:leftChars="-137"/>
        <w:rPr>
          <w:rFonts w:cs="宋体"/>
          <w:b/>
          <w:bCs/>
        </w:rPr>
      </w:pPr>
      <w:r>
        <w:rPr>
          <w:rFonts w:hint="eastAsia" w:cs="宋体"/>
          <w:b/>
          <w:bCs/>
        </w:rPr>
        <w:t>2、维保资格要求</w:t>
      </w:r>
    </w:p>
    <w:p>
      <w:pPr>
        <w:pStyle w:val="2"/>
        <w:ind w:left="-288" w:leftChars="-137"/>
        <w:rPr>
          <w:rFonts w:cs="宋体"/>
          <w:b/>
          <w:bCs/>
        </w:rPr>
      </w:pPr>
      <w:r>
        <w:rPr>
          <w:rFonts w:cs="宋体"/>
        </w:rPr>
        <w:t>1</w:t>
      </w:r>
      <w:r>
        <w:rPr>
          <w:rFonts w:hint="eastAsia" w:cs="宋体"/>
        </w:rPr>
        <w:t>）</w:t>
      </w:r>
      <w:r>
        <w:rPr>
          <w:rFonts w:cs="宋体"/>
        </w:rPr>
        <w:t>具有规定的电梯维保B级以上资质，并具备电梯维保的经验。</w:t>
      </w:r>
    </w:p>
    <w:p>
      <w:pPr>
        <w:pStyle w:val="2"/>
        <w:ind w:left="-288" w:leftChars="-137"/>
        <w:rPr>
          <w:rFonts w:cs="宋体"/>
          <w:b/>
          <w:bCs/>
        </w:rPr>
      </w:pPr>
      <w:r>
        <w:rPr>
          <w:rFonts w:cs="宋体"/>
        </w:rPr>
        <w:t>2</w:t>
      </w:r>
      <w:r>
        <w:rPr>
          <w:rFonts w:hint="eastAsia" w:cs="宋体"/>
        </w:rPr>
        <w:t>）</w:t>
      </w:r>
      <w:r>
        <w:rPr>
          <w:rFonts w:cs="宋体"/>
        </w:rPr>
        <w:t>具有企业经营合法资质。</w:t>
      </w:r>
    </w:p>
    <w:p>
      <w:pPr>
        <w:pStyle w:val="2"/>
        <w:ind w:left="-288" w:leftChars="-137"/>
        <w:rPr>
          <w:rFonts w:cs="宋体"/>
          <w:b/>
          <w:bCs/>
        </w:rPr>
      </w:pPr>
      <w:r>
        <w:rPr>
          <w:rFonts w:cs="宋体"/>
        </w:rPr>
        <w:t>3</w:t>
      </w:r>
      <w:r>
        <w:rPr>
          <w:rFonts w:hint="eastAsia" w:cs="宋体"/>
        </w:rPr>
        <w:t>）</w:t>
      </w:r>
      <w:r>
        <w:rPr>
          <w:rFonts w:cs="宋体"/>
        </w:rPr>
        <w:t>维修从业人员具备相应资质，持证上岗。</w:t>
      </w:r>
    </w:p>
    <w:p>
      <w:pPr>
        <w:pStyle w:val="2"/>
        <w:ind w:left="-288" w:leftChars="-137"/>
        <w:rPr>
          <w:rFonts w:cs="宋体"/>
          <w:color w:val="auto"/>
        </w:rPr>
      </w:pPr>
      <w:r>
        <w:rPr>
          <w:rFonts w:hint="eastAsia" w:cs="宋体"/>
          <w:b/>
          <w:bCs/>
        </w:rPr>
        <w:t>3、售后服务和服务承诺</w:t>
      </w:r>
    </w:p>
    <w:p>
      <w:pPr>
        <w:pStyle w:val="2"/>
        <w:ind w:left="-288" w:leftChars="-137"/>
        <w:rPr>
          <w:rFonts w:cs="宋体"/>
        </w:rPr>
      </w:pPr>
      <w:r>
        <w:rPr>
          <w:rFonts w:hint="eastAsia" w:cs="宋体"/>
        </w:rPr>
        <w:t>1）投标方自行配备工作所需要的工具及设备，保养时设置现场安全警示标志。</w:t>
      </w:r>
    </w:p>
    <w:p>
      <w:pPr>
        <w:pStyle w:val="2"/>
        <w:ind w:left="-288" w:leftChars="-137"/>
        <w:rPr>
          <w:rFonts w:cs="宋体"/>
        </w:rPr>
      </w:pPr>
      <w:r>
        <w:rPr>
          <w:rFonts w:hint="eastAsia" w:cs="宋体"/>
        </w:rPr>
        <w:t>2）投标方免费提供保养所需的润滑油、润滑脂和清洁材料，需要更换的200元以内的零配件免费提供。</w:t>
      </w:r>
    </w:p>
    <w:p>
      <w:pPr>
        <w:pStyle w:val="2"/>
        <w:spacing w:line="360" w:lineRule="exact"/>
        <w:ind w:left="-288" w:leftChars="-137"/>
        <w:rPr>
          <w:rFonts w:cs="宋体"/>
        </w:rPr>
      </w:pPr>
      <w:r>
        <w:rPr>
          <w:rFonts w:hint="eastAsia" w:cs="宋体"/>
        </w:rPr>
        <w:t>3）电梯发生故障时，投标方必须在30分钟内赶到现场解决问题。</w:t>
      </w:r>
    </w:p>
    <w:p>
      <w:pPr>
        <w:pStyle w:val="2"/>
        <w:spacing w:line="360" w:lineRule="exact"/>
        <w:ind w:left="-288" w:leftChars="-137"/>
        <w:rPr>
          <w:rFonts w:cs="宋体"/>
        </w:rPr>
      </w:pPr>
      <w:r>
        <w:rPr>
          <w:rFonts w:hint="eastAsia" w:cs="宋体"/>
        </w:rPr>
        <w:t>4）若发生下列情况之一的，则在结算时按每次扣除承包费用的10%至20%：</w:t>
      </w:r>
    </w:p>
    <w:p>
      <w:pPr>
        <w:pStyle w:val="2"/>
        <w:spacing w:line="360" w:lineRule="exact"/>
        <w:ind w:left="-288" w:leftChars="-137"/>
        <w:rPr>
          <w:rFonts w:cs="宋体"/>
        </w:rPr>
      </w:pPr>
      <w:r>
        <w:rPr>
          <w:rFonts w:hint="eastAsia" w:cs="宋体"/>
        </w:rPr>
        <w:t xml:space="preserve">    (1）未完成保养任务；</w:t>
      </w:r>
    </w:p>
    <w:p>
      <w:pPr>
        <w:pStyle w:val="2"/>
        <w:spacing w:line="360" w:lineRule="exact"/>
        <w:ind w:left="-288" w:leftChars="-137"/>
        <w:rPr>
          <w:rFonts w:cs="宋体"/>
        </w:rPr>
      </w:pPr>
      <w:r>
        <w:rPr>
          <w:rFonts w:hint="eastAsia" w:cs="宋体"/>
        </w:rPr>
        <w:t xml:space="preserve">    (2）电梯发生故障，招标方通知投标方，投标方在2小时内没有来人解决问题；</w:t>
      </w:r>
    </w:p>
    <w:p>
      <w:pPr>
        <w:pStyle w:val="2"/>
        <w:spacing w:line="360" w:lineRule="exact"/>
        <w:ind w:left="-288" w:leftChars="-137"/>
        <w:rPr>
          <w:rFonts w:cs="宋体"/>
        </w:rPr>
      </w:pPr>
      <w:r>
        <w:rPr>
          <w:rFonts w:hint="eastAsia" w:cs="宋体"/>
        </w:rPr>
        <w:t xml:space="preserve">    (3）电梯非正常运行或因故障连续停止运行一天以上（特殊情况除外）。</w:t>
      </w:r>
    </w:p>
    <w:p>
      <w:pPr>
        <w:pStyle w:val="2"/>
        <w:spacing w:line="360" w:lineRule="exact"/>
        <w:ind w:left="-288" w:leftChars="-137"/>
        <w:rPr>
          <w:rFonts w:cs="宋体"/>
        </w:rPr>
      </w:pPr>
      <w:r>
        <w:rPr>
          <w:rFonts w:hint="eastAsia" w:cs="宋体"/>
        </w:rPr>
        <w:t>5) 投标方提供24小时报修服务，在非正常时间内进行保养服务时，不再加收其他费用。</w:t>
      </w:r>
    </w:p>
    <w:p>
      <w:pPr>
        <w:pStyle w:val="2"/>
        <w:spacing w:line="360" w:lineRule="exact"/>
        <w:ind w:left="-288" w:leftChars="-137"/>
        <w:rPr>
          <w:rFonts w:cs="宋体"/>
        </w:rPr>
      </w:pPr>
      <w:r>
        <w:rPr>
          <w:rFonts w:hint="eastAsia" w:cs="宋体"/>
        </w:rPr>
        <w:t>6) 招标方有重大活动时，投标方需派专门的维修技术人员到达现场，免费提供全程监护服务。</w:t>
      </w:r>
    </w:p>
    <w:p>
      <w:pPr>
        <w:pStyle w:val="2"/>
        <w:spacing w:line="360" w:lineRule="exact"/>
        <w:ind w:left="-288" w:leftChars="-137"/>
        <w:rPr>
          <w:rFonts w:cs="宋体"/>
        </w:rPr>
      </w:pPr>
      <w:r>
        <w:rPr>
          <w:rFonts w:hint="eastAsia" w:cs="宋体"/>
        </w:rPr>
        <w:t>7) 根据招标方实际需要提供电梯操作的系统培训。</w:t>
      </w:r>
    </w:p>
    <w:p>
      <w:pPr>
        <w:pStyle w:val="2"/>
        <w:spacing w:line="360" w:lineRule="exact"/>
        <w:ind w:left="-288" w:leftChars="-137"/>
        <w:rPr>
          <w:rFonts w:cs="宋体"/>
        </w:rPr>
      </w:pPr>
      <w:r>
        <w:rPr>
          <w:rFonts w:hint="eastAsia" w:cs="宋体"/>
        </w:rPr>
        <w:t>8）投标方承担所维保电梯因维保不当发生的事故责任。</w:t>
      </w:r>
    </w:p>
    <w:p>
      <w:pPr>
        <w:pStyle w:val="2"/>
        <w:spacing w:line="360" w:lineRule="exact"/>
        <w:ind w:left="-393" w:leftChars="-187" w:firstLine="120" w:firstLineChars="50"/>
        <w:rPr>
          <w:rFonts w:cs="宋体"/>
          <w:color w:val="000000" w:themeColor="text1"/>
        </w:rPr>
      </w:pPr>
      <w:r>
        <w:rPr>
          <w:rFonts w:hint="eastAsia" w:cs="宋体"/>
          <w:color w:val="000000" w:themeColor="text1"/>
        </w:rPr>
        <w:t>9）其他投标方愿意提高服务、让利的情形。</w:t>
      </w:r>
    </w:p>
    <w:p>
      <w:pPr>
        <w:pStyle w:val="2"/>
        <w:spacing w:line="360" w:lineRule="exact"/>
        <w:ind w:left="-393" w:leftChars="-187" w:firstLine="120" w:firstLineChars="50"/>
        <w:rPr>
          <w:rFonts w:cs="宋体"/>
        </w:rPr>
      </w:pPr>
      <w:r>
        <w:rPr>
          <w:rFonts w:hint="eastAsia" w:cs="宋体"/>
          <w:b/>
          <w:bCs/>
        </w:rPr>
        <w:t>4、维保地点为：广西壮族自治区桂东人民医院</w:t>
      </w:r>
      <w:r>
        <w:t xml:space="preserve">     </w:t>
      </w:r>
    </w:p>
    <w:p>
      <w:pPr>
        <w:pStyle w:val="2"/>
        <w:spacing w:line="360" w:lineRule="exact"/>
        <w:ind w:left="-708" w:leftChars="-337" w:firstLine="361" w:firstLineChars="150"/>
      </w:pPr>
      <w:r>
        <w:rPr>
          <w:rFonts w:hint="eastAsia"/>
          <w:b/>
          <w:bCs/>
        </w:rPr>
        <w:t>5、付款条件（进度和方式）：</w:t>
      </w:r>
    </w:p>
    <w:p>
      <w:pPr>
        <w:pStyle w:val="2"/>
        <w:spacing w:line="360" w:lineRule="exact"/>
        <w:ind w:left="-288" w:leftChars="-137" w:firstLine="480" w:firstLineChars="200"/>
        <w:rPr>
          <w:rFonts w:cs="宋体"/>
        </w:rPr>
      </w:pPr>
      <w:r>
        <w:rPr>
          <w:rFonts w:hint="eastAsia" w:cs="宋体"/>
        </w:rPr>
        <w:t>维保费用分六次结算（每半年一次），每次结算合同总金额的六份之一款，合同履约期满后一个月内付清余款</w:t>
      </w:r>
      <w:r>
        <w:rPr>
          <w:rFonts w:hint="eastAsia" w:cs="宋体"/>
          <w:lang w:eastAsia="zh-CN"/>
        </w:rPr>
        <w:t>及</w:t>
      </w:r>
      <w:r>
        <w:rPr>
          <w:rFonts w:hint="eastAsia" w:ascii="Times New Roman" w:hAnsi="Times New Roman" w:eastAsia="宋体" w:cs="宋体"/>
          <w:b/>
          <w:bCs/>
          <w:kern w:val="0"/>
          <w:sz w:val="24"/>
          <w:szCs w:val="24"/>
          <w:u w:val="single"/>
          <w:lang w:val="en-US" w:eastAsia="zh-CN"/>
        </w:rPr>
        <w:t>及投标保证金1000元（壹仟元）</w:t>
      </w:r>
      <w:r>
        <w:rPr>
          <w:rFonts w:hint="eastAsia" w:cs="宋体"/>
        </w:rPr>
        <w:t>。付款需凭支付期内季度《广西壮族自治区桂东人民医院电梯维护保养质量考核表》，无考核表不予支付维保费用，考核不合格的待整改完成后才予支付维保费用。</w:t>
      </w:r>
    </w:p>
    <w:p>
      <w:pPr>
        <w:pStyle w:val="2"/>
        <w:spacing w:line="360" w:lineRule="exact"/>
        <w:ind w:left="-288" w:leftChars="-137" w:firstLine="480" w:firstLineChars="200"/>
      </w:pPr>
      <w:r>
        <w:rPr>
          <w:rFonts w:hint="eastAsia" w:cs="宋体"/>
        </w:rPr>
        <w:t>超过200元的零配件更换支付,需附故障现场和更换出来的配件图。</w:t>
      </w:r>
    </w:p>
    <w:p>
      <w:pPr>
        <w:widowControl/>
        <w:spacing w:line="360" w:lineRule="exact"/>
        <w:ind w:left="-227" w:leftChars="-108" w:firstLine="360" w:firstLineChars="150"/>
        <w:jc w:val="left"/>
        <w:rPr>
          <w:rFonts w:cs="宋体"/>
          <w:color w:val="000000"/>
          <w:kern w:val="0"/>
          <w:sz w:val="24"/>
          <w:szCs w:val="24"/>
        </w:rPr>
      </w:pPr>
      <w:r>
        <w:rPr>
          <w:rFonts w:hint="eastAsia" w:cs="宋体"/>
          <w:color w:val="000000"/>
          <w:kern w:val="0"/>
          <w:sz w:val="24"/>
          <w:szCs w:val="24"/>
        </w:rPr>
        <w:t>注：更换的配件如验收不合格以及发现伪劣产品等，招标人将视情形采取退货、拒付款、终止合同、索赔等措施，直至通过有关部门，依法</w:t>
      </w:r>
      <w:bookmarkStart w:id="0" w:name="_GoBack"/>
      <w:bookmarkEnd w:id="0"/>
      <w:r>
        <w:rPr>
          <w:rFonts w:hint="eastAsia" w:cs="宋体"/>
          <w:color w:val="000000"/>
          <w:kern w:val="0"/>
          <w:sz w:val="24"/>
          <w:szCs w:val="24"/>
        </w:rPr>
        <w:t>维权。</w:t>
      </w:r>
    </w:p>
    <w:p>
      <w:pPr>
        <w:widowControl/>
        <w:spacing w:line="360" w:lineRule="auto"/>
        <w:ind w:left="-708" w:leftChars="-338" w:hanging="2"/>
        <w:jc w:val="left"/>
        <w:rPr>
          <w:rFonts w:cs="宋体"/>
          <w:b/>
          <w:bCs/>
          <w:kern w:val="0"/>
          <w:sz w:val="28"/>
          <w:szCs w:val="28"/>
        </w:rPr>
      </w:pPr>
      <w:r>
        <w:rPr>
          <w:b/>
          <w:bCs/>
          <w:kern w:val="0"/>
          <w:sz w:val="24"/>
          <w:szCs w:val="24"/>
        </w:rPr>
        <w:t> </w:t>
      </w:r>
      <w:r>
        <w:rPr>
          <w:rFonts w:hint="eastAsia"/>
          <w:b/>
          <w:bCs/>
          <w:kern w:val="0"/>
          <w:sz w:val="24"/>
          <w:szCs w:val="24"/>
        </w:rPr>
        <w:t xml:space="preserve">   </w:t>
      </w:r>
      <w:r>
        <w:rPr>
          <w:rFonts w:hint="eastAsia"/>
          <w:b/>
          <w:bCs/>
          <w:kern w:val="0"/>
          <w:sz w:val="28"/>
          <w:szCs w:val="28"/>
        </w:rPr>
        <w:t>二</w:t>
      </w:r>
      <w:r>
        <w:rPr>
          <w:rFonts w:hint="eastAsia" w:cs="宋体"/>
          <w:b/>
          <w:bCs/>
          <w:kern w:val="0"/>
          <w:sz w:val="28"/>
          <w:szCs w:val="28"/>
        </w:rPr>
        <w:t>、合同签订</w:t>
      </w:r>
    </w:p>
    <w:p>
      <w:pPr>
        <w:pStyle w:val="2"/>
        <w:spacing w:line="360" w:lineRule="exact"/>
        <w:ind w:left="-288" w:leftChars="-137"/>
        <w:rPr>
          <w:rFonts w:cs="宋体"/>
          <w:color w:val="000000" w:themeColor="text1"/>
        </w:rPr>
      </w:pPr>
      <w:r>
        <w:rPr>
          <w:rFonts w:hint="eastAsia" w:cs="宋体"/>
          <w:color w:val="000000" w:themeColor="text1"/>
        </w:rPr>
        <w:t xml:space="preserve">（一）招标人和中标人应当自公示结束后 </w:t>
      </w:r>
      <w:r>
        <w:rPr>
          <w:rFonts w:hint="eastAsia" w:cs="宋体"/>
          <w:color w:val="000000" w:themeColor="text1"/>
          <w:lang w:val="en-US" w:eastAsia="zh-CN"/>
        </w:rPr>
        <w:t>7个</w:t>
      </w:r>
      <w:r>
        <w:rPr>
          <w:rFonts w:hint="eastAsia" w:cs="宋体"/>
          <w:color w:val="000000" w:themeColor="text1"/>
        </w:rPr>
        <w:t>工作日内签订合同。</w:t>
      </w:r>
    </w:p>
    <w:p>
      <w:pPr>
        <w:pStyle w:val="2"/>
        <w:spacing w:line="360" w:lineRule="exact"/>
        <w:ind w:left="-288" w:leftChars="-137"/>
        <w:rPr>
          <w:rFonts w:cs="宋体"/>
          <w:color w:val="000000" w:themeColor="text1"/>
        </w:rPr>
      </w:pPr>
      <w:r>
        <w:rPr>
          <w:rFonts w:hint="eastAsia" w:cs="宋体"/>
          <w:color w:val="000000" w:themeColor="text1"/>
        </w:rPr>
        <w:t>（二）合同期限：2022年  月  日至2025年  月  日</w:t>
      </w:r>
    </w:p>
    <w:p>
      <w:pPr>
        <w:pStyle w:val="2"/>
        <w:spacing w:line="360" w:lineRule="exact"/>
        <w:ind w:left="-288" w:leftChars="-137"/>
        <w:rPr>
          <w:rFonts w:cs="宋体"/>
          <w:color w:val="FF0000"/>
          <w:sz w:val="28"/>
          <w:szCs w:val="28"/>
        </w:rPr>
      </w:pPr>
      <w:r>
        <w:rPr>
          <w:rFonts w:hint="eastAsia" w:cs="宋体"/>
          <w:color w:val="000000" w:themeColor="text1"/>
          <w:sz w:val="28"/>
          <w:szCs w:val="28"/>
        </w:rPr>
        <w:t>（</w:t>
      </w:r>
      <w:r>
        <w:rPr>
          <w:rFonts w:hint="eastAsia" w:cs="宋体"/>
          <w:color w:val="000000" w:themeColor="text1"/>
        </w:rPr>
        <w:t>三）招标人按照《广西壮族自治区桂东人民医院电梯维护保养质量考核表》每季度对中标人进行考评，如中标人连续3次考核低于60分，或连续出现3次电梯故障半小时内无法到达现场处理，招标方可单方面终止合同，重新招标。</w:t>
      </w:r>
    </w:p>
    <w:p>
      <w:pPr>
        <w:widowControl/>
        <w:spacing w:line="360" w:lineRule="auto"/>
        <w:ind w:left="-710" w:leftChars="-338" w:firstLine="703" w:firstLineChars="250"/>
        <w:jc w:val="left"/>
        <w:rPr>
          <w:rFonts w:cs="宋体"/>
          <w:b/>
          <w:bCs/>
          <w:kern w:val="0"/>
          <w:sz w:val="28"/>
          <w:szCs w:val="28"/>
        </w:rPr>
      </w:pPr>
      <w:r>
        <w:rPr>
          <w:rFonts w:hint="eastAsia" w:cs="宋体"/>
          <w:b/>
          <w:bCs/>
          <w:kern w:val="0"/>
          <w:sz w:val="28"/>
          <w:szCs w:val="28"/>
        </w:rPr>
        <w:t>三、其他</w:t>
      </w:r>
    </w:p>
    <w:p>
      <w:pPr>
        <w:widowControl/>
        <w:spacing w:line="360" w:lineRule="auto"/>
        <w:ind w:left="-710" w:leftChars="-338" w:firstLine="1820" w:firstLineChars="650"/>
        <w:jc w:val="left"/>
        <w:rPr>
          <w:rFonts w:cs="宋体"/>
          <w:b/>
          <w:bCs/>
          <w:kern w:val="0"/>
          <w:sz w:val="28"/>
          <w:szCs w:val="28"/>
        </w:rPr>
      </w:pPr>
      <w:r>
        <w:rPr>
          <w:rFonts w:hint="eastAsia"/>
          <w:sz w:val="28"/>
          <w:szCs w:val="28"/>
        </w:rPr>
        <w:t>广西壮族自治区桂东人民医院电梯维护保养质量考核表</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6"/>
        <w:gridCol w:w="4390"/>
        <w:gridCol w:w="650"/>
        <w:gridCol w:w="2147"/>
        <w:gridCol w:w="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tcBorders>
              <w:top w:val="single" w:color="auto" w:sz="4" w:space="0"/>
            </w:tcBorders>
          </w:tcPr>
          <w:p>
            <w:r>
              <w:rPr>
                <w:rFonts w:hint="eastAsia"/>
              </w:rPr>
              <w:t>顺序</w:t>
            </w:r>
          </w:p>
        </w:tc>
        <w:tc>
          <w:tcPr>
            <w:tcW w:w="4390" w:type="dxa"/>
          </w:tcPr>
          <w:p>
            <w:r>
              <w:rPr>
                <w:rFonts w:hint="eastAsia"/>
              </w:rPr>
              <w:t>标准内容</w:t>
            </w:r>
          </w:p>
        </w:tc>
        <w:tc>
          <w:tcPr>
            <w:tcW w:w="650" w:type="dxa"/>
          </w:tcPr>
          <w:p>
            <w:r>
              <w:rPr>
                <w:rFonts w:hint="eastAsia"/>
              </w:rPr>
              <w:t>标准分值</w:t>
            </w:r>
          </w:p>
        </w:tc>
        <w:tc>
          <w:tcPr>
            <w:tcW w:w="2147" w:type="dxa"/>
          </w:tcPr>
          <w:p>
            <w:r>
              <w:rPr>
                <w:rFonts w:hint="eastAsia"/>
              </w:rPr>
              <w:t>评分方法</w:t>
            </w:r>
          </w:p>
        </w:tc>
        <w:tc>
          <w:tcPr>
            <w:tcW w:w="699" w:type="dxa"/>
          </w:tcPr>
          <w:p>
            <w:r>
              <w:rPr>
                <w:rFonts w:hint="eastAsia"/>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restart"/>
          </w:tcPr>
          <w:p>
            <w:r>
              <w:rPr>
                <w:rFonts w:hint="eastAsia"/>
              </w:rPr>
              <w:t>一</w:t>
            </w:r>
          </w:p>
          <w:p>
            <w:r>
              <w:rPr>
                <w:rFonts w:hint="eastAsia"/>
              </w:rPr>
              <w:t>机</w:t>
            </w:r>
          </w:p>
          <w:p>
            <w:r>
              <w:rPr>
                <w:rFonts w:hint="eastAsia"/>
              </w:rPr>
              <w:t>房</w:t>
            </w:r>
          </w:p>
          <w:p>
            <w:pPr>
              <w:rPr>
                <w:rFonts w:eastAsiaTheme="minorEastAsia"/>
              </w:rPr>
            </w:pPr>
            <w:r>
              <w:rPr>
                <w:rFonts w:hint="eastAsia"/>
              </w:rPr>
              <w:t>22</w:t>
            </w:r>
          </w:p>
          <w:p>
            <w:r>
              <w:rPr>
                <w:rFonts w:hint="eastAsia"/>
              </w:rPr>
              <w:t>分</w:t>
            </w:r>
          </w:p>
        </w:tc>
        <w:tc>
          <w:tcPr>
            <w:tcW w:w="4390" w:type="dxa"/>
          </w:tcPr>
          <w:p>
            <w:pPr>
              <w:pStyle w:val="32"/>
              <w:numPr>
                <w:ilvl w:val="0"/>
                <w:numId w:val="1"/>
              </w:numPr>
            </w:pPr>
            <w:r>
              <w:rPr>
                <w:rFonts w:hint="eastAsia"/>
              </w:rPr>
              <w:t>机房环境：</w:t>
            </w:r>
          </w:p>
          <w:p>
            <w:r>
              <w:rPr>
                <w:rFonts w:hint="eastAsia"/>
              </w:rPr>
              <w:t>机房内应保持清洁、无杂物、门窗应可靠牢固</w:t>
            </w:r>
          </w:p>
        </w:tc>
        <w:tc>
          <w:tcPr>
            <w:tcW w:w="650" w:type="dxa"/>
          </w:tcPr>
          <w:p>
            <w:pPr>
              <w:rPr>
                <w:rFonts w:eastAsiaTheme="minorEastAsia"/>
              </w:rPr>
            </w:pPr>
            <w:r>
              <w:rPr>
                <w:rFonts w:hint="eastAsia"/>
              </w:rPr>
              <w:t>3</w:t>
            </w:r>
          </w:p>
        </w:tc>
        <w:tc>
          <w:tcPr>
            <w:tcW w:w="2147" w:type="dxa"/>
          </w:tcPr>
          <w:p>
            <w:pPr>
              <w:rPr>
                <w:rFonts w:eastAsiaTheme="minorEastAsia"/>
              </w:rPr>
            </w:pPr>
            <w:r>
              <w:rPr>
                <w:rFonts w:hint="eastAsia"/>
              </w:rPr>
              <w:t>符合：3分；基本符合：2分；不符合：0分</w:t>
            </w:r>
          </w:p>
        </w:tc>
        <w:tc>
          <w:tcPr>
            <w:tcW w:w="69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1" w:hRule="atLeast"/>
        </w:trPr>
        <w:tc>
          <w:tcPr>
            <w:tcW w:w="636" w:type="dxa"/>
            <w:vMerge w:val="continue"/>
          </w:tcPr>
          <w:p/>
        </w:tc>
        <w:tc>
          <w:tcPr>
            <w:tcW w:w="4390" w:type="dxa"/>
          </w:tcPr>
          <w:p>
            <w:pPr>
              <w:pStyle w:val="32"/>
              <w:numPr>
                <w:ilvl w:val="0"/>
                <w:numId w:val="1"/>
              </w:numPr>
            </w:pPr>
            <w:r>
              <w:rPr>
                <w:rFonts w:hint="eastAsia"/>
              </w:rPr>
              <w:t>控制柜：控制柜内各电子元件及微机设备内无灰尘、无异味等情况，各种标识应清晰有效。</w:t>
            </w:r>
          </w:p>
        </w:tc>
        <w:tc>
          <w:tcPr>
            <w:tcW w:w="650" w:type="dxa"/>
          </w:tcPr>
          <w:p>
            <w:pPr>
              <w:rPr>
                <w:rFonts w:eastAsiaTheme="minorEastAsia"/>
              </w:rPr>
            </w:pPr>
            <w:r>
              <w:rPr>
                <w:rFonts w:hint="eastAsia"/>
              </w:rPr>
              <w:t>3</w:t>
            </w:r>
          </w:p>
        </w:tc>
        <w:tc>
          <w:tcPr>
            <w:tcW w:w="2147" w:type="dxa"/>
          </w:tcPr>
          <w:p>
            <w:r>
              <w:rPr>
                <w:rFonts w:hint="eastAsia"/>
              </w:rPr>
              <w:t>符合：3分；基本符合：2分；不符合：0分</w:t>
            </w:r>
          </w:p>
        </w:tc>
        <w:tc>
          <w:tcPr>
            <w:tcW w:w="69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tcPr>
          <w:p/>
        </w:tc>
        <w:tc>
          <w:tcPr>
            <w:tcW w:w="4390" w:type="dxa"/>
          </w:tcPr>
          <w:p>
            <w:pPr>
              <w:pStyle w:val="32"/>
              <w:numPr>
                <w:ilvl w:val="0"/>
                <w:numId w:val="1"/>
              </w:numPr>
            </w:pPr>
            <w:r>
              <w:rPr>
                <w:rFonts w:hint="eastAsia"/>
              </w:rPr>
              <w:t>主机：运行时无异常噪音，无异常气味，无漏油现象。</w:t>
            </w:r>
          </w:p>
        </w:tc>
        <w:tc>
          <w:tcPr>
            <w:tcW w:w="650" w:type="dxa"/>
          </w:tcPr>
          <w:p>
            <w:pPr>
              <w:rPr>
                <w:rFonts w:eastAsiaTheme="minorEastAsia"/>
              </w:rPr>
            </w:pPr>
            <w:r>
              <w:rPr>
                <w:rFonts w:hint="eastAsia"/>
              </w:rPr>
              <w:t>5</w:t>
            </w:r>
          </w:p>
        </w:tc>
        <w:tc>
          <w:tcPr>
            <w:tcW w:w="2147" w:type="dxa"/>
          </w:tcPr>
          <w:p>
            <w:r>
              <w:rPr>
                <w:rFonts w:hint="eastAsia"/>
              </w:rPr>
              <w:t>符合：5分；基本符合：3分；不符合：0分</w:t>
            </w:r>
          </w:p>
        </w:tc>
        <w:tc>
          <w:tcPr>
            <w:tcW w:w="69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tcPr>
          <w:p/>
        </w:tc>
        <w:tc>
          <w:tcPr>
            <w:tcW w:w="4390" w:type="dxa"/>
          </w:tcPr>
          <w:p>
            <w:r>
              <w:rPr>
                <w:rFonts w:hint="eastAsia"/>
              </w:rPr>
              <w:t>4.机房内各转动部位应有明显标记。</w:t>
            </w:r>
          </w:p>
        </w:tc>
        <w:tc>
          <w:tcPr>
            <w:tcW w:w="650" w:type="dxa"/>
          </w:tcPr>
          <w:p>
            <w:pPr>
              <w:rPr>
                <w:rFonts w:eastAsiaTheme="minorEastAsia"/>
              </w:rPr>
            </w:pPr>
            <w:r>
              <w:rPr>
                <w:rFonts w:hint="eastAsia"/>
              </w:rPr>
              <w:t>3</w:t>
            </w:r>
          </w:p>
        </w:tc>
        <w:tc>
          <w:tcPr>
            <w:tcW w:w="2147" w:type="dxa"/>
          </w:tcPr>
          <w:p>
            <w:r>
              <w:rPr>
                <w:rFonts w:hint="eastAsia"/>
              </w:rPr>
              <w:t>符合：2分；基本符合：2分；不符合：0分</w:t>
            </w:r>
          </w:p>
        </w:tc>
        <w:tc>
          <w:tcPr>
            <w:tcW w:w="69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tcPr>
          <w:p/>
        </w:tc>
        <w:tc>
          <w:tcPr>
            <w:tcW w:w="4390" w:type="dxa"/>
          </w:tcPr>
          <w:p>
            <w:r>
              <w:rPr>
                <w:rFonts w:hint="eastAsia"/>
              </w:rPr>
              <w:t>5.限速器：夹绳口的污垢应及时清除，使夹绳动作可靠。</w:t>
            </w:r>
          </w:p>
        </w:tc>
        <w:tc>
          <w:tcPr>
            <w:tcW w:w="650" w:type="dxa"/>
          </w:tcPr>
          <w:p>
            <w:pPr>
              <w:rPr>
                <w:rFonts w:eastAsiaTheme="minorEastAsia"/>
              </w:rPr>
            </w:pPr>
            <w:r>
              <w:rPr>
                <w:rFonts w:hint="eastAsia"/>
              </w:rPr>
              <w:t>3</w:t>
            </w:r>
          </w:p>
        </w:tc>
        <w:tc>
          <w:tcPr>
            <w:tcW w:w="2147" w:type="dxa"/>
          </w:tcPr>
          <w:p>
            <w:r>
              <w:rPr>
                <w:rFonts w:hint="eastAsia"/>
              </w:rPr>
              <w:t>符合：3分；基本符合：2分；不符合：0分</w:t>
            </w:r>
          </w:p>
        </w:tc>
        <w:tc>
          <w:tcPr>
            <w:tcW w:w="69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tcPr>
          <w:p/>
        </w:tc>
        <w:tc>
          <w:tcPr>
            <w:tcW w:w="4390" w:type="dxa"/>
          </w:tcPr>
          <w:p>
            <w:pPr>
              <w:rPr>
                <w:rFonts w:eastAsiaTheme="minorEastAsia"/>
              </w:rPr>
            </w:pPr>
            <w:r>
              <w:rPr>
                <w:rFonts w:hint="eastAsia"/>
              </w:rPr>
              <w:t>6.机房内应有救援说明，救援工具应齐全，电梯维保单位相关资料真实有效。</w:t>
            </w:r>
          </w:p>
        </w:tc>
        <w:tc>
          <w:tcPr>
            <w:tcW w:w="650" w:type="dxa"/>
          </w:tcPr>
          <w:p>
            <w:pPr>
              <w:rPr>
                <w:rFonts w:eastAsiaTheme="minorEastAsia"/>
              </w:rPr>
            </w:pPr>
            <w:r>
              <w:rPr>
                <w:rFonts w:hint="eastAsia"/>
              </w:rPr>
              <w:t>5</w:t>
            </w:r>
          </w:p>
        </w:tc>
        <w:tc>
          <w:tcPr>
            <w:tcW w:w="2147" w:type="dxa"/>
          </w:tcPr>
          <w:p>
            <w:r>
              <w:rPr>
                <w:rFonts w:hint="eastAsia"/>
              </w:rPr>
              <w:t>符合：5分；基本符合：2分；不符合：0分</w:t>
            </w:r>
          </w:p>
        </w:tc>
        <w:tc>
          <w:tcPr>
            <w:tcW w:w="69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restart"/>
          </w:tcPr>
          <w:p>
            <w:r>
              <w:rPr>
                <w:rFonts w:hint="eastAsia"/>
              </w:rPr>
              <w:t>二</w:t>
            </w:r>
          </w:p>
          <w:p>
            <w:r>
              <w:rPr>
                <w:rFonts w:hint="eastAsia"/>
              </w:rPr>
              <w:t>井</w:t>
            </w:r>
          </w:p>
          <w:p>
            <w:r>
              <w:rPr>
                <w:rFonts w:hint="eastAsia"/>
              </w:rPr>
              <w:t>道</w:t>
            </w:r>
          </w:p>
          <w:p>
            <w:r>
              <w:rPr>
                <w:rFonts w:hint="eastAsia"/>
              </w:rPr>
              <w:t>15分</w:t>
            </w:r>
          </w:p>
        </w:tc>
        <w:tc>
          <w:tcPr>
            <w:tcW w:w="4390" w:type="dxa"/>
          </w:tcPr>
          <w:p>
            <w:pPr>
              <w:rPr>
                <w:rFonts w:eastAsiaTheme="minorEastAsia"/>
              </w:rPr>
            </w:pPr>
            <w:r>
              <w:rPr>
                <w:rFonts w:hint="eastAsia"/>
              </w:rPr>
              <w:t>1.各层厅门电器开关、门锁应动作灵活、可靠。</w:t>
            </w:r>
          </w:p>
        </w:tc>
        <w:tc>
          <w:tcPr>
            <w:tcW w:w="650" w:type="dxa"/>
          </w:tcPr>
          <w:p>
            <w:pPr>
              <w:rPr>
                <w:rFonts w:eastAsiaTheme="minorEastAsia"/>
              </w:rPr>
            </w:pPr>
            <w:r>
              <w:rPr>
                <w:rFonts w:hint="eastAsia"/>
              </w:rPr>
              <w:t>3</w:t>
            </w:r>
          </w:p>
        </w:tc>
        <w:tc>
          <w:tcPr>
            <w:tcW w:w="2147" w:type="dxa"/>
          </w:tcPr>
          <w:p>
            <w:r>
              <w:rPr>
                <w:rFonts w:hint="eastAsia"/>
              </w:rPr>
              <w:t>符合：3分；基本符合：2分；不符合：0分</w:t>
            </w:r>
          </w:p>
        </w:tc>
        <w:tc>
          <w:tcPr>
            <w:tcW w:w="69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tcPr>
          <w:p/>
        </w:tc>
        <w:tc>
          <w:tcPr>
            <w:tcW w:w="4390" w:type="dxa"/>
          </w:tcPr>
          <w:p>
            <w:pPr>
              <w:rPr>
                <w:rFonts w:eastAsiaTheme="minorEastAsia"/>
              </w:rPr>
            </w:pPr>
            <w:r>
              <w:rPr>
                <w:rFonts w:hint="eastAsia"/>
              </w:rPr>
              <w:t>2.各层门厅门头、门扇、地坎、应无垃圾、砂石、油污等。</w:t>
            </w:r>
          </w:p>
        </w:tc>
        <w:tc>
          <w:tcPr>
            <w:tcW w:w="650" w:type="dxa"/>
          </w:tcPr>
          <w:p>
            <w:pPr>
              <w:rPr>
                <w:rFonts w:eastAsiaTheme="minorEastAsia"/>
              </w:rPr>
            </w:pPr>
            <w:r>
              <w:rPr>
                <w:rFonts w:hint="eastAsia"/>
              </w:rPr>
              <w:t>3</w:t>
            </w:r>
          </w:p>
        </w:tc>
        <w:tc>
          <w:tcPr>
            <w:tcW w:w="2147" w:type="dxa"/>
          </w:tcPr>
          <w:p>
            <w:r>
              <w:rPr>
                <w:rFonts w:hint="eastAsia"/>
              </w:rPr>
              <w:t>符合：3分；基本符合：2分；不符合：0分</w:t>
            </w:r>
          </w:p>
        </w:tc>
        <w:tc>
          <w:tcPr>
            <w:tcW w:w="69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tcPr>
          <w:p/>
        </w:tc>
        <w:tc>
          <w:tcPr>
            <w:tcW w:w="4390" w:type="dxa"/>
          </w:tcPr>
          <w:p>
            <w:pPr>
              <w:rPr>
                <w:rFonts w:eastAsiaTheme="minorEastAsia"/>
              </w:rPr>
            </w:pPr>
            <w:r>
              <w:rPr>
                <w:rFonts w:hint="eastAsia"/>
              </w:rPr>
              <w:t>3.钢丝绳有无断股断丝现象，并检查钢丝绳的受力均匀情况。</w:t>
            </w:r>
          </w:p>
        </w:tc>
        <w:tc>
          <w:tcPr>
            <w:tcW w:w="650" w:type="dxa"/>
          </w:tcPr>
          <w:p>
            <w:pPr>
              <w:rPr>
                <w:rFonts w:eastAsiaTheme="minorEastAsia"/>
              </w:rPr>
            </w:pPr>
            <w:r>
              <w:rPr>
                <w:rFonts w:hint="eastAsia"/>
              </w:rPr>
              <w:t>3</w:t>
            </w:r>
          </w:p>
        </w:tc>
        <w:tc>
          <w:tcPr>
            <w:tcW w:w="2147" w:type="dxa"/>
          </w:tcPr>
          <w:p>
            <w:r>
              <w:rPr>
                <w:rFonts w:hint="eastAsia"/>
              </w:rPr>
              <w:t>符合：3分；基本符合：2分；不符合：0分</w:t>
            </w:r>
          </w:p>
        </w:tc>
        <w:tc>
          <w:tcPr>
            <w:tcW w:w="69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tcPr>
          <w:p/>
        </w:tc>
        <w:tc>
          <w:tcPr>
            <w:tcW w:w="4390" w:type="dxa"/>
          </w:tcPr>
          <w:p>
            <w:pPr>
              <w:rPr>
                <w:rFonts w:eastAsiaTheme="minorEastAsia"/>
              </w:rPr>
            </w:pPr>
            <w:r>
              <w:rPr>
                <w:rFonts w:hint="eastAsia"/>
              </w:rPr>
              <w:t>4.检查各厅门的门轨、门触点是否符合标准。</w:t>
            </w:r>
          </w:p>
        </w:tc>
        <w:tc>
          <w:tcPr>
            <w:tcW w:w="650" w:type="dxa"/>
          </w:tcPr>
          <w:p>
            <w:pPr>
              <w:rPr>
                <w:rFonts w:eastAsiaTheme="minorEastAsia"/>
              </w:rPr>
            </w:pPr>
            <w:r>
              <w:rPr>
                <w:rFonts w:hint="eastAsia"/>
              </w:rPr>
              <w:t>3</w:t>
            </w:r>
          </w:p>
        </w:tc>
        <w:tc>
          <w:tcPr>
            <w:tcW w:w="2147" w:type="dxa"/>
          </w:tcPr>
          <w:p>
            <w:r>
              <w:rPr>
                <w:rFonts w:hint="eastAsia"/>
              </w:rPr>
              <w:t>符合：3分；基本符合：2分；不符合：0分</w:t>
            </w:r>
          </w:p>
        </w:tc>
        <w:tc>
          <w:tcPr>
            <w:tcW w:w="69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tcPr>
          <w:p/>
        </w:tc>
        <w:tc>
          <w:tcPr>
            <w:tcW w:w="4390" w:type="dxa"/>
          </w:tcPr>
          <w:p>
            <w:pPr>
              <w:rPr>
                <w:rFonts w:eastAsiaTheme="minorEastAsia"/>
              </w:rPr>
            </w:pPr>
            <w:r>
              <w:rPr>
                <w:rFonts w:hint="eastAsia"/>
              </w:rPr>
              <w:t>5.强迫换速开关、限位开关、极限开关应动作灵活可靠。</w:t>
            </w:r>
          </w:p>
        </w:tc>
        <w:tc>
          <w:tcPr>
            <w:tcW w:w="650" w:type="dxa"/>
          </w:tcPr>
          <w:p>
            <w:pPr>
              <w:rPr>
                <w:rFonts w:eastAsiaTheme="minorEastAsia"/>
              </w:rPr>
            </w:pPr>
            <w:r>
              <w:rPr>
                <w:rFonts w:hint="eastAsia"/>
              </w:rPr>
              <w:t>3</w:t>
            </w:r>
          </w:p>
        </w:tc>
        <w:tc>
          <w:tcPr>
            <w:tcW w:w="2147" w:type="dxa"/>
          </w:tcPr>
          <w:p>
            <w:r>
              <w:rPr>
                <w:rFonts w:hint="eastAsia"/>
              </w:rPr>
              <w:t>符合：3分；基本符合：2分；不符合：0分</w:t>
            </w:r>
          </w:p>
        </w:tc>
        <w:tc>
          <w:tcPr>
            <w:tcW w:w="69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restart"/>
          </w:tcPr>
          <w:p>
            <w:r>
              <w:rPr>
                <w:rFonts w:hint="eastAsia"/>
              </w:rPr>
              <w:t>三</w:t>
            </w:r>
          </w:p>
          <w:p>
            <w:r>
              <w:rPr>
                <w:rFonts w:hint="eastAsia"/>
              </w:rPr>
              <w:t>桥</w:t>
            </w:r>
          </w:p>
          <w:p>
            <w:r>
              <w:rPr>
                <w:rFonts w:hint="eastAsia"/>
              </w:rPr>
              <w:t>顶</w:t>
            </w:r>
          </w:p>
          <w:p>
            <w:r>
              <w:rPr>
                <w:rFonts w:hint="eastAsia"/>
              </w:rPr>
              <w:t>10分</w:t>
            </w:r>
          </w:p>
        </w:tc>
        <w:tc>
          <w:tcPr>
            <w:tcW w:w="4390" w:type="dxa"/>
          </w:tcPr>
          <w:p>
            <w:pPr>
              <w:rPr>
                <w:rFonts w:eastAsiaTheme="minorEastAsia"/>
              </w:rPr>
            </w:pPr>
            <w:r>
              <w:rPr>
                <w:rFonts w:hint="eastAsia"/>
              </w:rPr>
              <w:t>1.安全窗、安全钳、钢带等电器开关应动作可靠有效。</w:t>
            </w:r>
          </w:p>
        </w:tc>
        <w:tc>
          <w:tcPr>
            <w:tcW w:w="650" w:type="dxa"/>
          </w:tcPr>
          <w:p>
            <w:pPr>
              <w:rPr>
                <w:rFonts w:eastAsiaTheme="minorEastAsia"/>
              </w:rPr>
            </w:pPr>
            <w:r>
              <w:rPr>
                <w:rFonts w:hint="eastAsia"/>
              </w:rPr>
              <w:t>4</w:t>
            </w:r>
          </w:p>
        </w:tc>
        <w:tc>
          <w:tcPr>
            <w:tcW w:w="2147" w:type="dxa"/>
          </w:tcPr>
          <w:p>
            <w:r>
              <w:rPr>
                <w:rFonts w:hint="eastAsia"/>
              </w:rPr>
              <w:t>符合：4分；基本符合：2分；不符合：0分</w:t>
            </w:r>
          </w:p>
        </w:tc>
        <w:tc>
          <w:tcPr>
            <w:tcW w:w="69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tcPr>
          <w:p/>
        </w:tc>
        <w:tc>
          <w:tcPr>
            <w:tcW w:w="4390" w:type="dxa"/>
          </w:tcPr>
          <w:p>
            <w:pPr>
              <w:rPr>
                <w:rFonts w:eastAsiaTheme="minorEastAsia"/>
              </w:rPr>
            </w:pPr>
            <w:r>
              <w:rPr>
                <w:rFonts w:hint="eastAsia"/>
              </w:rPr>
              <w:t>2.导轨润滑要良好，油杯油量应适当，不易过多不宜过少。</w:t>
            </w:r>
          </w:p>
        </w:tc>
        <w:tc>
          <w:tcPr>
            <w:tcW w:w="650" w:type="dxa"/>
          </w:tcPr>
          <w:p>
            <w:pPr>
              <w:rPr>
                <w:rFonts w:eastAsiaTheme="minorEastAsia"/>
              </w:rPr>
            </w:pPr>
            <w:r>
              <w:rPr>
                <w:rFonts w:hint="eastAsia"/>
              </w:rPr>
              <w:t>3</w:t>
            </w:r>
          </w:p>
        </w:tc>
        <w:tc>
          <w:tcPr>
            <w:tcW w:w="2147" w:type="dxa"/>
          </w:tcPr>
          <w:p>
            <w:r>
              <w:rPr>
                <w:rFonts w:hint="eastAsia"/>
              </w:rPr>
              <w:t>符合：3分；基本符合：2分；不符合：0分</w:t>
            </w:r>
          </w:p>
        </w:tc>
        <w:tc>
          <w:tcPr>
            <w:tcW w:w="69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tcPr>
          <w:p/>
        </w:tc>
        <w:tc>
          <w:tcPr>
            <w:tcW w:w="4390" w:type="dxa"/>
          </w:tcPr>
          <w:p>
            <w:pPr>
              <w:rPr>
                <w:rFonts w:eastAsiaTheme="minorEastAsia"/>
              </w:rPr>
            </w:pPr>
            <w:r>
              <w:rPr>
                <w:rFonts w:hint="eastAsia"/>
                <w:color w:val="000000" w:themeColor="text1"/>
              </w:rPr>
              <w:t>3.桥顶应保持清洁，没有较厚灰尘、虫网、油污和杂物。一个季度清洁一次；如果遇到特殊疫情防控要求，随时进行清洁。</w:t>
            </w:r>
          </w:p>
        </w:tc>
        <w:tc>
          <w:tcPr>
            <w:tcW w:w="650" w:type="dxa"/>
          </w:tcPr>
          <w:p>
            <w:pPr>
              <w:rPr>
                <w:rFonts w:eastAsiaTheme="minorEastAsia"/>
              </w:rPr>
            </w:pPr>
            <w:r>
              <w:rPr>
                <w:rFonts w:hint="eastAsia"/>
              </w:rPr>
              <w:t>3</w:t>
            </w:r>
          </w:p>
        </w:tc>
        <w:tc>
          <w:tcPr>
            <w:tcW w:w="2147" w:type="dxa"/>
          </w:tcPr>
          <w:p>
            <w:r>
              <w:rPr>
                <w:rFonts w:hint="eastAsia"/>
              </w:rPr>
              <w:t>符合：3分；基本符合：2分；不符合：0分</w:t>
            </w:r>
          </w:p>
        </w:tc>
        <w:tc>
          <w:tcPr>
            <w:tcW w:w="69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restart"/>
          </w:tcPr>
          <w:p>
            <w:r>
              <w:rPr>
                <w:rFonts w:hint="eastAsia"/>
              </w:rPr>
              <w:t>四</w:t>
            </w:r>
          </w:p>
          <w:p>
            <w:r>
              <w:rPr>
                <w:rFonts w:hint="eastAsia"/>
              </w:rPr>
              <w:t>桥</w:t>
            </w:r>
          </w:p>
          <w:p>
            <w:r>
              <w:rPr>
                <w:rFonts w:hint="eastAsia"/>
              </w:rPr>
              <w:t>厢</w:t>
            </w:r>
          </w:p>
          <w:p>
            <w:r>
              <w:rPr>
                <w:rFonts w:hint="eastAsia"/>
              </w:rPr>
              <w:t>内</w:t>
            </w:r>
          </w:p>
          <w:p>
            <w:r>
              <w:rPr>
                <w:rFonts w:hint="eastAsia"/>
              </w:rPr>
              <w:t>11分</w:t>
            </w:r>
          </w:p>
        </w:tc>
        <w:tc>
          <w:tcPr>
            <w:tcW w:w="4390" w:type="dxa"/>
          </w:tcPr>
          <w:p>
            <w:pPr>
              <w:rPr>
                <w:rFonts w:eastAsiaTheme="minorEastAsia"/>
              </w:rPr>
            </w:pPr>
            <w:r>
              <w:rPr>
                <w:rFonts w:hint="eastAsia"/>
              </w:rPr>
              <w:t>1.操纵箱内各个开关按钮应动作灵活，有效。</w:t>
            </w:r>
          </w:p>
        </w:tc>
        <w:tc>
          <w:tcPr>
            <w:tcW w:w="650" w:type="dxa"/>
          </w:tcPr>
          <w:p>
            <w:pPr>
              <w:rPr>
                <w:rFonts w:eastAsiaTheme="minorEastAsia"/>
              </w:rPr>
            </w:pPr>
            <w:r>
              <w:rPr>
                <w:rFonts w:hint="eastAsia"/>
              </w:rPr>
              <w:t>4</w:t>
            </w:r>
          </w:p>
        </w:tc>
        <w:tc>
          <w:tcPr>
            <w:tcW w:w="2147" w:type="dxa"/>
          </w:tcPr>
          <w:p>
            <w:r>
              <w:rPr>
                <w:rFonts w:hint="eastAsia"/>
              </w:rPr>
              <w:t>符合：4分；基本符合：2分；不符合：0分</w:t>
            </w:r>
          </w:p>
        </w:tc>
        <w:tc>
          <w:tcPr>
            <w:tcW w:w="69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tcPr>
          <w:p/>
        </w:tc>
        <w:tc>
          <w:tcPr>
            <w:tcW w:w="4390" w:type="dxa"/>
          </w:tcPr>
          <w:p>
            <w:pPr>
              <w:rPr>
                <w:rFonts w:eastAsiaTheme="minorEastAsia"/>
              </w:rPr>
            </w:pPr>
            <w:r>
              <w:rPr>
                <w:rFonts w:hint="eastAsia"/>
              </w:rPr>
              <w:t>2.桥内照明、风扇应良好。</w:t>
            </w:r>
          </w:p>
        </w:tc>
        <w:tc>
          <w:tcPr>
            <w:tcW w:w="650" w:type="dxa"/>
          </w:tcPr>
          <w:p>
            <w:pPr>
              <w:rPr>
                <w:rFonts w:eastAsiaTheme="minorEastAsia"/>
              </w:rPr>
            </w:pPr>
            <w:r>
              <w:rPr>
                <w:rFonts w:hint="eastAsia"/>
              </w:rPr>
              <w:t>3</w:t>
            </w:r>
          </w:p>
        </w:tc>
        <w:tc>
          <w:tcPr>
            <w:tcW w:w="2147" w:type="dxa"/>
          </w:tcPr>
          <w:p>
            <w:r>
              <w:rPr>
                <w:rFonts w:hint="eastAsia"/>
              </w:rPr>
              <w:t>符合：3分；基本符合：2分；不符合：0分</w:t>
            </w:r>
          </w:p>
        </w:tc>
        <w:tc>
          <w:tcPr>
            <w:tcW w:w="69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tcPr>
          <w:p/>
        </w:tc>
        <w:tc>
          <w:tcPr>
            <w:tcW w:w="4390" w:type="dxa"/>
          </w:tcPr>
          <w:p>
            <w:pPr>
              <w:rPr>
                <w:rFonts w:eastAsiaTheme="minorEastAsia"/>
              </w:rPr>
            </w:pPr>
            <w:r>
              <w:rPr>
                <w:rFonts w:hint="eastAsia"/>
              </w:rPr>
              <w:t>3.安全触板、光幕板动作应有效，桥厢超限装置应有效。电梯紧急报警应有效。</w:t>
            </w:r>
          </w:p>
        </w:tc>
        <w:tc>
          <w:tcPr>
            <w:tcW w:w="650" w:type="dxa"/>
          </w:tcPr>
          <w:p>
            <w:pPr>
              <w:rPr>
                <w:rFonts w:eastAsiaTheme="minorEastAsia"/>
              </w:rPr>
            </w:pPr>
            <w:r>
              <w:rPr>
                <w:rFonts w:hint="eastAsia"/>
              </w:rPr>
              <w:t>4</w:t>
            </w:r>
          </w:p>
        </w:tc>
        <w:tc>
          <w:tcPr>
            <w:tcW w:w="2147" w:type="dxa"/>
          </w:tcPr>
          <w:p>
            <w:r>
              <w:rPr>
                <w:rFonts w:hint="eastAsia"/>
              </w:rPr>
              <w:t>符合：4分；基本符合：2分；不符合：0分</w:t>
            </w:r>
          </w:p>
        </w:tc>
        <w:tc>
          <w:tcPr>
            <w:tcW w:w="69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636" w:type="dxa"/>
            <w:vMerge w:val="restart"/>
          </w:tcPr>
          <w:p>
            <w:r>
              <w:rPr>
                <w:rFonts w:hint="eastAsia"/>
              </w:rPr>
              <w:t>五</w:t>
            </w:r>
          </w:p>
          <w:p>
            <w:r>
              <w:rPr>
                <w:rFonts w:hint="eastAsia"/>
              </w:rPr>
              <w:t>底</w:t>
            </w:r>
          </w:p>
          <w:p>
            <w:r>
              <w:rPr>
                <w:rFonts w:hint="eastAsia"/>
              </w:rPr>
              <w:t>坑</w:t>
            </w:r>
          </w:p>
          <w:p>
            <w:r>
              <w:rPr>
                <w:rFonts w:hint="eastAsia"/>
              </w:rPr>
              <w:t>11分</w:t>
            </w:r>
          </w:p>
        </w:tc>
        <w:tc>
          <w:tcPr>
            <w:tcW w:w="4390" w:type="dxa"/>
          </w:tcPr>
          <w:p>
            <w:pPr>
              <w:rPr>
                <w:rFonts w:eastAsiaTheme="minorEastAsia"/>
              </w:rPr>
            </w:pPr>
            <w:r>
              <w:rPr>
                <w:rFonts w:hint="eastAsia"/>
              </w:rPr>
              <w:t>1.底坑环境卫生</w:t>
            </w:r>
            <w:r>
              <w:rPr>
                <w:rFonts w:hint="eastAsia"/>
                <w:color w:val="000000" w:themeColor="text1"/>
              </w:rPr>
              <w:t>：一个季度</w:t>
            </w:r>
            <w:r>
              <w:rPr>
                <w:rFonts w:hint="eastAsia"/>
              </w:rPr>
              <w:t>清理一次底坑环境卫生，底坑无垃圾。</w:t>
            </w:r>
          </w:p>
        </w:tc>
        <w:tc>
          <w:tcPr>
            <w:tcW w:w="650" w:type="dxa"/>
          </w:tcPr>
          <w:p>
            <w:pPr>
              <w:rPr>
                <w:rFonts w:eastAsiaTheme="minorEastAsia"/>
              </w:rPr>
            </w:pPr>
            <w:r>
              <w:rPr>
                <w:rFonts w:hint="eastAsia"/>
              </w:rPr>
              <w:t>3</w:t>
            </w:r>
          </w:p>
        </w:tc>
        <w:tc>
          <w:tcPr>
            <w:tcW w:w="2147" w:type="dxa"/>
          </w:tcPr>
          <w:p>
            <w:r>
              <w:rPr>
                <w:rFonts w:hint="eastAsia"/>
              </w:rPr>
              <w:t>符合：3分；基本符合：2分；不符合：0分</w:t>
            </w:r>
          </w:p>
        </w:tc>
        <w:tc>
          <w:tcPr>
            <w:tcW w:w="69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tcPr>
          <w:p/>
        </w:tc>
        <w:tc>
          <w:tcPr>
            <w:tcW w:w="4390" w:type="dxa"/>
          </w:tcPr>
          <w:p>
            <w:pPr>
              <w:rPr>
                <w:rFonts w:eastAsiaTheme="minorEastAsia"/>
              </w:rPr>
            </w:pPr>
            <w:r>
              <w:rPr>
                <w:rFonts w:hint="eastAsia"/>
              </w:rPr>
              <w:t>2.张紧装置的开关位置应符合标准，涨紧轮锈蚀磨损是否严重。电梯底坑低压接线盒应符合标准。</w:t>
            </w:r>
          </w:p>
        </w:tc>
        <w:tc>
          <w:tcPr>
            <w:tcW w:w="650" w:type="dxa"/>
          </w:tcPr>
          <w:p>
            <w:pPr>
              <w:rPr>
                <w:rFonts w:eastAsiaTheme="minorEastAsia"/>
              </w:rPr>
            </w:pPr>
            <w:r>
              <w:rPr>
                <w:rFonts w:hint="eastAsia"/>
              </w:rPr>
              <w:t>4</w:t>
            </w:r>
          </w:p>
        </w:tc>
        <w:tc>
          <w:tcPr>
            <w:tcW w:w="2147" w:type="dxa"/>
          </w:tcPr>
          <w:p>
            <w:r>
              <w:rPr>
                <w:rFonts w:hint="eastAsia"/>
              </w:rPr>
              <w:t>符合：4分；基本符合：2分；不符合：0分</w:t>
            </w:r>
          </w:p>
        </w:tc>
        <w:tc>
          <w:tcPr>
            <w:tcW w:w="69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tcPr>
          <w:p/>
        </w:tc>
        <w:tc>
          <w:tcPr>
            <w:tcW w:w="4390" w:type="dxa"/>
          </w:tcPr>
          <w:p>
            <w:pPr>
              <w:rPr>
                <w:rFonts w:eastAsiaTheme="minorEastAsia"/>
              </w:rPr>
            </w:pPr>
            <w:r>
              <w:rPr>
                <w:rFonts w:hint="eastAsia"/>
              </w:rPr>
              <w:t>3.缓冲器开关应动作灵活。</w:t>
            </w:r>
          </w:p>
        </w:tc>
        <w:tc>
          <w:tcPr>
            <w:tcW w:w="650" w:type="dxa"/>
          </w:tcPr>
          <w:p>
            <w:pPr>
              <w:rPr>
                <w:rFonts w:eastAsiaTheme="minorEastAsia"/>
              </w:rPr>
            </w:pPr>
            <w:r>
              <w:rPr>
                <w:rFonts w:hint="eastAsia"/>
              </w:rPr>
              <w:t>4</w:t>
            </w:r>
          </w:p>
        </w:tc>
        <w:tc>
          <w:tcPr>
            <w:tcW w:w="2147" w:type="dxa"/>
          </w:tcPr>
          <w:p>
            <w:r>
              <w:rPr>
                <w:rFonts w:hint="eastAsia"/>
              </w:rPr>
              <w:t>符合：4分；基本符合：2分；不符合：0分</w:t>
            </w:r>
          </w:p>
        </w:tc>
        <w:tc>
          <w:tcPr>
            <w:tcW w:w="69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restart"/>
          </w:tcPr>
          <w:p>
            <w:r>
              <w:rPr>
                <w:rFonts w:hint="eastAsia"/>
              </w:rPr>
              <w:t>六</w:t>
            </w:r>
          </w:p>
          <w:p>
            <w:r>
              <w:rPr>
                <w:rFonts w:hint="eastAsia"/>
              </w:rPr>
              <w:t>基</w:t>
            </w:r>
          </w:p>
          <w:p>
            <w:r>
              <w:rPr>
                <w:rFonts w:hint="eastAsia"/>
              </w:rPr>
              <w:t>础</w:t>
            </w:r>
          </w:p>
          <w:p>
            <w:r>
              <w:rPr>
                <w:rFonts w:hint="eastAsia"/>
              </w:rPr>
              <w:t>部</w:t>
            </w:r>
          </w:p>
          <w:p>
            <w:r>
              <w:rPr>
                <w:rFonts w:hint="eastAsia"/>
              </w:rPr>
              <w:t>分</w:t>
            </w:r>
          </w:p>
          <w:p>
            <w:r>
              <w:rPr>
                <w:rFonts w:hint="eastAsia"/>
              </w:rPr>
              <w:t>31分</w:t>
            </w:r>
          </w:p>
        </w:tc>
        <w:tc>
          <w:tcPr>
            <w:tcW w:w="4390" w:type="dxa"/>
          </w:tcPr>
          <w:p>
            <w:pPr>
              <w:rPr>
                <w:rFonts w:eastAsiaTheme="minorEastAsia"/>
              </w:rPr>
            </w:pPr>
            <w:r>
              <w:rPr>
                <w:rFonts w:hint="eastAsia"/>
              </w:rPr>
              <w:t>1.维修人员仪容仪表：统一着装佩戴工作证，严禁穿拖鞋和赤脚作业。维修人员精神饱满，不得在工作区域抽烟。</w:t>
            </w:r>
          </w:p>
        </w:tc>
        <w:tc>
          <w:tcPr>
            <w:tcW w:w="650" w:type="dxa"/>
          </w:tcPr>
          <w:p>
            <w:pPr>
              <w:rPr>
                <w:rFonts w:eastAsiaTheme="minorEastAsia"/>
              </w:rPr>
            </w:pPr>
            <w:r>
              <w:rPr>
                <w:rFonts w:hint="eastAsia"/>
              </w:rPr>
              <w:t>5</w:t>
            </w:r>
          </w:p>
        </w:tc>
        <w:tc>
          <w:tcPr>
            <w:tcW w:w="2147" w:type="dxa"/>
          </w:tcPr>
          <w:p>
            <w:pPr>
              <w:rPr>
                <w:rFonts w:eastAsiaTheme="minorEastAsia"/>
              </w:rPr>
            </w:pPr>
            <w:r>
              <w:rPr>
                <w:rFonts w:hint="eastAsia"/>
              </w:rPr>
              <w:t>优秀：5分；良好：4分；合格：3分；不合格：0分</w:t>
            </w:r>
          </w:p>
        </w:tc>
        <w:tc>
          <w:tcPr>
            <w:tcW w:w="69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tcBorders>
              <w:top w:val="nil"/>
              <w:bottom w:val="nil"/>
            </w:tcBorders>
          </w:tcPr>
          <w:p/>
        </w:tc>
        <w:tc>
          <w:tcPr>
            <w:tcW w:w="4390" w:type="dxa"/>
          </w:tcPr>
          <w:p>
            <w:pPr>
              <w:rPr>
                <w:rFonts w:eastAsiaTheme="minorEastAsia"/>
              </w:rPr>
            </w:pPr>
            <w:r>
              <w:rPr>
                <w:rFonts w:hint="eastAsia"/>
              </w:rPr>
              <w:t>2.故障处理：故障处理及时，从电梯维保单位接到报修后不超过30分钟到达现场（2）维保人员达到现场后要告知管理处开始检修，维修工作结束后报告管理处检修结果。（3）一般故障修复时间不超过一小时，如需更换购买零配件的故障，维保单位应及时告知管理处备案，并张贴停梯通知和检修恢复时间。</w:t>
            </w:r>
          </w:p>
        </w:tc>
        <w:tc>
          <w:tcPr>
            <w:tcW w:w="650" w:type="dxa"/>
          </w:tcPr>
          <w:p>
            <w:pPr>
              <w:rPr>
                <w:rFonts w:eastAsiaTheme="minorEastAsia"/>
              </w:rPr>
            </w:pPr>
            <w:r>
              <w:rPr>
                <w:rFonts w:hint="eastAsia"/>
              </w:rPr>
              <w:t>10</w:t>
            </w:r>
          </w:p>
        </w:tc>
        <w:tc>
          <w:tcPr>
            <w:tcW w:w="2147" w:type="dxa"/>
          </w:tcPr>
          <w:p>
            <w:r>
              <w:rPr>
                <w:rFonts w:hint="eastAsia"/>
              </w:rPr>
              <w:t>优秀：10分；良好：8分；合格：6分；不合格：0分</w:t>
            </w:r>
          </w:p>
        </w:tc>
        <w:tc>
          <w:tcPr>
            <w:tcW w:w="69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tcBorders>
              <w:top w:val="nil"/>
              <w:bottom w:val="nil"/>
            </w:tcBorders>
          </w:tcPr>
          <w:p/>
        </w:tc>
        <w:tc>
          <w:tcPr>
            <w:tcW w:w="4390" w:type="dxa"/>
          </w:tcPr>
          <w:p>
            <w:pPr>
              <w:rPr>
                <w:rFonts w:eastAsiaTheme="minorEastAsia"/>
              </w:rPr>
            </w:pPr>
            <w:r>
              <w:rPr>
                <w:rFonts w:hint="eastAsia"/>
              </w:rPr>
              <w:t>3.工作记录（1）电梯维保时应按照《电梯维保检查记录表》的要求详细记录。（2）电梯维修记录清晰（电梯故障及处理结果）；（3）电梯配件更换记录清晰（电梯配件质保）。</w:t>
            </w:r>
          </w:p>
        </w:tc>
        <w:tc>
          <w:tcPr>
            <w:tcW w:w="650" w:type="dxa"/>
          </w:tcPr>
          <w:p>
            <w:pPr>
              <w:rPr>
                <w:rFonts w:eastAsiaTheme="minorEastAsia"/>
              </w:rPr>
            </w:pPr>
            <w:r>
              <w:rPr>
                <w:rFonts w:hint="eastAsia"/>
              </w:rPr>
              <w:t>6</w:t>
            </w:r>
          </w:p>
        </w:tc>
        <w:tc>
          <w:tcPr>
            <w:tcW w:w="2147" w:type="dxa"/>
          </w:tcPr>
          <w:p>
            <w:r>
              <w:rPr>
                <w:rFonts w:hint="eastAsia"/>
              </w:rPr>
              <w:t>符合：3分；基本符合：2分；不符合：0分</w:t>
            </w:r>
          </w:p>
        </w:tc>
        <w:tc>
          <w:tcPr>
            <w:tcW w:w="69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tcBorders>
              <w:top w:val="nil"/>
              <w:bottom w:val="single" w:color="auto" w:sz="4" w:space="0"/>
            </w:tcBorders>
          </w:tcPr>
          <w:p/>
        </w:tc>
        <w:tc>
          <w:tcPr>
            <w:tcW w:w="4390" w:type="dxa"/>
          </w:tcPr>
          <w:p>
            <w:r>
              <w:rPr>
                <w:rFonts w:hint="eastAsia"/>
              </w:rPr>
              <w:t>4.安全情况：（1）维护、检修故障作业时维保人员应告知管理处，并铺设安全围栏及警示标语；（2）维保单位作业时严格按照《电梯维护、维修安全作业规范》操作。</w:t>
            </w:r>
          </w:p>
        </w:tc>
        <w:tc>
          <w:tcPr>
            <w:tcW w:w="650" w:type="dxa"/>
          </w:tcPr>
          <w:p>
            <w:pPr>
              <w:rPr>
                <w:rFonts w:eastAsiaTheme="minorEastAsia"/>
              </w:rPr>
            </w:pPr>
            <w:r>
              <w:rPr>
                <w:rFonts w:hint="eastAsia"/>
              </w:rPr>
              <w:t>10</w:t>
            </w:r>
          </w:p>
        </w:tc>
        <w:tc>
          <w:tcPr>
            <w:tcW w:w="2147" w:type="dxa"/>
          </w:tcPr>
          <w:p>
            <w:pPr>
              <w:rPr>
                <w:rFonts w:eastAsiaTheme="minorEastAsia"/>
              </w:rPr>
            </w:pPr>
            <w:r>
              <w:rPr>
                <w:rFonts w:hint="eastAsia"/>
              </w:rPr>
              <w:t>符合安全操作规程：10分；违反操作规程：0分</w:t>
            </w:r>
          </w:p>
        </w:tc>
        <w:tc>
          <w:tcPr>
            <w:tcW w:w="69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tcBorders>
              <w:top w:val="single" w:color="auto" w:sz="4" w:space="0"/>
            </w:tcBorders>
          </w:tcPr>
          <w:p>
            <w:pPr>
              <w:rPr>
                <w:rFonts w:eastAsiaTheme="minorEastAsia"/>
              </w:rPr>
            </w:pPr>
            <w:r>
              <w:rPr>
                <w:rFonts w:hint="eastAsia"/>
              </w:rPr>
              <w:t>得分</w:t>
            </w:r>
          </w:p>
        </w:tc>
        <w:tc>
          <w:tcPr>
            <w:tcW w:w="7187" w:type="dxa"/>
            <w:gridSpan w:val="3"/>
          </w:tcPr>
          <w:p/>
        </w:tc>
        <w:tc>
          <w:tcPr>
            <w:tcW w:w="699" w:type="dxa"/>
          </w:tcPr>
          <w:p/>
        </w:tc>
      </w:tr>
    </w:tbl>
    <w:p>
      <w:pPr>
        <w:pStyle w:val="9"/>
        <w:rPr>
          <w:rFonts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themeColor="text1"/>
          <w:sz w:val="24"/>
          <w:szCs w:val="24"/>
        </w:rPr>
        <w:t>说明：招标方每季度对维保单位进行考评，如维保单位连续3次考核低于60分，或连续出现3次电梯故障半小时内无法到达现场处理，招标方可单方面终止合同，重新招标。</w:t>
      </w:r>
    </w:p>
    <w:p>
      <w:pPr>
        <w:pStyle w:val="2"/>
      </w:pPr>
    </w:p>
    <w:p>
      <w:pPr>
        <w:widowControl/>
        <w:spacing w:line="360" w:lineRule="auto"/>
        <w:ind w:left="-710" w:leftChars="-338" w:firstLine="703" w:firstLineChars="250"/>
        <w:jc w:val="left"/>
        <w:rPr>
          <w:rFonts w:cs="宋体"/>
          <w:b/>
          <w:bCs/>
          <w:kern w:val="0"/>
          <w:sz w:val="28"/>
          <w:szCs w:val="28"/>
        </w:rPr>
      </w:pPr>
      <w:r>
        <w:rPr>
          <w:rFonts w:hint="eastAsia" w:cs="宋体"/>
          <w:b/>
          <w:bCs/>
          <w:kern w:val="0"/>
          <w:sz w:val="28"/>
          <w:szCs w:val="28"/>
        </w:rPr>
        <w:t>四、特别说明</w:t>
      </w:r>
    </w:p>
    <w:p>
      <w:pPr>
        <w:widowControl/>
        <w:spacing w:line="400" w:lineRule="exact"/>
        <w:ind w:left="17" w:leftChars="8" w:firstLine="532" w:firstLineChars="222"/>
        <w:jc w:val="left"/>
        <w:rPr>
          <w:rFonts w:cs="宋体"/>
          <w:kern w:val="0"/>
          <w:sz w:val="24"/>
          <w:szCs w:val="24"/>
        </w:rPr>
      </w:pPr>
      <w:r>
        <w:rPr>
          <w:rFonts w:hint="eastAsia" w:cs="宋体"/>
          <w:kern w:val="0"/>
          <w:sz w:val="24"/>
          <w:szCs w:val="24"/>
        </w:rPr>
        <w:t>如果招标文件中对部分维保技术参数要求不详细，请各投标人在投标时补充说明。如投标人不作补充说明，广西壮族自治区桂东人民医院招标管理办公室将从有利于招标人的角度出发，认定其所报配置为可能存在情况的最高标准。</w:t>
      </w:r>
    </w:p>
    <w:p>
      <w:pPr>
        <w:widowControl/>
        <w:jc w:val="center"/>
        <w:rPr>
          <w:b/>
          <w:bCs/>
          <w:kern w:val="0"/>
        </w:rPr>
      </w:pPr>
      <w:r>
        <w:rPr>
          <w:b/>
          <w:bCs/>
          <w:kern w:val="0"/>
        </w:rPr>
        <w:br w:type="page"/>
      </w:r>
      <w:r>
        <w:rPr>
          <w:rFonts w:hint="eastAsia" w:cs="宋体"/>
          <w:b/>
          <w:bCs/>
          <w:kern w:val="0"/>
          <w:sz w:val="38"/>
          <w:szCs w:val="38"/>
        </w:rPr>
        <w:t>第四章</w:t>
      </w:r>
      <w:r>
        <w:rPr>
          <w:rFonts w:cs="宋体"/>
          <w:b/>
          <w:bCs/>
          <w:kern w:val="0"/>
          <w:sz w:val="38"/>
          <w:szCs w:val="38"/>
        </w:rPr>
        <w:t xml:space="preserve">  </w:t>
      </w:r>
      <w:r>
        <w:rPr>
          <w:rFonts w:hint="eastAsia" w:cs="宋体"/>
          <w:b/>
          <w:bCs/>
          <w:kern w:val="0"/>
          <w:sz w:val="38"/>
          <w:szCs w:val="38"/>
        </w:rPr>
        <w:t>评标方法与评分标准</w:t>
      </w:r>
    </w:p>
    <w:p>
      <w:pPr>
        <w:widowControl/>
        <w:spacing w:line="360" w:lineRule="auto"/>
        <w:ind w:firstLine="562" w:firstLineChars="200"/>
        <w:jc w:val="left"/>
        <w:rPr>
          <w:rFonts w:cs="宋体"/>
          <w:b/>
          <w:bCs/>
          <w:kern w:val="0"/>
          <w:sz w:val="28"/>
          <w:szCs w:val="28"/>
        </w:rPr>
      </w:pPr>
      <w:r>
        <w:rPr>
          <w:rFonts w:hint="eastAsia" w:cs="宋体"/>
          <w:b/>
          <w:bCs/>
          <w:kern w:val="0"/>
          <w:sz w:val="28"/>
          <w:szCs w:val="28"/>
        </w:rPr>
        <w:t>一、评标方法与定标原则</w:t>
      </w:r>
    </w:p>
    <w:p>
      <w:pPr>
        <w:widowControl/>
        <w:spacing w:line="360" w:lineRule="auto"/>
        <w:ind w:firstLine="480" w:firstLineChars="200"/>
        <w:jc w:val="left"/>
        <w:rPr>
          <w:kern w:val="0"/>
          <w:sz w:val="24"/>
          <w:szCs w:val="24"/>
        </w:rPr>
      </w:pPr>
      <w:r>
        <w:rPr>
          <w:rFonts w:hint="eastAsia" w:cs="宋体"/>
          <w:kern w:val="0"/>
          <w:sz w:val="24"/>
          <w:szCs w:val="24"/>
        </w:rPr>
        <w:t>评委会将对确定为实质性响应招标文件要求的投标文件进行评价和比较，评标方法采用</w:t>
      </w:r>
      <w:r>
        <w:rPr>
          <w:rFonts w:hint="eastAsia" w:cs="宋体"/>
          <w:kern w:val="0"/>
          <w:sz w:val="24"/>
          <w:szCs w:val="24"/>
          <w:u w:val="single"/>
        </w:rPr>
        <w:t xml:space="preserve"> </w:t>
      </w:r>
      <w:sdt>
        <w:sdtPr>
          <w:rPr>
            <w:rFonts w:hint="eastAsia" w:cs="宋体"/>
            <w:kern w:val="0"/>
            <w:sz w:val="24"/>
            <w:szCs w:val="24"/>
            <w:u w:val="single"/>
          </w:rPr>
          <w:alias w:val="我院评标方法主要为最低价评标法和综合评分法，请项目主管部门根据采购项目在二者中选择填写"/>
          <w:tag w:val="我院评标方法主要为最低价评标法和综合评分法，请项目主管部门根据采购项目在二者中选择填写"/>
          <w:id w:val="838355984"/>
          <w:placeholder>
            <w:docPart w:val="DefaultPlaceholder_-1854013440"/>
          </w:placeholder>
        </w:sdtPr>
        <w:sdtEndPr>
          <w:rPr>
            <w:rFonts w:hint="eastAsia" w:cs="宋体"/>
            <w:b/>
            <w:bCs/>
            <w:kern w:val="0"/>
            <w:sz w:val="24"/>
            <w:szCs w:val="24"/>
            <w:u w:val="single"/>
          </w:rPr>
        </w:sdtEndPr>
        <w:sdtContent>
          <w:r>
            <w:rPr>
              <w:rFonts w:hint="eastAsia" w:cs="宋体"/>
              <w:b/>
              <w:bCs/>
              <w:kern w:val="0"/>
              <w:sz w:val="24"/>
              <w:szCs w:val="24"/>
              <w:u w:val="single"/>
            </w:rPr>
            <w:t>最低</w:t>
          </w:r>
          <w:r>
            <w:rPr>
              <w:rFonts w:hint="eastAsia" w:cs="宋体"/>
              <w:b/>
              <w:bCs/>
              <w:kern w:val="0"/>
              <w:sz w:val="24"/>
              <w:szCs w:val="24"/>
              <w:u w:val="single"/>
              <w:lang w:eastAsia="zh-CN"/>
            </w:rPr>
            <w:t>评</w:t>
          </w:r>
          <w:r>
            <w:rPr>
              <w:rFonts w:hint="eastAsia" w:cs="宋体"/>
              <w:b/>
              <w:bCs/>
              <w:kern w:val="0"/>
              <w:sz w:val="24"/>
              <w:szCs w:val="24"/>
              <w:u w:val="single"/>
            </w:rPr>
            <w:t>标价</w:t>
          </w:r>
          <w:r>
            <w:rPr>
              <w:rFonts w:hint="eastAsia" w:cs="宋体"/>
              <w:b/>
              <w:bCs/>
              <w:kern w:val="0"/>
              <w:sz w:val="24"/>
              <w:szCs w:val="24"/>
              <w:u w:val="single"/>
              <w:lang w:eastAsia="zh-CN"/>
            </w:rPr>
            <w:t>法</w:t>
          </w:r>
        </w:sdtContent>
      </w:sdt>
      <w:r>
        <w:rPr>
          <w:rFonts w:cs="宋体"/>
          <w:kern w:val="0"/>
          <w:sz w:val="24"/>
          <w:szCs w:val="24"/>
          <w:u w:val="single"/>
        </w:rPr>
        <w:t xml:space="preserve">  </w:t>
      </w:r>
      <w:r>
        <w:rPr>
          <w:rFonts w:hint="eastAsia" w:cs="宋体"/>
          <w:kern w:val="0"/>
          <w:sz w:val="24"/>
          <w:szCs w:val="24"/>
        </w:rPr>
        <w:t>确定中标候选人。如果价格一样，则根据服务的优劣和让利程度来确定中标候选人。</w:t>
      </w:r>
    </w:p>
    <w:sectPr>
      <w:pgSz w:w="11906" w:h="16838"/>
      <w:pgMar w:top="1440" w:right="1800" w:bottom="1440"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等线 Light">
    <w:altName w:val="宋体"/>
    <w:panose1 w:val="00000000000000000000"/>
    <w:charset w:val="86"/>
    <w:family w:val="roman"/>
    <w:pitch w:val="default"/>
    <w:sig w:usb0="00000000" w:usb1="00000000" w:usb2="00000000" w:usb3="00000000" w:csb0="00000000" w:csb1="00000000"/>
  </w:font>
  <w:font w:name="Courier New">
    <w:panose1 w:val="02070309020205020404"/>
    <w:charset w:val="00"/>
    <w:family w:val="modern"/>
    <w:pitch w:val="default"/>
    <w:sig w:usb0="E0002AFF" w:usb1="C0007843" w:usb2="00000009" w:usb3="00000000" w:csb0="400001FF" w:csb1="FFFF0000"/>
  </w:font>
  <w:font w:name="Microsoft JhengHei">
    <w:panose1 w:val="020B0604030504040204"/>
    <w:charset w:val="88"/>
    <w:family w:val="swiss"/>
    <w:pitch w:val="default"/>
    <w:sig w:usb0="00000087" w:usb1="28AF4000" w:usb2="00000016" w:usb3="00000000" w:csb0="00100009" w:csb1="00000000"/>
  </w:font>
  <w:font w:name="Arial Unicode MS">
    <w:panose1 w:val="020B0604020202020204"/>
    <w:charset w:val="86"/>
    <w:family w:val="auto"/>
    <w:pitch w:val="default"/>
    <w:sig w:usb0="FFFFFFFF" w:usb1="E9FFFFFF" w:usb2="0000003F" w:usb3="00000000" w:csb0="603F01FF" w:csb1="FFFF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062F8B"/>
    <w:multiLevelType w:val="multilevel"/>
    <w:tmpl w:val="36062F8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form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GYxMzI1ZTc0MWRiMTJlMmVjMGE2NDhjZjg0NDUwODIifQ=="/>
    <w:docVar w:name="KY_MEDREF_DOCUID" w:val="{642EBB7A-05DF-4F7F-990F-180E42AE779D}"/>
    <w:docVar w:name="KY_MEDREF_VERSION" w:val="3"/>
  </w:docVars>
  <w:rsids>
    <w:rsidRoot w:val="004C7EB2"/>
    <w:rsid w:val="00066185"/>
    <w:rsid w:val="00080292"/>
    <w:rsid w:val="0008196D"/>
    <w:rsid w:val="00095D83"/>
    <w:rsid w:val="000A6C18"/>
    <w:rsid w:val="000B7E2D"/>
    <w:rsid w:val="000E1AA6"/>
    <w:rsid w:val="00123223"/>
    <w:rsid w:val="00204183"/>
    <w:rsid w:val="00241CD6"/>
    <w:rsid w:val="00284CA8"/>
    <w:rsid w:val="00294F65"/>
    <w:rsid w:val="002C7944"/>
    <w:rsid w:val="003C3AB5"/>
    <w:rsid w:val="003E3350"/>
    <w:rsid w:val="003E7DC1"/>
    <w:rsid w:val="00466FDA"/>
    <w:rsid w:val="00474079"/>
    <w:rsid w:val="004C7EB2"/>
    <w:rsid w:val="004D08F5"/>
    <w:rsid w:val="004D2825"/>
    <w:rsid w:val="004D4110"/>
    <w:rsid w:val="004F5A76"/>
    <w:rsid w:val="005007DD"/>
    <w:rsid w:val="00550954"/>
    <w:rsid w:val="00552D0A"/>
    <w:rsid w:val="00581E8A"/>
    <w:rsid w:val="005C56D3"/>
    <w:rsid w:val="005D491D"/>
    <w:rsid w:val="00601824"/>
    <w:rsid w:val="00626958"/>
    <w:rsid w:val="00654BC6"/>
    <w:rsid w:val="00681F52"/>
    <w:rsid w:val="00684BD7"/>
    <w:rsid w:val="006E5543"/>
    <w:rsid w:val="00707A97"/>
    <w:rsid w:val="00722B2C"/>
    <w:rsid w:val="007407D5"/>
    <w:rsid w:val="007814EA"/>
    <w:rsid w:val="007A5910"/>
    <w:rsid w:val="007F6F70"/>
    <w:rsid w:val="008253A3"/>
    <w:rsid w:val="00825B15"/>
    <w:rsid w:val="008315C9"/>
    <w:rsid w:val="008553F8"/>
    <w:rsid w:val="00860021"/>
    <w:rsid w:val="00885CB7"/>
    <w:rsid w:val="008A5DC5"/>
    <w:rsid w:val="008D3A6F"/>
    <w:rsid w:val="009530DC"/>
    <w:rsid w:val="0098274C"/>
    <w:rsid w:val="009C52FF"/>
    <w:rsid w:val="00A1115C"/>
    <w:rsid w:val="00A14A7E"/>
    <w:rsid w:val="00A2105C"/>
    <w:rsid w:val="00A379B7"/>
    <w:rsid w:val="00A44D5C"/>
    <w:rsid w:val="00A83F43"/>
    <w:rsid w:val="00AC0EA5"/>
    <w:rsid w:val="00B03C54"/>
    <w:rsid w:val="00B052C3"/>
    <w:rsid w:val="00B8409A"/>
    <w:rsid w:val="00BA082B"/>
    <w:rsid w:val="00BA3521"/>
    <w:rsid w:val="00BA5BD2"/>
    <w:rsid w:val="00BD0C42"/>
    <w:rsid w:val="00BD7C55"/>
    <w:rsid w:val="00C33384"/>
    <w:rsid w:val="00C55D00"/>
    <w:rsid w:val="00C57834"/>
    <w:rsid w:val="00C762C8"/>
    <w:rsid w:val="00C97AD7"/>
    <w:rsid w:val="00CC2DEE"/>
    <w:rsid w:val="00CD00AF"/>
    <w:rsid w:val="00CD27A2"/>
    <w:rsid w:val="00D2685D"/>
    <w:rsid w:val="00D315CC"/>
    <w:rsid w:val="00D41CB5"/>
    <w:rsid w:val="00D57065"/>
    <w:rsid w:val="00DB5864"/>
    <w:rsid w:val="00E14108"/>
    <w:rsid w:val="00E5322D"/>
    <w:rsid w:val="00E72BBE"/>
    <w:rsid w:val="00EB1C9B"/>
    <w:rsid w:val="00ED5546"/>
    <w:rsid w:val="00F01F5E"/>
    <w:rsid w:val="00F27D1D"/>
    <w:rsid w:val="00F35FFF"/>
    <w:rsid w:val="00F81E39"/>
    <w:rsid w:val="035103A4"/>
    <w:rsid w:val="0DD17CC7"/>
    <w:rsid w:val="0FA94931"/>
    <w:rsid w:val="10C97A40"/>
    <w:rsid w:val="122B15C9"/>
    <w:rsid w:val="12D9443F"/>
    <w:rsid w:val="1CD91487"/>
    <w:rsid w:val="2218153E"/>
    <w:rsid w:val="2E44559E"/>
    <w:rsid w:val="31592A40"/>
    <w:rsid w:val="3194337D"/>
    <w:rsid w:val="36F25D7C"/>
    <w:rsid w:val="3737378F"/>
    <w:rsid w:val="3806606D"/>
    <w:rsid w:val="397701BE"/>
    <w:rsid w:val="3B4A4D1A"/>
    <w:rsid w:val="41366ED0"/>
    <w:rsid w:val="6DD0797D"/>
    <w:rsid w:val="74B547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1"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2"/>
    <w:basedOn w:val="1"/>
    <w:next w:val="1"/>
    <w:link w:val="31"/>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7"/>
    <w:qFormat/>
    <w:uiPriority w:val="1"/>
    <w:pPr>
      <w:spacing w:line="416" w:lineRule="exact"/>
      <w:ind w:left="560"/>
      <w:outlineLvl w:val="2"/>
    </w:pPr>
    <w:rPr>
      <w:rFonts w:ascii="微软雅黑" w:hAnsi="微软雅黑" w:eastAsia="微软雅黑" w:cs="微软雅黑"/>
      <w:b/>
      <w:bCs/>
      <w:sz w:val="24"/>
      <w:szCs w:val="24"/>
      <w:lang w:val="zh-CN" w:bidi="zh-CN"/>
    </w:rPr>
  </w:style>
  <w:style w:type="character" w:default="1" w:styleId="14">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5">
    <w:name w:val="annotation text"/>
    <w:basedOn w:val="1"/>
    <w:link w:val="17"/>
    <w:qFormat/>
    <w:uiPriority w:val="99"/>
    <w:pPr>
      <w:jc w:val="left"/>
    </w:pPr>
  </w:style>
  <w:style w:type="paragraph" w:styleId="6">
    <w:name w:val="Body Text"/>
    <w:basedOn w:val="1"/>
    <w:link w:val="29"/>
    <w:qFormat/>
    <w:uiPriority w:val="1"/>
    <w:rPr>
      <w:rFonts w:ascii="宋体" w:hAnsi="宋体" w:cs="宋体"/>
      <w:sz w:val="24"/>
      <w:szCs w:val="24"/>
      <w:lang w:val="zh-CN" w:bidi="zh-CN"/>
    </w:rPr>
  </w:style>
  <w:style w:type="paragraph" w:styleId="7">
    <w:name w:val="Plain Text"/>
    <w:basedOn w:val="1"/>
    <w:link w:val="19"/>
    <w:qFormat/>
    <w:uiPriority w:val="99"/>
    <w:rPr>
      <w:rFonts w:ascii="宋体" w:hAnsi="Courier New"/>
    </w:rPr>
  </w:style>
  <w:style w:type="paragraph" w:styleId="8">
    <w:name w:val="Balloon Text"/>
    <w:basedOn w:val="1"/>
    <w:link w:val="26"/>
    <w:semiHidden/>
    <w:unhideWhenUsed/>
    <w:qFormat/>
    <w:uiPriority w:val="99"/>
    <w:rPr>
      <w:sz w:val="18"/>
      <w:szCs w:val="18"/>
    </w:rPr>
  </w:style>
  <w:style w:type="paragraph" w:styleId="9">
    <w:name w:val="footer"/>
    <w:basedOn w:val="1"/>
    <w:link w:val="23"/>
    <w:unhideWhenUsed/>
    <w:qFormat/>
    <w:uiPriority w:val="99"/>
    <w:pPr>
      <w:tabs>
        <w:tab w:val="center" w:pos="4153"/>
        <w:tab w:val="right" w:pos="8306"/>
      </w:tabs>
      <w:snapToGrid w:val="0"/>
      <w:jc w:val="left"/>
    </w:pPr>
    <w:rPr>
      <w:sz w:val="18"/>
      <w:szCs w:val="18"/>
    </w:rPr>
  </w:style>
  <w:style w:type="paragraph" w:styleId="10">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annotation subject"/>
    <w:basedOn w:val="5"/>
    <w:next w:val="5"/>
    <w:link w:val="18"/>
    <w:semiHidden/>
    <w:unhideWhenUsed/>
    <w:qFormat/>
    <w:uiPriority w:val="99"/>
    <w:rPr>
      <w:b/>
      <w:bCs/>
    </w:rPr>
  </w:style>
  <w:style w:type="table" w:styleId="13">
    <w:name w:val="Table Grid"/>
    <w:basedOn w:val="12"/>
    <w:qFormat/>
    <w:uiPriority w:val="9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annotation reference"/>
    <w:semiHidden/>
    <w:qFormat/>
    <w:uiPriority w:val="99"/>
    <w:rPr>
      <w:sz w:val="21"/>
      <w:szCs w:val="21"/>
    </w:rPr>
  </w:style>
  <w:style w:type="character" w:customStyle="1" w:styleId="16">
    <w:name w:val="批注文字 字符"/>
    <w:basedOn w:val="14"/>
    <w:qFormat/>
    <w:uiPriority w:val="99"/>
    <w:rPr>
      <w:rFonts w:ascii="Times New Roman" w:hAnsi="Times New Roman" w:eastAsia="宋体" w:cs="Times New Roman"/>
      <w:szCs w:val="21"/>
    </w:rPr>
  </w:style>
  <w:style w:type="character" w:customStyle="1" w:styleId="17">
    <w:name w:val="批注文字 Char"/>
    <w:link w:val="5"/>
    <w:semiHidden/>
    <w:qFormat/>
    <w:uiPriority w:val="99"/>
    <w:rPr>
      <w:rFonts w:ascii="Times New Roman" w:hAnsi="Times New Roman" w:eastAsia="宋体" w:cs="Times New Roman"/>
      <w:szCs w:val="21"/>
    </w:rPr>
  </w:style>
  <w:style w:type="character" w:customStyle="1" w:styleId="18">
    <w:name w:val="批注主题 Char"/>
    <w:basedOn w:val="17"/>
    <w:link w:val="11"/>
    <w:semiHidden/>
    <w:qFormat/>
    <w:uiPriority w:val="99"/>
    <w:rPr>
      <w:rFonts w:ascii="Times New Roman" w:hAnsi="Times New Roman" w:eastAsia="宋体" w:cs="Times New Roman"/>
      <w:b/>
      <w:bCs/>
      <w:szCs w:val="21"/>
    </w:rPr>
  </w:style>
  <w:style w:type="character" w:customStyle="1" w:styleId="19">
    <w:name w:val="纯文本 Char"/>
    <w:basedOn w:val="14"/>
    <w:link w:val="7"/>
    <w:qFormat/>
    <w:uiPriority w:val="99"/>
    <w:rPr>
      <w:rFonts w:ascii="宋体" w:hAnsi="Courier New" w:eastAsia="宋体" w:cs="Times New Roman"/>
      <w:szCs w:val="21"/>
    </w:rPr>
  </w:style>
  <w:style w:type="paragraph" w:customStyle="1" w:styleId="20">
    <w:name w:val="表格文字"/>
    <w:basedOn w:val="1"/>
    <w:qFormat/>
    <w:uiPriority w:val="0"/>
    <w:pPr>
      <w:spacing w:before="25" w:after="25"/>
      <w:jc w:val="left"/>
    </w:pPr>
    <w:rPr>
      <w:rFonts w:ascii="Calibri" w:hAnsi="Calibri"/>
      <w:bCs/>
      <w:spacing w:val="10"/>
      <w:kern w:val="0"/>
      <w:sz w:val="24"/>
      <w:szCs w:val="20"/>
    </w:rPr>
  </w:style>
  <w:style w:type="character" w:customStyle="1" w:styleId="21">
    <w:name w:val="fontstyle01"/>
    <w:qFormat/>
    <w:uiPriority w:val="0"/>
    <w:rPr>
      <w:rFonts w:hint="eastAsia" w:ascii="宋体" w:hAnsi="宋体" w:eastAsia="宋体"/>
      <w:color w:val="000000"/>
      <w:sz w:val="24"/>
      <w:szCs w:val="24"/>
    </w:rPr>
  </w:style>
  <w:style w:type="character" w:customStyle="1" w:styleId="22">
    <w:name w:val="页眉 Char"/>
    <w:basedOn w:val="14"/>
    <w:link w:val="10"/>
    <w:qFormat/>
    <w:uiPriority w:val="99"/>
    <w:rPr>
      <w:rFonts w:ascii="Times New Roman" w:hAnsi="Times New Roman" w:eastAsia="宋体" w:cs="Times New Roman"/>
      <w:sz w:val="18"/>
      <w:szCs w:val="18"/>
    </w:rPr>
  </w:style>
  <w:style w:type="character" w:customStyle="1" w:styleId="23">
    <w:name w:val="页脚 Char"/>
    <w:basedOn w:val="14"/>
    <w:link w:val="9"/>
    <w:qFormat/>
    <w:uiPriority w:val="99"/>
    <w:rPr>
      <w:rFonts w:ascii="Times New Roman" w:hAnsi="Times New Roman" w:eastAsia="宋体" w:cs="Times New Roman"/>
      <w:sz w:val="18"/>
      <w:szCs w:val="18"/>
    </w:rPr>
  </w:style>
  <w:style w:type="character" w:styleId="24">
    <w:name w:val="Placeholder Text"/>
    <w:basedOn w:val="14"/>
    <w:semiHidden/>
    <w:qFormat/>
    <w:uiPriority w:val="99"/>
    <w:rPr>
      <w:color w:val="808080"/>
    </w:rPr>
  </w:style>
  <w:style w:type="paragraph" w:customStyle="1" w:styleId="25">
    <w:name w:val="样式1"/>
    <w:basedOn w:val="1"/>
    <w:qFormat/>
    <w:uiPriority w:val="0"/>
  </w:style>
  <w:style w:type="character" w:customStyle="1" w:styleId="26">
    <w:name w:val="批注框文本 Char"/>
    <w:basedOn w:val="14"/>
    <w:link w:val="8"/>
    <w:semiHidden/>
    <w:qFormat/>
    <w:uiPriority w:val="99"/>
    <w:rPr>
      <w:rFonts w:ascii="Times New Roman" w:hAnsi="Times New Roman" w:eastAsia="宋体" w:cs="Times New Roman"/>
      <w:kern w:val="2"/>
      <w:sz w:val="18"/>
      <w:szCs w:val="18"/>
    </w:rPr>
  </w:style>
  <w:style w:type="character" w:customStyle="1" w:styleId="27">
    <w:name w:val="标题 3 Char"/>
    <w:basedOn w:val="14"/>
    <w:link w:val="4"/>
    <w:qFormat/>
    <w:uiPriority w:val="1"/>
    <w:rPr>
      <w:rFonts w:ascii="微软雅黑" w:hAnsi="微软雅黑" w:eastAsia="微软雅黑" w:cs="微软雅黑"/>
      <w:b/>
      <w:bCs/>
      <w:kern w:val="2"/>
      <w:sz w:val="24"/>
      <w:szCs w:val="24"/>
      <w:lang w:val="zh-CN" w:bidi="zh-CN"/>
    </w:rPr>
  </w:style>
  <w:style w:type="paragraph" w:customStyle="1" w:styleId="28">
    <w:name w:val="Table Paragraph"/>
    <w:basedOn w:val="1"/>
    <w:qFormat/>
    <w:uiPriority w:val="1"/>
    <w:rPr>
      <w:rFonts w:ascii="宋体" w:hAnsi="宋体" w:cs="宋体"/>
      <w:szCs w:val="22"/>
      <w:lang w:val="zh-CN" w:bidi="zh-CN"/>
    </w:rPr>
  </w:style>
  <w:style w:type="character" w:customStyle="1" w:styleId="29">
    <w:name w:val="正文文本 Char"/>
    <w:basedOn w:val="14"/>
    <w:link w:val="6"/>
    <w:qFormat/>
    <w:uiPriority w:val="1"/>
    <w:rPr>
      <w:rFonts w:ascii="宋体" w:hAnsi="宋体" w:eastAsia="宋体" w:cs="宋体"/>
      <w:kern w:val="2"/>
      <w:sz w:val="24"/>
      <w:szCs w:val="24"/>
      <w:lang w:val="zh-CN" w:bidi="zh-CN"/>
    </w:rPr>
  </w:style>
  <w:style w:type="paragraph" w:styleId="30">
    <w:name w:val="List Paragraph"/>
    <w:basedOn w:val="1"/>
    <w:qFormat/>
    <w:uiPriority w:val="1"/>
    <w:pPr>
      <w:ind w:left="560" w:hanging="244"/>
    </w:pPr>
    <w:rPr>
      <w:rFonts w:ascii="宋体" w:hAnsi="宋体" w:cs="宋体"/>
      <w:szCs w:val="22"/>
      <w:lang w:val="zh-CN" w:bidi="zh-CN"/>
    </w:rPr>
  </w:style>
  <w:style w:type="character" w:customStyle="1" w:styleId="31">
    <w:name w:val="标题 2 Char"/>
    <w:basedOn w:val="14"/>
    <w:link w:val="3"/>
    <w:semiHidden/>
    <w:qFormat/>
    <w:uiPriority w:val="9"/>
    <w:rPr>
      <w:rFonts w:asciiTheme="majorHAnsi" w:hAnsiTheme="majorHAnsi" w:eastAsiaTheme="majorEastAsia" w:cstheme="majorBidi"/>
      <w:b/>
      <w:bCs/>
      <w:kern w:val="2"/>
      <w:sz w:val="32"/>
      <w:szCs w:val="32"/>
    </w:rPr>
  </w:style>
  <w:style w:type="paragraph" w:customStyle="1" w:styleId="32">
    <w:name w:val="列出段落1"/>
    <w:basedOn w:val="1"/>
    <w:qFormat/>
    <w:uiPriority w:val="0"/>
    <w:pPr>
      <w:spacing w:before="100" w:beforeAutospacing="1" w:after="100" w:afterAutospacing="1"/>
      <w:ind w:left="560" w:hanging="244"/>
    </w:pPr>
    <w:rPr>
      <w:rFonts w:ascii="宋体" w:hAnsi="宋体" w:cs="宋体"/>
    </w:rPr>
  </w:style>
</w:styles>
</file>

<file path=word/_rels/document.xml.rels><?xml version="1.0" encoding="UTF-8" standalone="yes"?>
<Relationships xmlns="http://schemas.openxmlformats.org/package/2006/relationships"><Relationship Id="rId7" Type="http://schemas.openxmlformats.org/officeDocument/2006/relationships/glossaryDocument" Target="glossary/document.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efaultPlaceholder_-1854013440"/>
        <w:style w:val=""/>
        <w:category>
          <w:name w:val="常规"/>
          <w:gallery w:val="placeholder"/>
        </w:category>
        <w:types>
          <w:type w:val="bbPlcHdr"/>
        </w:types>
        <w:behaviors>
          <w:behavior w:val="content"/>
        </w:behaviors>
        <w:description w:val=""/>
        <w:guid w:val="{D32AFAC4-F775-4A19-8224-BF45E683C7C0}"/>
      </w:docPartPr>
      <w:docPartBody>
        <w:p>
          <w:r>
            <w:rPr>
              <w:rStyle w:val="4"/>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0285A"/>
    <w:rsid w:val="00013D5D"/>
    <w:rsid w:val="00102898"/>
    <w:rsid w:val="001B2DBA"/>
    <w:rsid w:val="00307A3D"/>
    <w:rsid w:val="00387F94"/>
    <w:rsid w:val="0048475D"/>
    <w:rsid w:val="007311C2"/>
    <w:rsid w:val="007B2E03"/>
    <w:rsid w:val="007D3210"/>
    <w:rsid w:val="0080285A"/>
    <w:rsid w:val="00AA0B80"/>
    <w:rsid w:val="00B05368"/>
    <w:rsid w:val="00F040E5"/>
    <w:rsid w:val="00F224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360F420097394E1B8F5C294379C7133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7D4063EF51294538A22B0E574C994170"/>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B10C6-90DF-4EEF-9369-BB1A8ABA8E73}">
  <ds:schemaRefs/>
</ds:datastoreItem>
</file>

<file path=docProps/app.xml><?xml version="1.0" encoding="utf-8"?>
<Properties xmlns="http://schemas.openxmlformats.org/officeDocument/2006/extended-properties" xmlns:vt="http://schemas.openxmlformats.org/officeDocument/2006/docPropsVTypes">
  <Template>Normal</Template>
  <Pages>9</Pages>
  <Words>5009</Words>
  <Characters>5204</Characters>
  <Lines>42</Lines>
  <Paragraphs>11</Paragraphs>
  <TotalTime>0</TotalTime>
  <ScaleCrop>false</ScaleCrop>
  <LinksUpToDate>false</LinksUpToDate>
  <CharactersWithSpaces>5257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2021-01-18T01:58:00Z</dcterms:created>
  <dc:creator>c k</dc:creator>
  <cp:lastModifiedBy>Administrator</cp:lastModifiedBy>
  <cp:lastPrinted>2021-01-18T07:59:00Z</cp:lastPrinted>
  <dcterms:modified xsi:type="dcterms:W3CDTF">2022-06-06T02:28:46Z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BC6B623858AD4EF6B8932C9852D63447</vt:lpwstr>
  </property>
</Properties>
</file>