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4"/>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14"/>
        <w:ind w:left="-500" w:leftChars="-238" w:firstLine="420" w:firstLineChars="199"/>
        <w:rPr>
          <w:color w:val="FF0000"/>
          <w:sz w:val="21"/>
          <w:szCs w:val="21"/>
        </w:rPr>
      </w:pPr>
      <w:r>
        <w:rPr>
          <w:rFonts w:hint="eastAsia"/>
          <w:b/>
          <w:bCs/>
          <w:color w:val="FF0000"/>
          <w:sz w:val="21"/>
          <w:szCs w:val="21"/>
        </w:rPr>
        <w:t>＃部分为重要指标</w:t>
      </w:r>
      <w:r>
        <w:rPr>
          <w:rFonts w:hint="eastAsia"/>
          <w:color w:val="FF0000"/>
          <w:sz w:val="21"/>
          <w:szCs w:val="21"/>
        </w:rPr>
        <w:t>：满足或优于（正偏离）该条件则评审时成倍加分，不满足（负偏离）则成倍扣分；</w:t>
      </w:r>
    </w:p>
    <w:p>
      <w:pPr>
        <w:pStyle w:val="14"/>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14"/>
        <w:ind w:left="-708" w:leftChars="-337"/>
        <w:rPr>
          <w:rFonts w:cs="宋体"/>
          <w:b/>
          <w:bCs/>
          <w:sz w:val="28"/>
          <w:szCs w:val="28"/>
        </w:rPr>
      </w:pPr>
      <w:r>
        <w:rPr>
          <w:rFonts w:hint="eastAsia" w:cs="宋体"/>
          <w:b/>
          <w:bCs/>
          <w:sz w:val="28"/>
          <w:szCs w:val="28"/>
        </w:rPr>
        <w:t>一、采购清单、技术规格参数、质量标准和要求</w:t>
      </w:r>
    </w:p>
    <w:p>
      <w:pPr>
        <w:pStyle w:val="14"/>
        <w:ind w:left="-708" w:leftChars="-337"/>
        <w:rPr>
          <w:b/>
          <w:bCs/>
        </w:rPr>
      </w:pPr>
      <w:r>
        <w:rPr>
          <w:rFonts w:hint="eastAsia" w:cs="宋体"/>
          <w:b/>
          <w:bCs/>
        </w:rPr>
        <w:t>（一）采购清单</w:t>
      </w:r>
      <w:r>
        <w:rPr>
          <w:b/>
          <w:bCs/>
        </w:rPr>
        <w:t> </w:t>
      </w:r>
    </w:p>
    <w:p>
      <w:pPr>
        <w:pStyle w:val="14"/>
        <w:ind w:left="-708" w:leftChars="-337"/>
        <w:rPr>
          <w:rFonts w:hint="eastAsia"/>
          <w:b/>
          <w:bCs/>
        </w:rPr>
      </w:pPr>
      <w:r>
        <w:rPr>
          <w:rFonts w:hint="eastAsia"/>
          <w:b/>
          <w:bCs/>
        </w:rPr>
        <w:t xml:space="preserve">  </w:t>
      </w:r>
    </w:p>
    <w:tbl>
      <w:tblPr>
        <w:tblStyle w:val="11"/>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03"/>
        <w:gridCol w:w="650"/>
        <w:gridCol w:w="482"/>
        <w:gridCol w:w="600"/>
        <w:gridCol w:w="805"/>
        <w:gridCol w:w="664"/>
        <w:gridCol w:w="1169"/>
        <w:gridCol w:w="1305"/>
        <w:gridCol w:w="1198"/>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分标</w:t>
            </w:r>
          </w:p>
        </w:tc>
        <w:tc>
          <w:tcPr>
            <w:tcW w:w="60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种类</w:t>
            </w:r>
          </w:p>
        </w:tc>
        <w:tc>
          <w:tcPr>
            <w:tcW w:w="65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val="en-US" w:eastAsia="zh-CN"/>
              </w:rPr>
              <w:t>品牌（自报）</w:t>
            </w:r>
          </w:p>
        </w:tc>
        <w:tc>
          <w:tcPr>
            <w:tcW w:w="48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规格</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等级</w:t>
            </w:r>
          </w:p>
        </w:tc>
        <w:tc>
          <w:tcPr>
            <w:tcW w:w="8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合同期上控价格（元）</w:t>
            </w:r>
          </w:p>
        </w:tc>
        <w:tc>
          <w:tcPr>
            <w:tcW w:w="664"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预采购数量</w:t>
            </w:r>
          </w:p>
        </w:tc>
        <w:tc>
          <w:tcPr>
            <w:tcW w:w="1169"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预算金额（元）</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val="en-US" w:eastAsia="zh-CN"/>
              </w:rPr>
            </w:pPr>
            <w:r>
              <w:rPr>
                <w:rFonts w:hint="eastAsia" w:ascii="宋体" w:hAnsi="宋体" w:eastAsia="宋体" w:cs="宋体"/>
                <w:b/>
                <w:bCs/>
                <w:color w:val="auto"/>
                <w:sz w:val="18"/>
                <w:szCs w:val="18"/>
                <w:vertAlign w:val="baseline"/>
                <w:lang w:eastAsia="zh-CN"/>
              </w:rPr>
              <w:t>报价（基准价下浮比例）（</w:t>
            </w:r>
            <w:r>
              <w:rPr>
                <w:rFonts w:hint="eastAsia" w:ascii="宋体" w:hAnsi="宋体" w:eastAsia="宋体" w:cs="宋体"/>
                <w:b/>
                <w:bCs/>
                <w:color w:val="auto"/>
                <w:sz w:val="18"/>
                <w:szCs w:val="18"/>
                <w:vertAlign w:val="baseline"/>
                <w:lang w:val="en-US" w:eastAsia="zh-CN"/>
              </w:rPr>
              <w:t>%）</w:t>
            </w:r>
          </w:p>
        </w:tc>
        <w:tc>
          <w:tcPr>
            <w:tcW w:w="1198"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备注</w:t>
            </w:r>
          </w:p>
        </w:tc>
        <w:tc>
          <w:tcPr>
            <w:tcW w:w="63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rPr>
            </w:pPr>
            <w:r>
              <w:rPr>
                <w:rFonts w:hint="eastAsia" w:ascii="宋体" w:hAnsi="宋体" w:eastAsia="宋体" w:cs="宋体"/>
                <w:i w:val="0"/>
                <w:iCs w:val="0"/>
                <w:caps w:val="0"/>
                <w:color w:val="auto"/>
                <w:spacing w:val="0"/>
                <w:sz w:val="18"/>
                <w:szCs w:val="18"/>
                <w:shd w:val="clear" w:color="auto" w:fill="FFFFFF"/>
              </w:rPr>
              <w:t>A</w:t>
            </w:r>
          </w:p>
        </w:tc>
        <w:tc>
          <w:tcPr>
            <w:tcW w:w="60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rPr>
              <w:t>花生油</w:t>
            </w:r>
          </w:p>
        </w:tc>
        <w:tc>
          <w:tcPr>
            <w:tcW w:w="65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p>
        </w:tc>
        <w:tc>
          <w:tcPr>
            <w:tcW w:w="48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5L/桶</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i w:val="0"/>
                <w:iCs w:val="0"/>
                <w:caps w:val="0"/>
                <w:color w:val="auto"/>
                <w:spacing w:val="0"/>
                <w:sz w:val="18"/>
                <w:szCs w:val="18"/>
                <w:shd w:val="clear" w:color="auto" w:fill="FFFFFF"/>
                <w:lang w:eastAsia="zh-CN"/>
              </w:rPr>
              <w:t>一级</w:t>
            </w:r>
          </w:p>
        </w:tc>
        <w:tc>
          <w:tcPr>
            <w:tcW w:w="8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160</w:t>
            </w:r>
          </w:p>
        </w:tc>
        <w:tc>
          <w:tcPr>
            <w:tcW w:w="664" w:type="dxa"/>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1200</w:t>
            </w:r>
          </w:p>
        </w:tc>
        <w:tc>
          <w:tcPr>
            <w:tcW w:w="1169" w:type="dxa"/>
            <w:noWrap w:val="0"/>
            <w:vAlign w:val="center"/>
          </w:tcPr>
          <w:p>
            <w:pPr>
              <w:keepNext w:val="0"/>
              <w:keepLines w:val="0"/>
              <w:widowControl/>
              <w:suppressLineNumbers w:val="0"/>
              <w:jc w:val="right"/>
              <w:textAlignment w:val="center"/>
              <w:rPr>
                <w:rFonts w:hint="eastAsia" w:ascii="宋体" w:hAnsi="宋体" w:eastAsia="宋体" w:cs="宋体"/>
                <w:color w:val="auto"/>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186000</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i w:val="0"/>
                <w:iCs w:val="0"/>
                <w:caps w:val="0"/>
                <w:color w:val="auto"/>
                <w:spacing w:val="0"/>
                <w:sz w:val="18"/>
                <w:szCs w:val="18"/>
                <w:shd w:val="clear" w:color="auto" w:fill="FFFFFF"/>
                <w:lang w:eastAsia="zh-CN"/>
              </w:rPr>
            </w:pPr>
          </w:p>
        </w:tc>
        <w:tc>
          <w:tcPr>
            <w:tcW w:w="1198"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i w:val="0"/>
                <w:iCs w:val="0"/>
                <w:caps w:val="0"/>
                <w:color w:val="auto"/>
                <w:spacing w:val="0"/>
                <w:sz w:val="18"/>
                <w:szCs w:val="18"/>
                <w:shd w:val="clear" w:color="auto" w:fill="FFFFFF"/>
                <w:lang w:eastAsia="zh-CN"/>
              </w:rPr>
              <w:t>非转基因，纯正一级压榨</w:t>
            </w:r>
            <w:r>
              <w:rPr>
                <w:rFonts w:hint="eastAsia" w:ascii="宋体" w:hAnsi="宋体" w:eastAsia="宋体" w:cs="宋体"/>
                <w:color w:val="auto"/>
                <w:sz w:val="18"/>
                <w:szCs w:val="18"/>
              </w:rPr>
              <w:t>花生油</w:t>
            </w:r>
          </w:p>
        </w:tc>
        <w:tc>
          <w:tcPr>
            <w:tcW w:w="63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i w:val="0"/>
                <w:iCs w:val="0"/>
                <w:caps w:val="0"/>
                <w:color w:val="auto"/>
                <w:spacing w:val="0"/>
                <w:sz w:val="18"/>
                <w:szCs w:val="18"/>
                <w:shd w:val="clear" w:color="auto" w:fill="FFFFFF"/>
                <w:lang w:eastAsia="zh-CN"/>
              </w:rPr>
            </w:pPr>
            <w:r>
              <w:rPr>
                <w:rFonts w:hint="eastAsia" w:ascii="宋体" w:hAnsi="宋体" w:eastAsia="宋体" w:cs="宋体"/>
                <w:i w:val="0"/>
                <w:iCs w:val="0"/>
                <w:caps w:val="0"/>
                <w:color w:val="auto"/>
                <w:spacing w:val="0"/>
                <w:sz w:val="18"/>
                <w:szCs w:val="18"/>
                <w:shd w:val="clear" w:color="auto" w:fill="FFFFFF"/>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60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rPr>
              <w:t>调和油</w:t>
            </w:r>
          </w:p>
        </w:tc>
        <w:tc>
          <w:tcPr>
            <w:tcW w:w="65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p>
        </w:tc>
        <w:tc>
          <w:tcPr>
            <w:tcW w:w="48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val="en-US" w:eastAsia="zh-CN"/>
              </w:rPr>
              <w:t>5L/桶</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cs="宋体"/>
                <w:color w:val="auto"/>
                <w:sz w:val="18"/>
                <w:szCs w:val="18"/>
                <w:vertAlign w:val="baseline"/>
                <w:lang w:eastAsia="zh-CN"/>
              </w:rPr>
              <w:t>合格及以上</w:t>
            </w:r>
          </w:p>
        </w:tc>
        <w:tc>
          <w:tcPr>
            <w:tcW w:w="8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65</w:t>
            </w:r>
          </w:p>
        </w:tc>
        <w:tc>
          <w:tcPr>
            <w:tcW w:w="664" w:type="dxa"/>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1500</w:t>
            </w:r>
          </w:p>
        </w:tc>
        <w:tc>
          <w:tcPr>
            <w:tcW w:w="1169" w:type="dxa"/>
            <w:noWrap w:val="0"/>
            <w:vAlign w:val="center"/>
          </w:tcPr>
          <w:p>
            <w:pPr>
              <w:keepNext w:val="0"/>
              <w:keepLines w:val="0"/>
              <w:widowControl/>
              <w:suppressLineNumbers w:val="0"/>
              <w:jc w:val="right"/>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90000</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i w:val="0"/>
                <w:iCs w:val="0"/>
                <w:caps w:val="0"/>
                <w:color w:val="auto"/>
                <w:spacing w:val="0"/>
                <w:sz w:val="18"/>
                <w:szCs w:val="18"/>
                <w:shd w:val="clear" w:color="auto" w:fill="FFFFFF"/>
                <w:lang w:eastAsia="zh-CN"/>
              </w:rPr>
            </w:pPr>
          </w:p>
        </w:tc>
        <w:tc>
          <w:tcPr>
            <w:tcW w:w="1198"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i w:val="0"/>
                <w:iCs w:val="0"/>
                <w:caps w:val="0"/>
                <w:color w:val="auto"/>
                <w:spacing w:val="0"/>
                <w:sz w:val="18"/>
                <w:szCs w:val="18"/>
                <w:shd w:val="clear" w:color="auto" w:fill="FFFFFF"/>
                <w:lang w:eastAsia="zh-CN"/>
              </w:rPr>
              <w:t>非转基因，</w:t>
            </w:r>
            <w:r>
              <w:rPr>
                <w:rFonts w:hint="eastAsia" w:ascii="宋体" w:hAnsi="宋体" w:eastAsia="宋体" w:cs="宋体"/>
                <w:color w:val="auto"/>
                <w:kern w:val="0"/>
                <w:sz w:val="18"/>
                <w:szCs w:val="18"/>
              </w:rPr>
              <w:t>饱和脂肪酸、单不饱和脂肪酸、多不饱和脂肪酸</w:t>
            </w:r>
            <w:r>
              <w:rPr>
                <w:rFonts w:hint="eastAsia" w:ascii="宋体" w:hAnsi="宋体" w:eastAsia="宋体" w:cs="宋体"/>
                <w:color w:val="auto"/>
                <w:kern w:val="0"/>
                <w:sz w:val="18"/>
                <w:szCs w:val="18"/>
                <w:lang w:eastAsia="zh-CN"/>
              </w:rPr>
              <w:t>比例为</w:t>
            </w:r>
            <w:r>
              <w:rPr>
                <w:rFonts w:hint="eastAsia" w:ascii="宋体" w:hAnsi="宋体" w:eastAsia="宋体" w:cs="宋体"/>
                <w:color w:val="auto"/>
                <w:kern w:val="0"/>
                <w:sz w:val="18"/>
                <w:szCs w:val="18"/>
                <w:lang w:val="en-US" w:eastAsia="zh-CN"/>
              </w:rPr>
              <w:t>1：1：1</w:t>
            </w:r>
          </w:p>
        </w:tc>
        <w:tc>
          <w:tcPr>
            <w:tcW w:w="63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C </w:t>
            </w:r>
          </w:p>
        </w:tc>
        <w:tc>
          <w:tcPr>
            <w:tcW w:w="60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rPr>
              <w:t>菜籽油</w:t>
            </w:r>
          </w:p>
        </w:tc>
        <w:tc>
          <w:tcPr>
            <w:tcW w:w="65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p>
        </w:tc>
        <w:tc>
          <w:tcPr>
            <w:tcW w:w="48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val="en-US" w:eastAsia="zh-CN"/>
              </w:rPr>
              <w:t>5L/桶</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eastAsia="zh-CN"/>
              </w:rPr>
              <w:t>合格及以上</w:t>
            </w:r>
          </w:p>
        </w:tc>
        <w:tc>
          <w:tcPr>
            <w:tcW w:w="8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85</w:t>
            </w:r>
          </w:p>
        </w:tc>
        <w:tc>
          <w:tcPr>
            <w:tcW w:w="664" w:type="dxa"/>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700</w:t>
            </w:r>
          </w:p>
        </w:tc>
        <w:tc>
          <w:tcPr>
            <w:tcW w:w="1169" w:type="dxa"/>
            <w:noWrap w:val="0"/>
            <w:vAlign w:val="center"/>
          </w:tcPr>
          <w:p>
            <w:pPr>
              <w:keepNext w:val="0"/>
              <w:keepLines w:val="0"/>
              <w:widowControl/>
              <w:suppressLineNumbers w:val="0"/>
              <w:jc w:val="right"/>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70000</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i w:val="0"/>
                <w:iCs w:val="0"/>
                <w:caps w:val="0"/>
                <w:color w:val="auto"/>
                <w:spacing w:val="0"/>
                <w:sz w:val="18"/>
                <w:szCs w:val="18"/>
                <w:shd w:val="clear" w:color="auto" w:fill="FFFFFF"/>
                <w:lang w:eastAsia="zh-CN"/>
              </w:rPr>
            </w:pPr>
          </w:p>
        </w:tc>
        <w:tc>
          <w:tcPr>
            <w:tcW w:w="1198"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i w:val="0"/>
                <w:iCs w:val="0"/>
                <w:caps w:val="0"/>
                <w:color w:val="auto"/>
                <w:spacing w:val="0"/>
                <w:sz w:val="18"/>
                <w:szCs w:val="18"/>
                <w:shd w:val="clear" w:color="auto" w:fill="FFFFFF"/>
                <w:lang w:eastAsia="zh-CN"/>
              </w:rPr>
              <w:t>非转基因</w:t>
            </w:r>
          </w:p>
        </w:tc>
        <w:tc>
          <w:tcPr>
            <w:tcW w:w="63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D </w:t>
            </w:r>
          </w:p>
        </w:tc>
        <w:tc>
          <w:tcPr>
            <w:tcW w:w="60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葵花籽油</w:t>
            </w:r>
          </w:p>
        </w:tc>
        <w:tc>
          <w:tcPr>
            <w:tcW w:w="65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p>
        </w:tc>
        <w:tc>
          <w:tcPr>
            <w:tcW w:w="48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vertAlign w:val="baseline"/>
                <w:lang w:val="en-US" w:eastAsia="zh-CN"/>
              </w:rPr>
              <w:t>5L/桶</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eastAsia="zh-CN"/>
              </w:rPr>
              <w:t>合格及以上</w:t>
            </w:r>
          </w:p>
        </w:tc>
        <w:tc>
          <w:tcPr>
            <w:tcW w:w="8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89</w:t>
            </w:r>
          </w:p>
        </w:tc>
        <w:tc>
          <w:tcPr>
            <w:tcW w:w="664" w:type="dxa"/>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800</w:t>
            </w:r>
          </w:p>
        </w:tc>
        <w:tc>
          <w:tcPr>
            <w:tcW w:w="1169" w:type="dxa"/>
            <w:noWrap w:val="0"/>
            <w:vAlign w:val="center"/>
          </w:tcPr>
          <w:p>
            <w:pPr>
              <w:keepNext w:val="0"/>
              <w:keepLines w:val="0"/>
              <w:widowControl/>
              <w:suppressLineNumbers w:val="0"/>
              <w:jc w:val="right"/>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64000</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i w:val="0"/>
                <w:iCs w:val="0"/>
                <w:caps w:val="0"/>
                <w:color w:val="auto"/>
                <w:spacing w:val="0"/>
                <w:sz w:val="18"/>
                <w:szCs w:val="18"/>
                <w:shd w:val="clear" w:color="auto" w:fill="FFFFFF"/>
                <w:lang w:eastAsia="zh-CN"/>
              </w:rPr>
            </w:pPr>
          </w:p>
        </w:tc>
        <w:tc>
          <w:tcPr>
            <w:tcW w:w="1198"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i w:val="0"/>
                <w:iCs w:val="0"/>
                <w:caps w:val="0"/>
                <w:color w:val="auto"/>
                <w:spacing w:val="0"/>
                <w:sz w:val="18"/>
                <w:szCs w:val="18"/>
                <w:shd w:val="clear" w:color="auto" w:fill="FFFFFF"/>
                <w:lang w:eastAsia="zh-CN"/>
              </w:rPr>
              <w:t>非转基因</w:t>
            </w:r>
          </w:p>
        </w:tc>
        <w:tc>
          <w:tcPr>
            <w:tcW w:w="63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E</w:t>
            </w:r>
          </w:p>
        </w:tc>
        <w:tc>
          <w:tcPr>
            <w:tcW w:w="603"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大豆油</w:t>
            </w:r>
          </w:p>
        </w:tc>
        <w:tc>
          <w:tcPr>
            <w:tcW w:w="65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p>
        </w:tc>
        <w:tc>
          <w:tcPr>
            <w:tcW w:w="48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val="en-US" w:eastAsia="zh-CN"/>
              </w:rPr>
              <w:t>5L/桶</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eastAsia="zh-CN"/>
              </w:rPr>
              <w:t>合格及以上</w:t>
            </w:r>
          </w:p>
        </w:tc>
        <w:tc>
          <w:tcPr>
            <w:tcW w:w="8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70</w:t>
            </w:r>
          </w:p>
        </w:tc>
        <w:tc>
          <w:tcPr>
            <w:tcW w:w="664" w:type="dxa"/>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1000</w:t>
            </w:r>
          </w:p>
        </w:tc>
        <w:tc>
          <w:tcPr>
            <w:tcW w:w="1169" w:type="dxa"/>
            <w:noWrap w:val="0"/>
            <w:vAlign w:val="center"/>
          </w:tcPr>
          <w:p>
            <w:pPr>
              <w:keepNext w:val="0"/>
              <w:keepLines w:val="0"/>
              <w:widowControl/>
              <w:suppressLineNumbers w:val="0"/>
              <w:jc w:val="right"/>
              <w:textAlignment w:val="center"/>
              <w:rPr>
                <w:rFonts w:hint="eastAsia" w:ascii="宋体" w:hAnsi="宋体" w:eastAsia="宋体" w:cs="宋体"/>
                <w:color w:val="auto"/>
                <w:sz w:val="18"/>
                <w:szCs w:val="18"/>
                <w:vertAlign w:val="baseline"/>
                <w:lang w:eastAsia="zh-CN"/>
              </w:rPr>
            </w:pPr>
            <w:r>
              <w:rPr>
                <w:rFonts w:hint="eastAsia" w:ascii="宋体" w:hAnsi="宋体" w:eastAsia="宋体" w:cs="宋体"/>
                <w:i w:val="0"/>
                <w:iCs w:val="0"/>
                <w:color w:val="auto"/>
                <w:kern w:val="0"/>
                <w:sz w:val="18"/>
                <w:szCs w:val="18"/>
                <w:u w:val="none"/>
                <w:lang w:val="en-US" w:eastAsia="zh-CN" w:bidi="ar"/>
              </w:rPr>
              <w:t>70000</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i w:val="0"/>
                <w:iCs w:val="0"/>
                <w:caps w:val="0"/>
                <w:color w:val="auto"/>
                <w:spacing w:val="0"/>
                <w:sz w:val="18"/>
                <w:szCs w:val="18"/>
                <w:shd w:val="clear" w:color="auto" w:fill="FFFFFF"/>
                <w:lang w:eastAsia="zh-CN"/>
              </w:rPr>
            </w:pPr>
          </w:p>
        </w:tc>
        <w:tc>
          <w:tcPr>
            <w:tcW w:w="1198"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i w:val="0"/>
                <w:iCs w:val="0"/>
                <w:caps w:val="0"/>
                <w:color w:val="auto"/>
                <w:spacing w:val="0"/>
                <w:sz w:val="18"/>
                <w:szCs w:val="18"/>
                <w:shd w:val="clear" w:color="auto" w:fill="FFFFFF"/>
                <w:lang w:eastAsia="zh-CN"/>
              </w:rPr>
              <w:t>非转基因</w:t>
            </w:r>
          </w:p>
        </w:tc>
        <w:tc>
          <w:tcPr>
            <w:tcW w:w="632" w:type="dxa"/>
            <w:noWrap w:val="0"/>
            <w:vAlign w:val="top"/>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最低评标价法</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136" w:afterAutospacing="0" w:line="300" w:lineRule="exact"/>
        <w:ind w:right="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基准价：梧州</w:t>
      </w:r>
      <w:r>
        <w:rPr>
          <w:rFonts w:hint="eastAsia" w:ascii="宋体" w:hAnsi="宋体" w:eastAsia="宋体" w:cs="宋体"/>
          <w:sz w:val="21"/>
          <w:szCs w:val="21"/>
        </w:rPr>
        <w:t>市内沃尔玛、大润发、南城百货</w:t>
      </w:r>
      <w:r>
        <w:rPr>
          <w:rFonts w:hint="eastAsia" w:ascii="宋体" w:hAnsi="宋体" w:eastAsia="宋体" w:cs="宋体"/>
          <w:sz w:val="21"/>
          <w:szCs w:val="21"/>
          <w:lang w:eastAsia="zh-CN"/>
        </w:rPr>
        <w:t>三家大型超市最低价</w:t>
      </w:r>
      <w:r>
        <w:rPr>
          <w:rFonts w:hint="eastAsia" w:ascii="宋体" w:hAnsi="宋体" w:eastAsia="宋体" w:cs="宋体"/>
          <w:sz w:val="21"/>
          <w:szCs w:val="21"/>
          <w:lang w:val="en-US" w:eastAsia="zh-CN"/>
        </w:rPr>
        <w:t>（商场物价活动除外），</w:t>
      </w:r>
      <w:r>
        <w:rPr>
          <w:rFonts w:hint="eastAsia" w:ascii="宋体" w:hAnsi="宋体" w:eastAsia="宋体" w:cs="宋体"/>
          <w:color w:val="auto"/>
          <w:sz w:val="21"/>
          <w:szCs w:val="21"/>
          <w:lang w:val="en-US" w:eastAsia="zh-CN"/>
        </w:rPr>
        <w:t>梧州市内</w:t>
      </w:r>
      <w:r>
        <w:rPr>
          <w:rFonts w:hint="eastAsia" w:ascii="宋体" w:hAnsi="宋体" w:eastAsia="宋体" w:cs="宋体"/>
          <w:color w:val="auto"/>
          <w:sz w:val="21"/>
          <w:szCs w:val="21"/>
        </w:rPr>
        <w:t>沃尔玛、大润发、南城百货</w:t>
      </w:r>
      <w:r>
        <w:rPr>
          <w:rFonts w:hint="eastAsia" w:ascii="宋体" w:hAnsi="宋体" w:eastAsia="宋体" w:cs="宋体"/>
          <w:color w:val="auto"/>
          <w:sz w:val="21"/>
          <w:szCs w:val="21"/>
          <w:lang w:eastAsia="zh-CN"/>
        </w:rPr>
        <w:t>没有的品种，以京东网购平台官方旗舰店为基价</w:t>
      </w:r>
      <w:r>
        <w:rPr>
          <w:rFonts w:hint="eastAsia" w:ascii="宋体" w:hAnsi="宋体" w:eastAsia="宋体" w:cs="宋体"/>
          <w:sz w:val="21"/>
          <w:szCs w:val="21"/>
          <w:lang w:eastAsia="zh-CN"/>
        </w:rPr>
        <w:t>，以</w:t>
      </w:r>
      <w:r>
        <w:rPr>
          <w:rFonts w:hint="eastAsia" w:ascii="宋体" w:hAnsi="宋体" w:eastAsia="宋体" w:cs="宋体"/>
          <w:sz w:val="21"/>
          <w:szCs w:val="21"/>
          <w:lang w:val="en-US" w:eastAsia="zh-CN"/>
        </w:rPr>
        <w:t>每月定价一次。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136" w:afterAutospacing="0" w:line="300" w:lineRule="exact"/>
        <w:ind w:right="0"/>
        <w:jc w:val="both"/>
        <w:textAlignment w:val="auto"/>
        <w:rPr>
          <w:rFonts w:hint="eastAsia" w:ascii="宋体" w:hAnsi="宋体" w:eastAsia="宋体" w:cs="宋体"/>
          <w:color w:val="C00000"/>
          <w:sz w:val="21"/>
          <w:szCs w:val="21"/>
          <w:vertAlign w:val="baseline"/>
          <w:lang w:val="en-US" w:eastAsia="zh-CN"/>
        </w:rPr>
      </w:pPr>
      <w:r>
        <w:rPr>
          <w:rFonts w:hint="eastAsia" w:ascii="宋体" w:hAnsi="宋体" w:eastAsia="宋体" w:cs="宋体"/>
          <w:color w:val="C00000"/>
          <w:sz w:val="21"/>
          <w:szCs w:val="21"/>
          <w:lang w:val="en-US" w:eastAsia="zh-CN"/>
        </w:rPr>
        <w:t>报价要求：</w:t>
      </w:r>
      <w:r>
        <w:rPr>
          <w:rFonts w:hint="eastAsia" w:ascii="宋体" w:hAnsi="宋体" w:eastAsia="宋体" w:cs="宋体"/>
          <w:color w:val="C00000"/>
          <w:sz w:val="21"/>
          <w:szCs w:val="21"/>
          <w:vertAlign w:val="baseline"/>
          <w:lang w:eastAsia="zh-CN"/>
        </w:rPr>
        <w:t>基准价下浮比例不得低于</w:t>
      </w:r>
      <w:r>
        <w:rPr>
          <w:rFonts w:hint="eastAsia" w:ascii="宋体" w:hAnsi="宋体" w:eastAsia="宋体" w:cs="宋体"/>
          <w:color w:val="C00000"/>
          <w:sz w:val="21"/>
          <w:szCs w:val="21"/>
          <w:vertAlign w:val="baseline"/>
          <w:lang w:val="en-US" w:eastAsia="zh-CN"/>
        </w:rPr>
        <w:t>3%，否则为无效报价。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136" w:afterAutospacing="0" w:line="300" w:lineRule="exact"/>
        <w:ind w:right="0"/>
        <w:jc w:val="both"/>
        <w:textAlignment w:val="auto"/>
        <w:rPr>
          <w:rFonts w:hint="default" w:ascii="宋体" w:hAnsi="宋体" w:eastAsia="宋体" w:cs="宋体"/>
          <w:color w:val="C00000"/>
          <w:sz w:val="21"/>
          <w:szCs w:val="21"/>
          <w:vertAlign w:val="baseline"/>
          <w:lang w:val="en-US" w:eastAsia="zh-CN"/>
        </w:rPr>
      </w:pPr>
      <w:r>
        <w:rPr>
          <w:rFonts w:hint="eastAsia" w:ascii="宋体" w:hAnsi="宋体" w:eastAsia="宋体" w:cs="宋体"/>
          <w:color w:val="C00000"/>
          <w:sz w:val="21"/>
          <w:szCs w:val="21"/>
          <w:vertAlign w:val="baseline"/>
          <w:lang w:eastAsia="zh-CN"/>
        </w:rPr>
        <w:t>合同期上控价格（元）：为供应期内供应价格的不得高于合同期上控价格。</w:t>
      </w:r>
    </w:p>
    <w:p>
      <w:pPr>
        <w:keepNext w:val="0"/>
        <w:keepLines w:val="0"/>
        <w:pageBreakBefore w:val="0"/>
        <w:widowControl/>
        <w:numPr>
          <w:ilvl w:val="0"/>
          <w:numId w:val="1"/>
        </w:numPr>
        <w:kinsoku/>
        <w:wordWrap/>
        <w:overflowPunct/>
        <w:topLinePunct w:val="0"/>
        <w:bidi w:val="0"/>
        <w:snapToGrid/>
        <w:spacing w:line="300" w:lineRule="exact"/>
        <w:ind w:left="0" w:leftChars="0" w:firstLineChars="0"/>
        <w:jc w:val="left"/>
        <w:textAlignment w:val="auto"/>
      </w:pPr>
      <w:r>
        <w:rPr>
          <w:rFonts w:hint="eastAsia" w:cs="宋体"/>
          <w:b/>
          <w:bCs/>
          <w:kern w:val="0"/>
          <w:sz w:val="24"/>
          <w:szCs w:val="24"/>
        </w:rPr>
        <w:t>技术规格参数</w:t>
      </w:r>
    </w:p>
    <w:p>
      <w:pPr>
        <w:pStyle w:val="14"/>
        <w:keepNext w:val="0"/>
        <w:keepLines w:val="0"/>
        <w:pageBreakBefore w:val="0"/>
        <w:kinsoku/>
        <w:wordWrap/>
        <w:overflowPunct/>
        <w:topLinePunct w:val="0"/>
        <w:bidi w:val="0"/>
        <w:snapToGrid/>
        <w:spacing w:line="300" w:lineRule="exact"/>
        <w:ind w:left="-708" w:leftChars="-337" w:firstLine="720" w:firstLineChars="300"/>
        <w:textAlignment w:val="auto"/>
      </w:pPr>
      <w:r>
        <w:rPr>
          <w:rFonts w:hint="eastAsia"/>
          <w:color w:val="auto"/>
        </w:rPr>
        <w:t>产品、卫生指标及生产工艺符合国家相关规范</w:t>
      </w:r>
      <w:r>
        <w:rPr>
          <w:rFonts w:hint="eastAsia"/>
          <w:color w:val="auto"/>
          <w:lang w:eastAsia="zh-CN"/>
        </w:rPr>
        <w:t>。</w:t>
      </w:r>
      <w:r>
        <w:rPr>
          <w:rFonts w:hint="eastAsia"/>
        </w:rPr>
        <w:t xml:space="preserve">   </w:t>
      </w:r>
    </w:p>
    <w:p>
      <w:pPr>
        <w:keepNext w:val="0"/>
        <w:keepLines w:val="0"/>
        <w:pageBreakBefore w:val="0"/>
        <w:widowControl/>
        <w:numPr>
          <w:ilvl w:val="0"/>
          <w:numId w:val="1"/>
        </w:numPr>
        <w:kinsoku/>
        <w:wordWrap/>
        <w:overflowPunct/>
        <w:topLinePunct w:val="0"/>
        <w:bidi w:val="0"/>
        <w:snapToGrid/>
        <w:spacing w:line="300" w:lineRule="exact"/>
        <w:ind w:left="0" w:leftChars="0" w:firstLineChars="0"/>
        <w:jc w:val="left"/>
        <w:textAlignment w:val="auto"/>
        <w:rPr>
          <w:rFonts w:cs="宋体"/>
          <w:b/>
          <w:bCs/>
          <w:color w:val="000000"/>
          <w:kern w:val="0"/>
          <w:sz w:val="24"/>
          <w:szCs w:val="24"/>
        </w:rPr>
      </w:pPr>
      <w:r>
        <w:rPr>
          <w:rFonts w:hint="eastAsia" w:cs="宋体"/>
          <w:b/>
          <w:bCs/>
          <w:color w:val="000000"/>
          <w:kern w:val="0"/>
          <w:sz w:val="24"/>
          <w:szCs w:val="24"/>
        </w:rPr>
        <w:t>项目产品基本要求</w:t>
      </w:r>
    </w:p>
    <w:p>
      <w:pPr>
        <w:pStyle w:val="14"/>
        <w:keepNext w:val="0"/>
        <w:keepLines w:val="0"/>
        <w:pageBreakBefore w:val="0"/>
        <w:kinsoku/>
        <w:wordWrap/>
        <w:overflowPunct/>
        <w:topLinePunct w:val="0"/>
        <w:bidi w:val="0"/>
        <w:snapToGrid/>
        <w:spacing w:line="300" w:lineRule="exact"/>
        <w:ind w:left="-708" w:leftChars="-337" w:firstLine="720" w:firstLineChars="300"/>
        <w:textAlignment w:val="auto"/>
        <w:rPr>
          <w:color w:val="auto"/>
        </w:rPr>
      </w:pPr>
      <w:r>
        <w:rPr>
          <w:rFonts w:hint="eastAsia"/>
          <w:color w:val="auto"/>
        </w:rPr>
        <w:t>1、以上产品必须是具备合法资质的制造商生产的</w:t>
      </w:r>
      <w:r>
        <w:rPr>
          <w:rFonts w:hint="eastAsia"/>
          <w:b/>
          <w:bCs/>
          <w:color w:val="auto"/>
        </w:rPr>
        <w:t>合格正品</w:t>
      </w:r>
      <w:r>
        <w:rPr>
          <w:rFonts w:hint="eastAsia"/>
          <w:color w:val="auto"/>
        </w:rPr>
        <w:t>，并满足招标采购文件的要求，若产品在运输或安装过程中损坏或擦伤须无偿调换相同产品。</w:t>
      </w:r>
    </w:p>
    <w:p>
      <w:pPr>
        <w:pStyle w:val="14"/>
        <w:keepNext w:val="0"/>
        <w:keepLines w:val="0"/>
        <w:pageBreakBefore w:val="0"/>
        <w:kinsoku/>
        <w:wordWrap/>
        <w:overflowPunct/>
        <w:topLinePunct w:val="0"/>
        <w:bidi w:val="0"/>
        <w:snapToGrid/>
        <w:spacing w:line="300" w:lineRule="exact"/>
        <w:ind w:left="-708" w:leftChars="-337" w:firstLine="480" w:firstLineChars="200"/>
        <w:textAlignment w:val="auto"/>
        <w:rPr>
          <w:color w:val="auto"/>
        </w:rPr>
      </w:pPr>
      <w:r>
        <w:rPr>
          <w:rFonts w:hint="eastAsia"/>
          <w:color w:val="auto"/>
        </w:rPr>
        <w:t>2、投标人所投产品参数应同等或优于以上各项参数要求，产品、卫生指标及生产工艺符合国家相关规范。</w:t>
      </w:r>
    </w:p>
    <w:p>
      <w:pPr>
        <w:pStyle w:val="14"/>
        <w:keepNext w:val="0"/>
        <w:keepLines w:val="0"/>
        <w:pageBreakBefore w:val="0"/>
        <w:kinsoku/>
        <w:wordWrap/>
        <w:overflowPunct/>
        <w:topLinePunct w:val="0"/>
        <w:bidi w:val="0"/>
        <w:snapToGrid/>
        <w:spacing w:line="300" w:lineRule="exact"/>
        <w:ind w:left="-708" w:leftChars="-337" w:firstLine="480" w:firstLineChars="200"/>
        <w:textAlignment w:val="auto"/>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14"/>
        <w:keepNext w:val="0"/>
        <w:keepLines w:val="0"/>
        <w:pageBreakBefore w:val="0"/>
        <w:kinsoku/>
        <w:wordWrap/>
        <w:overflowPunct/>
        <w:topLinePunct w:val="0"/>
        <w:bidi w:val="0"/>
        <w:snapToGrid/>
        <w:spacing w:line="300" w:lineRule="exact"/>
        <w:ind w:left="-708" w:leftChars="-337"/>
        <w:textAlignment w:val="auto"/>
        <w:rPr>
          <w:color w:val="auto"/>
        </w:rPr>
      </w:pPr>
      <w:r>
        <w:rPr>
          <w:rFonts w:hint="eastAsia"/>
          <w:color w:val="auto"/>
        </w:rPr>
        <w:t>4、投标总价必须包含货物及货物运抵指定交货地点的各种运输费用和送货、售后服务、税金、验收检验及其它所有费用的总和，如另有要求请在投标文件中注明。</w:t>
      </w:r>
    </w:p>
    <w:p>
      <w:pPr>
        <w:pStyle w:val="14"/>
        <w:keepNext w:val="0"/>
        <w:keepLines w:val="0"/>
        <w:pageBreakBefore w:val="0"/>
        <w:kinsoku/>
        <w:wordWrap/>
        <w:overflowPunct/>
        <w:topLinePunct w:val="0"/>
        <w:bidi w:val="0"/>
        <w:snapToGrid/>
        <w:spacing w:line="300" w:lineRule="exact"/>
        <w:ind w:left="-708" w:leftChars="-337"/>
        <w:textAlignment w:val="auto"/>
        <w:rPr>
          <w:color w:val="auto"/>
        </w:rPr>
      </w:pPr>
      <w:r>
        <w:rPr>
          <w:rFonts w:hint="eastAsia"/>
          <w:color w:val="auto"/>
        </w:rPr>
        <w:t>5、投标人所投产品必须提供产品“三包”服务；定期安排相关人员回访进行质量跟踪；其他售后服务按生产厂家承诺实行。</w:t>
      </w:r>
    </w:p>
    <w:p>
      <w:pPr>
        <w:pStyle w:val="14"/>
        <w:keepNext w:val="0"/>
        <w:keepLines w:val="0"/>
        <w:pageBreakBefore w:val="0"/>
        <w:kinsoku/>
        <w:wordWrap/>
        <w:overflowPunct/>
        <w:topLinePunct w:val="0"/>
        <w:bidi w:val="0"/>
        <w:snapToGrid/>
        <w:spacing w:line="300" w:lineRule="exact"/>
        <w:ind w:left="-708" w:leftChars="-337"/>
        <w:textAlignment w:val="auto"/>
        <w:rPr>
          <w:rFonts w:cs="宋体"/>
          <w:b/>
          <w:bCs/>
        </w:rPr>
      </w:pPr>
      <w:r>
        <w:rPr>
          <w:rFonts w:hint="eastAsia" w:cs="宋体"/>
          <w:b/>
          <w:bCs/>
        </w:rPr>
        <w:t>（四）商务要求</w:t>
      </w:r>
    </w:p>
    <w:p>
      <w:pPr>
        <w:pStyle w:val="14"/>
        <w:keepNext w:val="0"/>
        <w:keepLines w:val="0"/>
        <w:pageBreakBefore w:val="0"/>
        <w:kinsoku/>
        <w:wordWrap/>
        <w:overflowPunct/>
        <w:topLinePunct w:val="0"/>
        <w:bidi w:val="0"/>
        <w:snapToGrid/>
        <w:spacing w:line="300" w:lineRule="exact"/>
        <w:ind w:left="-708" w:leftChars="-337"/>
        <w:textAlignment w:val="auto"/>
        <w:rPr>
          <w:rFonts w:cs="宋体"/>
        </w:rPr>
      </w:pPr>
      <w:r>
        <w:rPr>
          <w:rFonts w:hint="eastAsia" w:cs="宋体"/>
          <w:b/>
          <w:bCs/>
        </w:rPr>
        <w:t>1、投标人资格要求</w:t>
      </w:r>
    </w:p>
    <w:p>
      <w:pPr>
        <w:pStyle w:val="14"/>
        <w:keepNext w:val="0"/>
        <w:keepLines w:val="0"/>
        <w:pageBreakBefore w:val="0"/>
        <w:kinsoku/>
        <w:wordWrap/>
        <w:overflowPunct/>
        <w:topLinePunct w:val="0"/>
        <w:bidi w:val="0"/>
        <w:snapToGrid/>
        <w:spacing w:line="300" w:lineRule="exact"/>
        <w:ind w:left="-708" w:leftChars="-337"/>
        <w:textAlignment w:val="auto"/>
        <w:rPr>
          <w:rFonts w:hint="eastAsia" w:cs="宋体"/>
        </w:rPr>
      </w:pPr>
      <w:r>
        <w:rPr>
          <w:rFonts w:hint="eastAsia" w:cs="宋体"/>
        </w:rPr>
        <w:t>1）投标人为独立法人，并具备统一社会信用代码。</w:t>
      </w:r>
    </w:p>
    <w:p>
      <w:pPr>
        <w:pStyle w:val="14"/>
        <w:keepNext w:val="0"/>
        <w:keepLines w:val="0"/>
        <w:pageBreakBefore w:val="0"/>
        <w:kinsoku/>
        <w:wordWrap/>
        <w:overflowPunct/>
        <w:topLinePunct w:val="0"/>
        <w:bidi w:val="0"/>
        <w:snapToGrid/>
        <w:spacing w:line="300" w:lineRule="exact"/>
        <w:ind w:left="-708" w:leftChars="-337"/>
        <w:textAlignment w:val="auto"/>
        <w:rPr>
          <w:rFonts w:hint="eastAsia" w:cs="宋体"/>
        </w:rPr>
      </w:pPr>
      <w:r>
        <w:rPr>
          <w:rFonts w:hint="eastAsia" w:cs="宋体"/>
        </w:rPr>
        <w:t>2</w:t>
      </w:r>
      <w:r>
        <w:rPr>
          <w:rFonts w:hint="eastAsia" w:cs="宋体"/>
          <w:lang w:eastAsia="zh-CN"/>
        </w:rPr>
        <w:t>）</w:t>
      </w:r>
      <w:r>
        <w:rPr>
          <w:rFonts w:hint="eastAsia" w:cs="宋体"/>
        </w:rPr>
        <w:t>经营范围必须与本采购项目实质性相符；</w:t>
      </w:r>
    </w:p>
    <w:p>
      <w:pPr>
        <w:pStyle w:val="14"/>
        <w:keepNext w:val="0"/>
        <w:keepLines w:val="0"/>
        <w:pageBreakBefore w:val="0"/>
        <w:kinsoku/>
        <w:wordWrap/>
        <w:overflowPunct/>
        <w:topLinePunct w:val="0"/>
        <w:bidi w:val="0"/>
        <w:snapToGrid/>
        <w:spacing w:line="300" w:lineRule="exact"/>
        <w:ind w:left="-708" w:leftChars="-337"/>
        <w:textAlignment w:val="auto"/>
        <w:rPr>
          <w:rFonts w:hint="eastAsia" w:cs="宋体"/>
          <w:lang w:eastAsia="zh-CN"/>
        </w:rPr>
      </w:pPr>
      <w:r>
        <w:rPr>
          <w:rFonts w:hint="eastAsia" w:cs="宋体"/>
        </w:rPr>
        <w:t>3</w:t>
      </w:r>
      <w:r>
        <w:rPr>
          <w:rFonts w:hint="eastAsia" w:cs="宋体"/>
          <w:lang w:eastAsia="zh-CN"/>
        </w:rPr>
        <w:t>）</w:t>
      </w:r>
      <w:r>
        <w:rPr>
          <w:rFonts w:hint="eastAsia" w:cs="宋体"/>
        </w:rPr>
        <w:t>有固定的经营场所，有适应项目需要的专业配送人员，具备相关项目的供货能力和售后服务能力</w:t>
      </w:r>
      <w:r>
        <w:rPr>
          <w:rFonts w:hint="eastAsia" w:cs="宋体"/>
          <w:lang w:eastAsia="zh-CN"/>
        </w:rPr>
        <w:t>。</w:t>
      </w:r>
    </w:p>
    <w:p>
      <w:pPr>
        <w:pStyle w:val="14"/>
        <w:keepNext w:val="0"/>
        <w:keepLines w:val="0"/>
        <w:pageBreakBefore w:val="0"/>
        <w:kinsoku/>
        <w:wordWrap/>
        <w:overflowPunct/>
        <w:topLinePunct w:val="0"/>
        <w:bidi w:val="0"/>
        <w:snapToGrid/>
        <w:spacing w:line="300" w:lineRule="exact"/>
        <w:ind w:left="-708" w:leftChars="-337"/>
        <w:textAlignment w:val="auto"/>
        <w:rPr>
          <w:rFonts w:hint="eastAsia" w:cs="宋体"/>
        </w:rPr>
      </w:pPr>
      <w:r>
        <w:rPr>
          <w:rFonts w:hint="eastAsia" w:cs="宋体"/>
          <w:lang w:val="en-US" w:eastAsia="zh-CN"/>
        </w:rPr>
        <w:t>4）</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4"/>
        <w:keepNext w:val="0"/>
        <w:keepLines w:val="0"/>
        <w:pageBreakBefore w:val="0"/>
        <w:kinsoku/>
        <w:wordWrap/>
        <w:overflowPunct/>
        <w:topLinePunct w:val="0"/>
        <w:bidi w:val="0"/>
        <w:snapToGrid/>
        <w:spacing w:line="300" w:lineRule="exact"/>
        <w:ind w:left="-708" w:leftChars="-337"/>
        <w:textAlignment w:val="auto"/>
        <w:rPr>
          <w:rFonts w:hint="eastAsia" w:cs="宋体"/>
          <w:lang w:eastAsia="zh-CN"/>
        </w:rPr>
      </w:pPr>
      <w:r>
        <w:rPr>
          <w:rFonts w:hint="eastAsia" w:cs="宋体"/>
          <w:lang w:val="en-US" w:eastAsia="zh-CN"/>
        </w:rPr>
        <w:t>5）</w:t>
      </w:r>
      <w:r>
        <w:rPr>
          <w:rFonts w:hint="eastAsia" w:cs="宋体"/>
        </w:rPr>
        <w:t>被列入我院投标人黑名单（在我院招投标活动中存在2次违规行为）未满3年的投标人将被拒绝其参与本次招投标活动</w:t>
      </w:r>
      <w:r>
        <w:rPr>
          <w:rFonts w:hint="eastAsia" w:cs="宋体"/>
          <w:lang w:eastAsia="zh-CN"/>
        </w:rPr>
        <w:t>。</w:t>
      </w:r>
    </w:p>
    <w:p>
      <w:pPr>
        <w:pStyle w:val="14"/>
        <w:keepNext w:val="0"/>
        <w:keepLines w:val="0"/>
        <w:pageBreakBefore w:val="0"/>
        <w:kinsoku/>
        <w:wordWrap/>
        <w:overflowPunct/>
        <w:topLinePunct w:val="0"/>
        <w:bidi w:val="0"/>
        <w:snapToGrid/>
        <w:spacing w:line="300" w:lineRule="exact"/>
        <w:ind w:left="-708" w:leftChars="-337"/>
        <w:textAlignment w:val="auto"/>
        <w:rPr>
          <w:rFonts w:hint="eastAsia" w:cs="宋体"/>
        </w:rPr>
      </w:pPr>
      <w:r>
        <w:rPr>
          <w:rFonts w:hint="eastAsia" w:cs="宋体"/>
          <w:lang w:val="en-US" w:eastAsia="zh-CN"/>
        </w:rPr>
        <w:t>6）</w:t>
      </w:r>
      <w:r>
        <w:rPr>
          <w:rFonts w:hint="eastAsia" w:cs="宋体"/>
        </w:rPr>
        <w:t>提供营业执照、税务登记证、食品经营许可证，卫生许可证</w:t>
      </w:r>
      <w:r>
        <w:rPr>
          <w:rFonts w:hint="eastAsia" w:cs="宋体"/>
          <w:lang w:eastAsia="zh-CN"/>
        </w:rPr>
        <w:t>；</w:t>
      </w:r>
      <w:r>
        <w:rPr>
          <w:rFonts w:hint="eastAsia" w:cs="宋体"/>
        </w:rPr>
        <w:t>提供法人或被授权代表人身份证复印件；</w:t>
      </w:r>
      <w:r>
        <w:rPr>
          <w:rFonts w:hint="eastAsia" w:cs="宋体"/>
          <w:lang w:eastAsia="zh-CN"/>
        </w:rPr>
        <w:t>提交</w:t>
      </w:r>
      <w:r>
        <w:rPr>
          <w:rFonts w:hint="eastAsia" w:cs="宋体"/>
        </w:rPr>
        <w:t>没有重大违法、违纪记录的声明</w:t>
      </w:r>
      <w:r>
        <w:rPr>
          <w:rFonts w:hint="eastAsia" w:cs="宋体"/>
          <w:lang w:eastAsia="zh-CN"/>
        </w:rPr>
        <w:t>；</w:t>
      </w:r>
      <w:r>
        <w:rPr>
          <w:rFonts w:hint="eastAsia" w:cs="宋体"/>
        </w:rPr>
        <w:t>.经营业绩证明材料；</w:t>
      </w:r>
    </w:p>
    <w:p>
      <w:pPr>
        <w:pStyle w:val="14"/>
        <w:keepNext w:val="0"/>
        <w:keepLines w:val="0"/>
        <w:pageBreakBefore w:val="0"/>
        <w:kinsoku/>
        <w:wordWrap/>
        <w:overflowPunct/>
        <w:topLinePunct w:val="0"/>
        <w:bidi w:val="0"/>
        <w:snapToGrid/>
        <w:spacing w:line="300" w:lineRule="exact"/>
        <w:ind w:left="-708" w:leftChars="-337"/>
        <w:textAlignment w:val="auto"/>
        <w:rPr>
          <w:rFonts w:hint="eastAsia" w:cs="宋体"/>
        </w:rPr>
      </w:pPr>
      <w:r>
        <w:rPr>
          <w:rFonts w:hint="eastAsia" w:cs="宋体"/>
          <w:lang w:val="en-US" w:eastAsia="zh-CN"/>
        </w:rPr>
        <w:t>7）</w:t>
      </w:r>
      <w:r>
        <w:rPr>
          <w:rFonts w:hint="eastAsia" w:cs="宋体"/>
        </w:rPr>
        <w:t>本项目不接收联合体投标。</w:t>
      </w:r>
    </w:p>
    <w:p>
      <w:pPr>
        <w:pStyle w:val="14"/>
        <w:ind w:left="-708" w:leftChars="-337"/>
        <w:rPr>
          <w:rFonts w:cs="宋体"/>
          <w:b/>
          <w:bCs/>
        </w:rPr>
      </w:pPr>
      <w:r>
        <w:rPr>
          <w:rFonts w:hint="eastAsia" w:cs="宋体"/>
          <w:b/>
          <w:bCs/>
        </w:rPr>
        <w:t>2、投标产品资格要求</w:t>
      </w:r>
    </w:p>
    <w:p>
      <w:pPr>
        <w:pStyle w:val="14"/>
        <w:ind w:left="-708" w:leftChars="-337"/>
        <w:rPr>
          <w:rFonts w:cs="宋体"/>
        </w:rPr>
      </w:pPr>
      <w:r>
        <w:rPr>
          <w:rFonts w:hint="eastAsia" w:cs="宋体"/>
        </w:rPr>
        <w:t>1）本项目支持优质产品、接受中小企业发展等政府采购政策。</w:t>
      </w:r>
    </w:p>
    <w:p>
      <w:pPr>
        <w:pStyle w:val="14"/>
        <w:ind w:left="-708" w:leftChars="-337"/>
      </w:pPr>
      <w:r>
        <w:rPr>
          <w:rFonts w:hint="eastAsia"/>
        </w:rPr>
        <w:t>2）投标人所投产品要求包含以下相关证件：</w:t>
      </w:r>
      <w:r>
        <w:rPr>
          <w:rFonts w:hint="eastAsia"/>
          <w:color w:val="000000" w:themeColor="text1"/>
          <w:highlight w:val="yellow"/>
        </w:rPr>
        <w:t>投标公司的《营业执照》、生产厂家的《生产经营许可证》《卫生许可证》</w:t>
      </w:r>
      <w:r>
        <w:rPr>
          <w:rFonts w:hint="eastAsia"/>
        </w:rPr>
        <w:t>《产品合格证》。</w:t>
      </w:r>
    </w:p>
    <w:p>
      <w:pPr>
        <w:pStyle w:val="14"/>
        <w:ind w:left="-708" w:leftChars="-337"/>
      </w:pPr>
      <w:r>
        <w:rPr>
          <w:rFonts w:hint="eastAsia"/>
          <w:b/>
          <w:bCs/>
        </w:rPr>
        <w:t>3、售后服务和资质</w:t>
      </w:r>
    </w:p>
    <w:p>
      <w:pPr>
        <w:pStyle w:val="14"/>
        <w:ind w:left="-708" w:leftChars="-337"/>
      </w:pPr>
      <w:r>
        <w:rPr>
          <w:rFonts w:hint="eastAsia"/>
        </w:rPr>
        <w:t>1）售后资质要求：在梧州市有固定、合法的经营场所，有经验食用油的合法资质。</w:t>
      </w:r>
    </w:p>
    <w:p>
      <w:pPr>
        <w:pStyle w:val="14"/>
        <w:ind w:left="-708" w:leftChars="-337"/>
        <w:rPr>
          <w:rFonts w:hint="eastAsia"/>
        </w:rPr>
      </w:pPr>
      <w:r>
        <w:rPr>
          <w:rFonts w:hint="eastAsia"/>
        </w:rPr>
        <w:t>2）具备按时按质按量供货的能力。</w:t>
      </w:r>
    </w:p>
    <w:p>
      <w:pPr>
        <w:pStyle w:val="14"/>
        <w:ind w:left="-708" w:leftChars="-337"/>
      </w:pPr>
      <w:r>
        <w:rPr>
          <w:rFonts w:hint="eastAsia"/>
        </w:rPr>
        <w:t>3）为了防止虚假应标，项目成交结果公示期间，招标人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14"/>
        <w:ind w:left="-708" w:leftChars="-337"/>
      </w:pPr>
      <w:r>
        <w:rPr>
          <w:rFonts w:hint="eastAsia"/>
        </w:rPr>
        <w:t>4）质保期：中标人提供的产品必须是保质期之内的产品。</w:t>
      </w:r>
    </w:p>
    <w:p>
      <w:pPr>
        <w:pStyle w:val="14"/>
        <w:ind w:left="-708" w:leftChars="-337"/>
        <w:rPr>
          <w:rFonts w:cs="宋体"/>
        </w:rPr>
      </w:pPr>
      <w:r>
        <w:rPr>
          <w:rFonts w:hint="eastAsia"/>
        </w:rPr>
        <w:t>5）</w:t>
      </w:r>
      <w:r>
        <w:rPr>
          <w:rFonts w:hint="eastAsia" w:cs="宋体"/>
        </w:rPr>
        <w:t>签订合同后，投标人予以特别注意：如出现未能按期供货的情况，采购人有权单方终止合同的执行，所有的经济损失由逾期供货商单方承担。</w:t>
      </w:r>
    </w:p>
    <w:p>
      <w:pPr>
        <w:pStyle w:val="14"/>
        <w:ind w:left="-708" w:leftChars="-337"/>
      </w:pPr>
      <w:r>
        <w:rPr>
          <w:rFonts w:hint="eastAsia" w:cs="宋体"/>
        </w:rPr>
        <w:t>6）交货地点为：</w:t>
      </w:r>
      <w:r>
        <w:rPr>
          <w:rFonts w:hint="eastAsia" w:cs="宋体"/>
          <w:highlight w:val="yellow"/>
        </w:rPr>
        <w:t>广西壮族自治区桂东人民医院</w:t>
      </w:r>
      <w:r>
        <w:rPr>
          <w:rFonts w:hint="eastAsia" w:cs="宋体"/>
          <w:highlight w:val="yellow"/>
          <w:lang w:eastAsia="zh-CN"/>
        </w:rPr>
        <w:t>食堂</w:t>
      </w:r>
      <w:r>
        <w:t xml:space="preserve">     </w:t>
      </w:r>
    </w:p>
    <w:p>
      <w:pPr>
        <w:pStyle w:val="14"/>
        <w:ind w:left="-708" w:leftChars="-337"/>
      </w:pPr>
      <w:r>
        <w:rPr>
          <w:rFonts w:hint="eastAsia"/>
        </w:rPr>
        <w:t>7）付款方式：</w:t>
      </w:r>
    </w:p>
    <w:p>
      <w:pPr>
        <w:pStyle w:val="8"/>
        <w:shd w:val="clear" w:color="auto" w:fill="FFFFFF"/>
        <w:spacing w:before="0" w:beforeAutospacing="0" w:after="0" w:afterAutospacing="0" w:line="480" w:lineRule="exact"/>
        <w:rPr>
          <w:rFonts w:hint="eastAsia" w:ascii="Times New Roman" w:hAnsi="Times New Roman" w:eastAsia="宋体" w:cs="宋体"/>
          <w:color w:val="auto"/>
          <w:kern w:val="0"/>
          <w:sz w:val="24"/>
          <w:szCs w:val="24"/>
          <w:lang w:val="en-US" w:eastAsia="zh-CN" w:bidi="ar-SA"/>
        </w:rPr>
      </w:pPr>
      <w:r>
        <w:rPr>
          <w:rFonts w:hint="eastAsia" w:ascii="Times New Roman" w:hAnsi="Times New Roman" w:eastAsia="宋体" w:cs="宋体"/>
          <w:color w:val="auto"/>
          <w:kern w:val="0"/>
          <w:sz w:val="24"/>
          <w:szCs w:val="24"/>
          <w:lang w:val="en-US" w:eastAsia="zh-CN" w:bidi="ar-SA"/>
        </w:rPr>
        <w:t>货品经验收合格后，货款一般为1个月结算一次，收到结算发票后20个工作日付清上月款项。</w:t>
      </w:r>
    </w:p>
    <w:p>
      <w:pPr>
        <w:widowControl/>
        <w:numPr>
          <w:ilvl w:val="0"/>
          <w:numId w:val="0"/>
        </w:numPr>
        <w:spacing w:line="360" w:lineRule="auto"/>
        <w:ind w:left="-650" w:leftChars="0"/>
        <w:jc w:val="left"/>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二、合同签订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rPr>
        <w:t>工作日内签订定点采购合同。</w:t>
      </w:r>
    </w:p>
    <w:p>
      <w:pPr>
        <w:widowControl/>
        <w:numPr>
          <w:ilvl w:val="0"/>
          <w:numId w:val="2"/>
        </w:numPr>
        <w:spacing w:line="360" w:lineRule="auto"/>
        <w:ind w:left="-650" w:leftChars="0" w:firstLine="0" w:firstLineChars="0"/>
        <w:jc w:val="left"/>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价格确定</w:t>
      </w:r>
    </w:p>
    <w:p>
      <w:pPr>
        <w:widowControl/>
        <w:spacing w:line="400" w:lineRule="exact"/>
        <w:ind w:left="-613" w:leftChars="-292" w:firstLine="412" w:firstLineChars="172"/>
        <w:jc w:val="left"/>
        <w:rPr>
          <w:rFonts w:hint="eastAsia" w:cs="宋体"/>
          <w:kern w:val="0"/>
          <w:sz w:val="24"/>
          <w:szCs w:val="24"/>
          <w:lang w:eastAsia="zh-CN"/>
        </w:rPr>
      </w:pPr>
      <w:r>
        <w:rPr>
          <w:rFonts w:hint="eastAsia" w:cs="宋体"/>
          <w:kern w:val="0"/>
          <w:sz w:val="24"/>
          <w:szCs w:val="24"/>
          <w:lang w:eastAsia="zh-CN"/>
        </w:rPr>
        <w:t>每月</w:t>
      </w:r>
      <w:r>
        <w:rPr>
          <w:rFonts w:hint="eastAsia" w:cs="宋体"/>
          <w:kern w:val="0"/>
          <w:sz w:val="24"/>
          <w:szCs w:val="24"/>
        </w:rPr>
        <w:t>供货价格</w:t>
      </w:r>
      <w:r>
        <w:rPr>
          <w:rFonts w:hint="eastAsia" w:cs="宋体"/>
          <w:kern w:val="0"/>
          <w:sz w:val="24"/>
          <w:szCs w:val="24"/>
          <w:lang w:val="en-US" w:eastAsia="zh-CN"/>
        </w:rPr>
        <w:t>=</w:t>
      </w:r>
      <w:r>
        <w:rPr>
          <w:rFonts w:hint="eastAsia" w:cs="宋体"/>
          <w:kern w:val="0"/>
          <w:sz w:val="24"/>
          <w:szCs w:val="24"/>
          <w:lang w:eastAsia="zh-CN"/>
        </w:rPr>
        <w:t>基准价</w:t>
      </w:r>
      <w:r>
        <w:rPr>
          <w:rFonts w:hint="eastAsia" w:cs="宋体"/>
          <w:kern w:val="0"/>
          <w:sz w:val="24"/>
          <w:szCs w:val="24"/>
        </w:rPr>
        <w:t>×（100%-</w:t>
      </w:r>
      <w:r>
        <w:rPr>
          <w:rFonts w:hint="eastAsia" w:cs="宋体"/>
          <w:kern w:val="0"/>
          <w:sz w:val="24"/>
          <w:szCs w:val="24"/>
          <w:lang w:eastAsia="zh-CN"/>
        </w:rPr>
        <w:t>基准价下浮比例</w:t>
      </w:r>
      <w:r>
        <w:rPr>
          <w:rFonts w:hint="eastAsia" w:cs="宋体"/>
          <w:kern w:val="0"/>
          <w:sz w:val="24"/>
          <w:szCs w:val="24"/>
        </w:rPr>
        <w:t>）</w:t>
      </w:r>
      <w:r>
        <w:rPr>
          <w:rFonts w:hint="eastAsia" w:cs="宋体"/>
          <w:kern w:val="0"/>
          <w:sz w:val="24"/>
          <w:szCs w:val="24"/>
          <w:lang w:eastAsia="zh-CN"/>
        </w:rPr>
        <w:t>。基准价：梧州</w:t>
      </w:r>
      <w:r>
        <w:rPr>
          <w:rFonts w:hint="eastAsia" w:cs="宋体"/>
          <w:kern w:val="0"/>
          <w:sz w:val="24"/>
          <w:szCs w:val="24"/>
        </w:rPr>
        <w:t>市内沃尔玛、大润发、南城百货</w:t>
      </w:r>
      <w:r>
        <w:rPr>
          <w:rFonts w:hint="eastAsia" w:cs="宋体"/>
          <w:kern w:val="0"/>
          <w:sz w:val="24"/>
          <w:szCs w:val="24"/>
          <w:lang w:eastAsia="zh-CN"/>
        </w:rPr>
        <w:t>三家大型超市最低价</w:t>
      </w:r>
      <w:r>
        <w:rPr>
          <w:rFonts w:hint="eastAsia" w:cs="宋体"/>
          <w:kern w:val="0"/>
          <w:sz w:val="24"/>
          <w:szCs w:val="24"/>
          <w:lang w:val="en-US" w:eastAsia="zh-CN"/>
        </w:rPr>
        <w:t>（商场物价活动除外），梧州市内</w:t>
      </w:r>
      <w:r>
        <w:rPr>
          <w:rFonts w:hint="eastAsia" w:cs="宋体"/>
          <w:kern w:val="0"/>
          <w:sz w:val="24"/>
          <w:szCs w:val="24"/>
        </w:rPr>
        <w:t>沃尔玛、大润发、南城百货</w:t>
      </w:r>
      <w:r>
        <w:rPr>
          <w:rFonts w:hint="eastAsia" w:cs="宋体"/>
          <w:kern w:val="0"/>
          <w:sz w:val="24"/>
          <w:szCs w:val="24"/>
          <w:lang w:eastAsia="zh-CN"/>
        </w:rPr>
        <w:t>没有的品种，以京东网购平台官方旗舰店为基价，以</w:t>
      </w:r>
      <w:r>
        <w:rPr>
          <w:rFonts w:hint="eastAsia" w:cs="宋体"/>
          <w:kern w:val="0"/>
          <w:sz w:val="24"/>
          <w:szCs w:val="24"/>
          <w:lang w:val="en-US" w:eastAsia="zh-CN"/>
        </w:rPr>
        <w:t>每月定价一次。</w:t>
      </w:r>
      <w:r>
        <w:rPr>
          <w:rFonts w:hint="eastAsia" w:cs="宋体"/>
          <w:kern w:val="0"/>
          <w:sz w:val="24"/>
          <w:szCs w:val="24"/>
        </w:rPr>
        <w:t>结算单价=</w:t>
      </w:r>
      <w:r>
        <w:rPr>
          <w:rFonts w:hint="eastAsia" w:cs="宋体"/>
          <w:kern w:val="0"/>
          <w:sz w:val="24"/>
          <w:szCs w:val="24"/>
          <w:lang w:eastAsia="zh-CN"/>
        </w:rPr>
        <w:t>基准价</w:t>
      </w:r>
      <w:r>
        <w:rPr>
          <w:rFonts w:hint="eastAsia" w:cs="宋体"/>
          <w:kern w:val="0"/>
          <w:sz w:val="24"/>
          <w:szCs w:val="24"/>
        </w:rPr>
        <w:t>×（100%-</w:t>
      </w:r>
      <w:r>
        <w:rPr>
          <w:rFonts w:hint="eastAsia" w:cs="宋体"/>
          <w:kern w:val="0"/>
          <w:sz w:val="24"/>
          <w:szCs w:val="24"/>
          <w:lang w:eastAsia="zh-CN"/>
        </w:rPr>
        <w:t>基准价下浮比例</w:t>
      </w:r>
      <w:r>
        <w:rPr>
          <w:rFonts w:hint="eastAsia" w:cs="宋体"/>
          <w:kern w:val="0"/>
          <w:sz w:val="24"/>
          <w:szCs w:val="24"/>
        </w:rPr>
        <w:t>）</w:t>
      </w:r>
      <w:r>
        <w:rPr>
          <w:rFonts w:hint="eastAsia" w:cs="宋体"/>
          <w:kern w:val="0"/>
          <w:sz w:val="24"/>
          <w:szCs w:val="24"/>
          <w:lang w:eastAsia="zh-CN"/>
        </w:rPr>
        <w:t>，甲方每月由临床营养科组织相关人员到市场进行价格核查</w:t>
      </w:r>
      <w:r>
        <w:rPr>
          <w:rFonts w:hint="eastAsia" w:cs="宋体"/>
          <w:kern w:val="0"/>
          <w:sz w:val="24"/>
          <w:szCs w:val="24"/>
          <w:lang w:val="en-US" w:eastAsia="zh-CN"/>
        </w:rPr>
        <w:t>1</w:t>
      </w:r>
      <w:r>
        <w:rPr>
          <w:rFonts w:hint="eastAsia" w:cs="宋体"/>
          <w:kern w:val="0"/>
          <w:sz w:val="24"/>
          <w:szCs w:val="24"/>
          <w:lang w:eastAsia="zh-CN"/>
        </w:rPr>
        <w:t>次（核查时间由甲方随机抽取），以核查数据为定价依据，并将具体定价通知乙方实施。</w:t>
      </w:r>
    </w:p>
    <w:p>
      <w:pPr>
        <w:pStyle w:val="14"/>
      </w:pP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numPr>
          <w:ilvl w:val="0"/>
          <w:numId w:val="0"/>
        </w:numPr>
        <w:spacing w:line="360" w:lineRule="auto"/>
        <w:jc w:val="left"/>
        <w:rPr>
          <w:rFonts w:hint="eastAsia" w:ascii="Times New Roman" w:hAnsi="Times New Roman" w:cs="宋体"/>
          <w:b/>
          <w:bCs/>
          <w:kern w:val="0"/>
          <w:sz w:val="28"/>
          <w:szCs w:val="28"/>
          <w:lang w:val="en-US" w:eastAsia="zh-CN"/>
        </w:rPr>
      </w:pPr>
      <w:r>
        <w:rPr>
          <w:rFonts w:hint="eastAsia" w:ascii="Times New Roman" w:hAnsi="Times New Roman" w:cs="宋体"/>
          <w:b/>
          <w:bCs/>
          <w:kern w:val="0"/>
          <w:sz w:val="28"/>
          <w:szCs w:val="28"/>
          <w:lang w:val="en-US" w:eastAsia="zh-CN"/>
        </w:rPr>
        <w:t>一、A分标：一级压榨</w:t>
      </w:r>
      <w:r>
        <w:rPr>
          <w:rFonts w:hint="eastAsia" w:ascii="Times New Roman" w:hAnsi="Times New Roman" w:cs="宋体"/>
          <w:b/>
          <w:bCs/>
          <w:kern w:val="0"/>
          <w:sz w:val="28"/>
          <w:szCs w:val="28"/>
        </w:rPr>
        <w:t>花生油</w:t>
      </w:r>
      <w:r>
        <w:rPr>
          <w:rFonts w:hint="eastAsia" w:ascii="Times New Roman" w:hAnsi="Times New Roman" w:cs="宋体"/>
          <w:b/>
          <w:bCs/>
          <w:kern w:val="0"/>
          <w:sz w:val="28"/>
          <w:szCs w:val="28"/>
          <w:lang w:eastAsia="zh-CN"/>
        </w:rPr>
        <w:t>。</w:t>
      </w:r>
    </w:p>
    <w:p>
      <w:pPr>
        <w:widowControl/>
        <w:numPr>
          <w:ilvl w:val="0"/>
          <w:numId w:val="0"/>
        </w:numPr>
        <w:spacing w:line="360" w:lineRule="auto"/>
        <w:jc w:val="left"/>
      </w:pPr>
      <w:r>
        <w:rPr>
          <w:rFonts w:hint="eastAsia" w:cs="宋体"/>
          <w:b/>
          <w:bCs/>
          <w:kern w:val="0"/>
          <w:sz w:val="28"/>
          <w:szCs w:val="28"/>
        </w:rPr>
        <w:t>评标方法与定标原则</w:t>
      </w:r>
      <w:r>
        <w:rPr>
          <w:rFonts w:hint="eastAsia" w:cs="宋体"/>
          <w:b/>
          <w:bCs/>
          <w:kern w:val="0"/>
          <w:sz w:val="28"/>
          <w:szCs w:val="28"/>
          <w:lang w:val="en-US" w:eastAsia="zh-CN"/>
        </w:rPr>
        <w:t>:</w:t>
      </w: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sdtPr>
        <w:sdtEndPr>
          <w:rPr>
            <w:rFonts w:hint="eastAsia" w:cs="宋体"/>
            <w:b/>
            <w:bCs/>
            <w:kern w:val="0"/>
            <w:sz w:val="24"/>
            <w:szCs w:val="24"/>
            <w:u w:val="single"/>
          </w:rPr>
        </w:sdtEndPr>
        <w:sdtContent>
          <w:r>
            <w:rPr>
              <w:rFonts w:hint="eastAsia" w:cs="宋体"/>
              <w:b/>
              <w:bCs/>
              <w:kern w:val="0"/>
              <w:sz w:val="24"/>
              <w:szCs w:val="24"/>
              <w:u w:val="single"/>
            </w:rPr>
            <w:t>综合评分法</w:t>
          </w:r>
        </w:sdtContent>
      </w:sdt>
      <w:r>
        <w:rPr>
          <w:rFonts w:cs="宋体"/>
          <w:b/>
          <w:bCs/>
          <w:kern w:val="0"/>
          <w:sz w:val="24"/>
          <w:szCs w:val="24"/>
          <w:u w:val="single"/>
        </w:rPr>
        <w:t xml:space="preserve"> </w:t>
      </w:r>
      <w:r>
        <w:rPr>
          <w:rFonts w:cs="宋体"/>
          <w:kern w:val="0"/>
          <w:sz w:val="24"/>
          <w:szCs w:val="24"/>
          <w:u w:val="single"/>
        </w:rPr>
        <w:t xml:space="preserve"> </w:t>
      </w:r>
      <w:r>
        <w:rPr>
          <w:rFonts w:hint="eastAsia" w:cs="宋体"/>
          <w:kern w:val="0"/>
          <w:sz w:val="24"/>
          <w:szCs w:val="24"/>
        </w:rPr>
        <w:t>确定中标候选人。</w:t>
      </w:r>
    </w:p>
    <w:p>
      <w:pPr>
        <w:widowControl/>
        <w:numPr>
          <w:ilvl w:val="0"/>
          <w:numId w:val="0"/>
        </w:numPr>
        <w:spacing w:line="360" w:lineRule="auto"/>
        <w:jc w:val="left"/>
        <w:rPr>
          <w:rFonts w:hint="eastAsia" w:ascii="Times New Roman" w:hAnsi="Times New Roman" w:cs="宋体"/>
          <w:b/>
          <w:bCs/>
          <w:kern w:val="0"/>
          <w:sz w:val="28"/>
          <w:szCs w:val="28"/>
          <w:lang w:val="en-US" w:eastAsia="zh-CN"/>
        </w:rPr>
      </w:pPr>
      <w:r>
        <w:rPr>
          <w:rFonts w:hint="eastAsia" w:ascii="Times New Roman" w:hAnsi="Times New Roman" w:cs="宋体"/>
          <w:b/>
          <w:bCs/>
          <w:kern w:val="0"/>
          <w:sz w:val="28"/>
          <w:szCs w:val="28"/>
          <w:lang w:val="en-US" w:eastAsia="zh-CN"/>
        </w:rPr>
        <w:t>二、B分标：</w:t>
      </w:r>
      <w:r>
        <w:rPr>
          <w:rFonts w:hint="eastAsia" w:ascii="Times New Roman" w:hAnsi="Times New Roman" w:cs="宋体"/>
          <w:b/>
          <w:bCs/>
          <w:kern w:val="0"/>
          <w:sz w:val="28"/>
          <w:szCs w:val="28"/>
        </w:rPr>
        <w:t>调和油</w:t>
      </w:r>
    </w:p>
    <w:p>
      <w:pPr>
        <w:widowControl/>
        <w:numPr>
          <w:ilvl w:val="0"/>
          <w:numId w:val="0"/>
        </w:numPr>
        <w:spacing w:line="360" w:lineRule="auto"/>
        <w:jc w:val="left"/>
        <w:rPr>
          <w:rFonts w:hint="eastAsia" w:cs="宋体"/>
          <w:kern w:val="0"/>
          <w:sz w:val="28"/>
          <w:szCs w:val="28"/>
        </w:rPr>
      </w:pPr>
      <w:r>
        <w:rPr>
          <w:rFonts w:hint="eastAsia" w:cs="宋体"/>
          <w:b/>
          <w:bCs/>
          <w:kern w:val="0"/>
          <w:sz w:val="28"/>
          <w:szCs w:val="28"/>
        </w:rPr>
        <w:t>评标方法与定标原则</w:t>
      </w:r>
      <w:r>
        <w:rPr>
          <w:rFonts w:hint="eastAsia" w:cs="宋体"/>
          <w:b/>
          <w:bCs/>
          <w:kern w:val="0"/>
          <w:sz w:val="28"/>
          <w:szCs w:val="28"/>
          <w:lang w:eastAsia="zh-CN"/>
        </w:rPr>
        <w:t>：</w:t>
      </w:r>
      <w:r>
        <w:rPr>
          <w:rFonts w:hint="eastAsia" w:cs="宋体"/>
          <w:kern w:val="0"/>
          <w:sz w:val="28"/>
          <w:szCs w:val="28"/>
        </w:rPr>
        <w:t>评委会将对确定为实质性响应招标文件要求的投标文件进行评价和比较，评标方法采用</w:t>
      </w:r>
      <w:r>
        <w:rPr>
          <w:rFonts w:hint="eastAsia" w:cs="宋体"/>
          <w:kern w:val="0"/>
          <w:sz w:val="28"/>
          <w:szCs w:val="28"/>
          <w:u w:val="single"/>
        </w:rPr>
        <w:t xml:space="preserve"> </w:t>
      </w:r>
      <w:sdt>
        <w:sdtPr>
          <w:rPr>
            <w:rFonts w:hint="eastAsia" w:cs="宋体"/>
            <w:kern w:val="0"/>
            <w:sz w:val="28"/>
            <w:szCs w:val="28"/>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092b3a4f-4e81-44be-94e3-943c33e782de}"/>
          </w:placeholder>
        </w:sdtPr>
        <w:sdtEndPr>
          <w:rPr>
            <w:rFonts w:hint="eastAsia" w:cs="宋体"/>
            <w:b/>
            <w:bCs/>
            <w:kern w:val="0"/>
            <w:sz w:val="24"/>
            <w:szCs w:val="24"/>
            <w:u w:val="single"/>
          </w:rPr>
        </w:sdtEndPr>
        <w:sdtContent>
          <w:r>
            <w:rPr>
              <w:rFonts w:hint="eastAsia" w:cs="宋体"/>
              <w:b/>
              <w:bCs/>
              <w:kern w:val="0"/>
              <w:sz w:val="24"/>
              <w:szCs w:val="24"/>
              <w:u w:val="single"/>
              <w:lang w:eastAsia="zh-CN"/>
            </w:rPr>
            <w:t>最低评标价法</w:t>
          </w:r>
        </w:sdtContent>
      </w:sdt>
      <w:r>
        <w:rPr>
          <w:rFonts w:hint="eastAsia" w:cs="宋体"/>
          <w:b/>
          <w:bCs/>
          <w:kern w:val="0"/>
          <w:sz w:val="24"/>
          <w:szCs w:val="24"/>
          <w:u w:val="single"/>
        </w:rPr>
        <w:t xml:space="preserve">  </w:t>
      </w:r>
      <w:r>
        <w:rPr>
          <w:rFonts w:hint="eastAsia" w:cs="宋体"/>
          <w:kern w:val="0"/>
          <w:sz w:val="28"/>
          <w:szCs w:val="28"/>
        </w:rPr>
        <w:t>确定中标候选人。</w:t>
      </w:r>
    </w:p>
    <w:p>
      <w:pPr>
        <w:widowControl/>
        <w:numPr>
          <w:ilvl w:val="0"/>
          <w:numId w:val="0"/>
        </w:numPr>
        <w:spacing w:line="360" w:lineRule="auto"/>
        <w:jc w:val="left"/>
        <w:rPr>
          <w:rFonts w:hint="eastAsia" w:ascii="Times New Roman" w:hAnsi="Times New Roman" w:cs="宋体"/>
          <w:b/>
          <w:bCs/>
          <w:kern w:val="0"/>
          <w:sz w:val="28"/>
          <w:szCs w:val="28"/>
          <w:lang w:val="en-US" w:eastAsia="zh-CN"/>
        </w:rPr>
      </w:pPr>
      <w:r>
        <w:rPr>
          <w:rFonts w:hint="eastAsia" w:ascii="Times New Roman" w:hAnsi="Times New Roman" w:cs="宋体"/>
          <w:b/>
          <w:bCs/>
          <w:kern w:val="0"/>
          <w:sz w:val="28"/>
          <w:szCs w:val="28"/>
          <w:lang w:val="en-US" w:eastAsia="zh-CN"/>
        </w:rPr>
        <w:t>三、、C分标：菜籽油</w:t>
      </w:r>
    </w:p>
    <w:p>
      <w:pPr>
        <w:widowControl/>
        <w:numPr>
          <w:ilvl w:val="0"/>
          <w:numId w:val="0"/>
        </w:numPr>
        <w:spacing w:line="360" w:lineRule="auto"/>
        <w:jc w:val="left"/>
        <w:rPr>
          <w:rFonts w:hint="eastAsia" w:cs="宋体"/>
          <w:kern w:val="0"/>
          <w:sz w:val="28"/>
          <w:szCs w:val="28"/>
        </w:rPr>
      </w:pPr>
      <w:r>
        <w:rPr>
          <w:rFonts w:hint="eastAsia" w:cs="宋体"/>
          <w:b/>
          <w:bCs/>
          <w:kern w:val="0"/>
          <w:sz w:val="28"/>
          <w:szCs w:val="28"/>
        </w:rPr>
        <w:t>评标方法与定标原则</w:t>
      </w:r>
      <w:r>
        <w:rPr>
          <w:rFonts w:hint="eastAsia" w:cs="宋体"/>
          <w:b/>
          <w:bCs/>
          <w:kern w:val="0"/>
          <w:sz w:val="28"/>
          <w:szCs w:val="28"/>
          <w:lang w:eastAsia="zh-CN"/>
        </w:rPr>
        <w:t>：</w:t>
      </w:r>
      <w:r>
        <w:rPr>
          <w:rFonts w:hint="eastAsia" w:cs="宋体"/>
          <w:kern w:val="0"/>
          <w:sz w:val="28"/>
          <w:szCs w:val="28"/>
        </w:rPr>
        <w:t>评委会将对确定为实质性响应招标文件要求的投标文件进行评价和比较，评标方法采用</w:t>
      </w:r>
      <w:r>
        <w:rPr>
          <w:rFonts w:hint="eastAsia" w:cs="宋体"/>
          <w:b/>
          <w:bCs/>
          <w:kern w:val="0"/>
          <w:sz w:val="24"/>
          <w:szCs w:val="24"/>
          <w:u w:val="single"/>
          <w:lang w:eastAsia="zh-CN"/>
        </w:rPr>
        <w:t xml:space="preserve"> </w:t>
      </w:r>
      <w:sdt>
        <w:sdtPr>
          <w:rPr>
            <w:rFonts w:hint="eastAsia" w:cs="宋体"/>
            <w:b/>
            <w:bCs/>
            <w:kern w:val="0"/>
            <w:sz w:val="24"/>
            <w:szCs w:val="24"/>
            <w:u w:val="single"/>
            <w:lang w:eastAsia="zh-CN"/>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85d06cb1-a594-47f8-9355-6b2b34ace06e}"/>
          </w:placeholder>
        </w:sdtPr>
        <w:sdtEndPr>
          <w:rPr>
            <w:rFonts w:hint="eastAsia" w:cs="宋体"/>
            <w:b/>
            <w:bCs/>
            <w:kern w:val="0"/>
            <w:sz w:val="24"/>
            <w:szCs w:val="24"/>
            <w:u w:val="single"/>
            <w:lang w:eastAsia="zh-CN"/>
          </w:rPr>
        </w:sdtEndPr>
        <w:sdtContent>
          <w:r>
            <w:rPr>
              <w:rFonts w:hint="eastAsia" w:cs="宋体"/>
              <w:b/>
              <w:bCs/>
              <w:kern w:val="0"/>
              <w:sz w:val="24"/>
              <w:szCs w:val="24"/>
              <w:u w:val="single"/>
              <w:lang w:eastAsia="zh-CN"/>
            </w:rPr>
            <w:t>最低评标价法</w:t>
          </w:r>
        </w:sdtContent>
      </w:sdt>
      <w:r>
        <w:rPr>
          <w:rFonts w:hint="eastAsia" w:cs="宋体"/>
          <w:b/>
          <w:bCs/>
          <w:kern w:val="0"/>
          <w:sz w:val="24"/>
          <w:szCs w:val="24"/>
          <w:u w:val="single"/>
          <w:lang w:eastAsia="zh-CN"/>
        </w:rPr>
        <w:t xml:space="preserve">  </w:t>
      </w:r>
      <w:r>
        <w:rPr>
          <w:rFonts w:hint="eastAsia" w:cs="宋体"/>
          <w:kern w:val="0"/>
          <w:sz w:val="28"/>
          <w:szCs w:val="28"/>
        </w:rPr>
        <w:t>确定中标候选人。</w:t>
      </w:r>
    </w:p>
    <w:p>
      <w:pPr>
        <w:widowControl/>
        <w:numPr>
          <w:ilvl w:val="0"/>
          <w:numId w:val="0"/>
        </w:numPr>
        <w:spacing w:line="360" w:lineRule="auto"/>
        <w:jc w:val="left"/>
        <w:rPr>
          <w:rFonts w:hint="eastAsia" w:ascii="Times New Roman" w:hAnsi="Times New Roman" w:cs="宋体"/>
          <w:b/>
          <w:bCs/>
          <w:kern w:val="0"/>
          <w:sz w:val="28"/>
          <w:szCs w:val="28"/>
          <w:lang w:val="en-US" w:eastAsia="zh-CN"/>
        </w:rPr>
      </w:pPr>
      <w:r>
        <w:rPr>
          <w:rFonts w:hint="eastAsia" w:ascii="Times New Roman" w:hAnsi="Times New Roman" w:cs="宋体"/>
          <w:b/>
          <w:bCs/>
          <w:kern w:val="0"/>
          <w:sz w:val="28"/>
          <w:szCs w:val="28"/>
          <w:lang w:val="en-US" w:eastAsia="zh-CN"/>
        </w:rPr>
        <w:t>四、D分标：</w:t>
      </w:r>
      <w:r>
        <w:rPr>
          <w:rFonts w:hint="eastAsia" w:ascii="Times New Roman" w:hAnsi="Times New Roman" w:cs="宋体"/>
          <w:b/>
          <w:bCs/>
          <w:kern w:val="0"/>
          <w:sz w:val="28"/>
          <w:szCs w:val="28"/>
        </w:rPr>
        <w:t>葵花籽油</w:t>
      </w:r>
    </w:p>
    <w:p>
      <w:pPr>
        <w:widowControl/>
        <w:numPr>
          <w:ilvl w:val="0"/>
          <w:numId w:val="0"/>
        </w:numPr>
        <w:spacing w:line="360" w:lineRule="auto"/>
        <w:jc w:val="left"/>
        <w:rPr>
          <w:rFonts w:hint="eastAsia" w:cs="宋体"/>
          <w:kern w:val="0"/>
          <w:sz w:val="28"/>
          <w:szCs w:val="28"/>
        </w:rPr>
      </w:pPr>
      <w:r>
        <w:rPr>
          <w:rFonts w:hint="eastAsia" w:cs="宋体"/>
          <w:b/>
          <w:bCs/>
          <w:kern w:val="0"/>
          <w:sz w:val="28"/>
          <w:szCs w:val="28"/>
        </w:rPr>
        <w:t>评标方法与定标原则</w:t>
      </w:r>
      <w:r>
        <w:rPr>
          <w:rFonts w:hint="eastAsia" w:cs="宋体"/>
          <w:b/>
          <w:bCs/>
          <w:kern w:val="0"/>
          <w:sz w:val="28"/>
          <w:szCs w:val="28"/>
          <w:lang w:eastAsia="zh-CN"/>
        </w:rPr>
        <w:t>：</w:t>
      </w:r>
      <w:r>
        <w:rPr>
          <w:rFonts w:hint="eastAsia" w:cs="宋体"/>
          <w:kern w:val="0"/>
          <w:sz w:val="28"/>
          <w:szCs w:val="28"/>
        </w:rPr>
        <w:t>评委会将对确定为实质性响应招标文件要求的投标文件进行评价和比较，评标方法采用</w:t>
      </w:r>
      <w:r>
        <w:rPr>
          <w:rFonts w:hint="eastAsia" w:cs="宋体"/>
          <w:b/>
          <w:bCs/>
          <w:kern w:val="0"/>
          <w:sz w:val="24"/>
          <w:szCs w:val="24"/>
          <w:u w:val="single"/>
          <w:lang w:eastAsia="zh-CN"/>
        </w:rPr>
        <w:t xml:space="preserve"> </w:t>
      </w:r>
      <w:sdt>
        <w:sdtPr>
          <w:rPr>
            <w:rFonts w:hint="eastAsia" w:cs="宋体"/>
            <w:b/>
            <w:bCs/>
            <w:kern w:val="0"/>
            <w:sz w:val="24"/>
            <w:szCs w:val="24"/>
            <w:u w:val="single"/>
            <w:lang w:eastAsia="zh-CN"/>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9e235aa3-0481-4ca0-843b-348863a4b0d1}"/>
          </w:placeholder>
        </w:sdtPr>
        <w:sdtEndPr>
          <w:rPr>
            <w:rFonts w:hint="eastAsia" w:cs="宋体"/>
            <w:b/>
            <w:bCs/>
            <w:kern w:val="0"/>
            <w:sz w:val="24"/>
            <w:szCs w:val="24"/>
            <w:u w:val="single"/>
            <w:lang w:eastAsia="zh-CN"/>
          </w:rPr>
        </w:sdtEndPr>
        <w:sdtContent>
          <w:r>
            <w:rPr>
              <w:rFonts w:hint="eastAsia" w:cs="宋体"/>
              <w:b/>
              <w:bCs/>
              <w:kern w:val="0"/>
              <w:sz w:val="24"/>
              <w:szCs w:val="24"/>
              <w:u w:val="single"/>
              <w:lang w:eastAsia="zh-CN"/>
            </w:rPr>
            <w:t>最低评标价法</w:t>
          </w:r>
        </w:sdtContent>
      </w:sdt>
      <w:r>
        <w:rPr>
          <w:rFonts w:hint="eastAsia" w:cs="宋体"/>
          <w:b/>
          <w:bCs/>
          <w:kern w:val="0"/>
          <w:sz w:val="24"/>
          <w:szCs w:val="24"/>
          <w:u w:val="single"/>
          <w:lang w:eastAsia="zh-CN"/>
        </w:rPr>
        <w:t xml:space="preserve">  </w:t>
      </w:r>
      <w:r>
        <w:rPr>
          <w:rFonts w:hint="eastAsia" w:cs="宋体"/>
          <w:kern w:val="0"/>
          <w:sz w:val="28"/>
          <w:szCs w:val="28"/>
        </w:rPr>
        <w:t>确定中标候选人。</w:t>
      </w:r>
    </w:p>
    <w:p>
      <w:pPr>
        <w:widowControl/>
        <w:numPr>
          <w:ilvl w:val="0"/>
          <w:numId w:val="0"/>
        </w:numPr>
        <w:spacing w:line="360" w:lineRule="auto"/>
        <w:jc w:val="left"/>
        <w:rPr>
          <w:rFonts w:hint="eastAsia" w:ascii="Times New Roman" w:hAnsi="Times New Roman" w:cs="宋体"/>
          <w:b/>
          <w:bCs/>
          <w:kern w:val="0"/>
          <w:sz w:val="28"/>
          <w:szCs w:val="28"/>
          <w:lang w:val="en-US" w:eastAsia="zh-CN"/>
        </w:rPr>
      </w:pPr>
      <w:r>
        <w:rPr>
          <w:rFonts w:hint="eastAsia" w:ascii="Times New Roman" w:hAnsi="Times New Roman" w:cs="宋体"/>
          <w:b/>
          <w:bCs/>
          <w:kern w:val="0"/>
          <w:sz w:val="28"/>
          <w:szCs w:val="28"/>
          <w:lang w:val="en-US" w:eastAsia="zh-CN"/>
        </w:rPr>
        <w:t>五、分标：大豆油</w:t>
      </w:r>
    </w:p>
    <w:p>
      <w:pPr>
        <w:widowControl/>
        <w:numPr>
          <w:ilvl w:val="0"/>
          <w:numId w:val="0"/>
        </w:numPr>
        <w:spacing w:line="360" w:lineRule="auto"/>
        <w:jc w:val="left"/>
        <w:rPr>
          <w:kern w:val="0"/>
          <w:sz w:val="28"/>
          <w:szCs w:val="28"/>
        </w:rPr>
      </w:pPr>
      <w:r>
        <w:rPr>
          <w:rFonts w:hint="eastAsia" w:cs="宋体"/>
          <w:b/>
          <w:bCs/>
          <w:kern w:val="0"/>
          <w:sz w:val="28"/>
          <w:szCs w:val="28"/>
        </w:rPr>
        <w:t>评标方法与定标原则</w:t>
      </w:r>
      <w:r>
        <w:rPr>
          <w:rFonts w:hint="eastAsia" w:cs="宋体"/>
          <w:b/>
          <w:bCs/>
          <w:kern w:val="0"/>
          <w:sz w:val="28"/>
          <w:szCs w:val="28"/>
          <w:lang w:eastAsia="zh-CN"/>
        </w:rPr>
        <w:t>：</w:t>
      </w:r>
      <w:r>
        <w:rPr>
          <w:rFonts w:hint="eastAsia" w:cs="宋体"/>
          <w:kern w:val="0"/>
          <w:sz w:val="28"/>
          <w:szCs w:val="28"/>
        </w:rPr>
        <w:t>评委会将对确定为实质性响应招标文件要求的投标文件进行评价和比较，评标方法采用</w:t>
      </w:r>
      <w:r>
        <w:rPr>
          <w:rFonts w:hint="eastAsia" w:cs="宋体"/>
          <w:b/>
          <w:bCs/>
          <w:kern w:val="0"/>
          <w:sz w:val="24"/>
          <w:szCs w:val="24"/>
          <w:u w:val="single"/>
          <w:lang w:eastAsia="zh-CN"/>
        </w:rPr>
        <w:t xml:space="preserve"> </w:t>
      </w:r>
      <w:sdt>
        <w:sdtPr>
          <w:rPr>
            <w:rFonts w:hint="eastAsia" w:cs="宋体"/>
            <w:b/>
            <w:bCs/>
            <w:kern w:val="0"/>
            <w:sz w:val="24"/>
            <w:szCs w:val="24"/>
            <w:u w:val="single"/>
            <w:lang w:eastAsia="zh-CN"/>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be641f4e-1c48-4b8e-8599-6d95aba73bd7}"/>
          </w:placeholder>
        </w:sdtPr>
        <w:sdtEndPr>
          <w:rPr>
            <w:rFonts w:hint="eastAsia" w:cs="宋体"/>
            <w:b/>
            <w:bCs/>
            <w:kern w:val="0"/>
            <w:sz w:val="24"/>
            <w:szCs w:val="24"/>
            <w:u w:val="single"/>
            <w:lang w:eastAsia="zh-CN"/>
          </w:rPr>
        </w:sdtEndPr>
        <w:sdtContent>
          <w:r>
            <w:rPr>
              <w:rFonts w:hint="eastAsia" w:cs="宋体"/>
              <w:b/>
              <w:bCs/>
              <w:kern w:val="0"/>
              <w:sz w:val="24"/>
              <w:szCs w:val="24"/>
              <w:u w:val="single"/>
              <w:lang w:eastAsia="zh-CN"/>
            </w:rPr>
            <w:t>最低评标价法</w:t>
          </w:r>
        </w:sdtContent>
      </w:sdt>
      <w:r>
        <w:rPr>
          <w:rFonts w:hint="eastAsia" w:cs="宋体"/>
          <w:b/>
          <w:bCs/>
          <w:kern w:val="0"/>
          <w:sz w:val="24"/>
          <w:szCs w:val="24"/>
          <w:u w:val="single"/>
          <w:lang w:eastAsia="zh-CN"/>
        </w:rPr>
        <w:t xml:space="preserve">  </w:t>
      </w:r>
      <w:r>
        <w:rPr>
          <w:rFonts w:hint="eastAsia" w:cs="宋体"/>
          <w:kern w:val="0"/>
          <w:sz w:val="28"/>
          <w:szCs w:val="28"/>
        </w:rPr>
        <w:t>确定中标候选人。</w:t>
      </w:r>
    </w:p>
    <w:p>
      <w:pPr>
        <w:pStyle w:val="2"/>
        <w:rPr>
          <w:rFonts w:hint="eastAsia"/>
        </w:rPr>
      </w:pPr>
    </w:p>
    <w:p>
      <w:pPr>
        <w:pStyle w:val="2"/>
        <w:rPr>
          <w:b/>
          <w:bCs/>
        </w:rPr>
      </w:pPr>
    </w:p>
    <w:p>
      <w:pPr>
        <w:pStyle w:val="2"/>
      </w:pPr>
      <w:bookmarkStart w:id="0" w:name="_GoBack"/>
      <w:bookmarkEnd w:id="0"/>
    </w:p>
    <w:p>
      <w:pPr>
        <w:pStyle w:val="2"/>
      </w:pPr>
    </w:p>
    <w:p>
      <w:pPr>
        <w:pStyle w:val="14"/>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0418BA"/>
    <w:multiLevelType w:val="singleLevel"/>
    <w:tmpl w:val="FF0418BA"/>
    <w:lvl w:ilvl="0" w:tentative="0">
      <w:start w:val="3"/>
      <w:numFmt w:val="chineseCounting"/>
      <w:suff w:val="nothing"/>
      <w:lvlText w:val="%1、"/>
      <w:lvlJc w:val="left"/>
      <w:pPr>
        <w:ind w:left="-650" w:leftChars="0" w:firstLine="0" w:firstLineChars="0"/>
      </w:pPr>
      <w:rPr>
        <w:rFonts w:hint="eastAsia"/>
      </w:rPr>
    </w:lvl>
  </w:abstractNum>
  <w:abstractNum w:abstractNumId="1">
    <w:nsid w:val="350E8B6C"/>
    <w:multiLevelType w:val="singleLevel"/>
    <w:tmpl w:val="350E8B6C"/>
    <w:lvl w:ilvl="0" w:tentative="0">
      <w:start w:val="2"/>
      <w:numFmt w:val="chineseCounting"/>
      <w:suff w:val="nothing"/>
      <w:lvlText w:val="（%1）"/>
      <w:lvlJc w:val="left"/>
      <w:pPr>
        <w:ind w:left="70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xMzI1ZTc0MWRiMTJlMmVjMGE2NDhjZjg0NDUwODIifQ=="/>
    <w:docVar w:name="KY_MEDREF_DOCUID" w:val="굤啁"/>
    <w:docVar w:name="KY_MEDREF_VERSION" w:val="w:docVa"/>
  </w:docVars>
  <w:rsids>
    <w:rsidRoot w:val="004C7EB2"/>
    <w:rsid w:val="00066185"/>
    <w:rsid w:val="00080292"/>
    <w:rsid w:val="0008196D"/>
    <w:rsid w:val="00095D83"/>
    <w:rsid w:val="000A6C18"/>
    <w:rsid w:val="000B7E2D"/>
    <w:rsid w:val="000E1AA6"/>
    <w:rsid w:val="0015646F"/>
    <w:rsid w:val="00204183"/>
    <w:rsid w:val="00241CD6"/>
    <w:rsid w:val="002C7944"/>
    <w:rsid w:val="003C3AB5"/>
    <w:rsid w:val="003D4CC7"/>
    <w:rsid w:val="003E7DC1"/>
    <w:rsid w:val="003F23CE"/>
    <w:rsid w:val="004676F1"/>
    <w:rsid w:val="00474079"/>
    <w:rsid w:val="004C7EB2"/>
    <w:rsid w:val="004D08F5"/>
    <w:rsid w:val="004D2825"/>
    <w:rsid w:val="004F5A76"/>
    <w:rsid w:val="005007DD"/>
    <w:rsid w:val="005A1CF7"/>
    <w:rsid w:val="005D491D"/>
    <w:rsid w:val="00654BC6"/>
    <w:rsid w:val="00684BD7"/>
    <w:rsid w:val="006C0482"/>
    <w:rsid w:val="006E5543"/>
    <w:rsid w:val="00707A97"/>
    <w:rsid w:val="007814EA"/>
    <w:rsid w:val="007A5910"/>
    <w:rsid w:val="007F6F70"/>
    <w:rsid w:val="0080056A"/>
    <w:rsid w:val="00825B15"/>
    <w:rsid w:val="008553F8"/>
    <w:rsid w:val="008A5DC5"/>
    <w:rsid w:val="008D3A6F"/>
    <w:rsid w:val="009530DC"/>
    <w:rsid w:val="0097175B"/>
    <w:rsid w:val="00A2105C"/>
    <w:rsid w:val="00A44D5C"/>
    <w:rsid w:val="00A83F43"/>
    <w:rsid w:val="00AC0EA5"/>
    <w:rsid w:val="00B8409A"/>
    <w:rsid w:val="00BA3521"/>
    <w:rsid w:val="00C33384"/>
    <w:rsid w:val="00C700D6"/>
    <w:rsid w:val="00C762C8"/>
    <w:rsid w:val="00C97AD7"/>
    <w:rsid w:val="00CC2DEE"/>
    <w:rsid w:val="00CD27A2"/>
    <w:rsid w:val="00D2685D"/>
    <w:rsid w:val="00D41CB5"/>
    <w:rsid w:val="00D57065"/>
    <w:rsid w:val="00DB5864"/>
    <w:rsid w:val="00E14108"/>
    <w:rsid w:val="00E72BBE"/>
    <w:rsid w:val="00EB1C9B"/>
    <w:rsid w:val="00ED5546"/>
    <w:rsid w:val="00F37259"/>
    <w:rsid w:val="0317318F"/>
    <w:rsid w:val="039B3DC0"/>
    <w:rsid w:val="07B16B87"/>
    <w:rsid w:val="0A2F1A39"/>
    <w:rsid w:val="10C97A40"/>
    <w:rsid w:val="122B15C9"/>
    <w:rsid w:val="149B443D"/>
    <w:rsid w:val="1F542D83"/>
    <w:rsid w:val="2218153E"/>
    <w:rsid w:val="22715501"/>
    <w:rsid w:val="2E44559E"/>
    <w:rsid w:val="2E7806D6"/>
    <w:rsid w:val="30413EE1"/>
    <w:rsid w:val="3194337D"/>
    <w:rsid w:val="362F4950"/>
    <w:rsid w:val="3737378F"/>
    <w:rsid w:val="3806606D"/>
    <w:rsid w:val="397701BE"/>
    <w:rsid w:val="3B851508"/>
    <w:rsid w:val="3BC96A15"/>
    <w:rsid w:val="3CBE7DA9"/>
    <w:rsid w:val="41366ED0"/>
    <w:rsid w:val="45ED50AE"/>
    <w:rsid w:val="495A7600"/>
    <w:rsid w:val="49E91FE0"/>
    <w:rsid w:val="4BCA234B"/>
    <w:rsid w:val="51C73C39"/>
    <w:rsid w:val="550759F4"/>
    <w:rsid w:val="57EC1669"/>
    <w:rsid w:val="5B663E30"/>
    <w:rsid w:val="67BA4B89"/>
    <w:rsid w:val="6B574042"/>
    <w:rsid w:val="6BC77FCB"/>
    <w:rsid w:val="6D027C89"/>
    <w:rsid w:val="6D35260A"/>
    <w:rsid w:val="6DD0797D"/>
    <w:rsid w:val="6E565636"/>
    <w:rsid w:val="6EA5048F"/>
    <w:rsid w:val="6EAD55EF"/>
    <w:rsid w:val="6FC81F7F"/>
    <w:rsid w:val="70BD22BD"/>
    <w:rsid w:val="738670CD"/>
    <w:rsid w:val="74B5471E"/>
    <w:rsid w:val="77067EDF"/>
    <w:rsid w:val="780D6D66"/>
    <w:rsid w:val="78B638A1"/>
    <w:rsid w:val="7E6B3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line="380" w:lineRule="exact"/>
    </w:pPr>
    <w:rPr>
      <w:sz w:val="24"/>
    </w:rPr>
  </w:style>
  <w:style w:type="paragraph" w:styleId="3">
    <w:name w:val="annotation text"/>
    <w:basedOn w:val="1"/>
    <w:link w:val="16"/>
    <w:qFormat/>
    <w:uiPriority w:val="99"/>
    <w:pPr>
      <w:jc w:val="left"/>
    </w:pPr>
  </w:style>
  <w:style w:type="paragraph" w:styleId="4">
    <w:name w:val="Plain Text"/>
    <w:basedOn w:val="1"/>
    <w:link w:val="18"/>
    <w:qFormat/>
    <w:uiPriority w:val="99"/>
    <w:rPr>
      <w:rFonts w:ascii="宋体" w:hAnsi="Courier New"/>
    </w:rPr>
  </w:style>
  <w:style w:type="paragraph" w:styleId="5">
    <w:name w:val="Balloon Text"/>
    <w:basedOn w:val="1"/>
    <w:link w:val="25"/>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3"/>
    <w:next w:val="3"/>
    <w:link w:val="17"/>
    <w:semiHidden/>
    <w:unhideWhenUsed/>
    <w:qFormat/>
    <w:uiPriority w:val="99"/>
    <w:rPr>
      <w:b/>
      <w:bCs/>
    </w:rPr>
  </w:style>
  <w:style w:type="table" w:styleId="11">
    <w:name w:val="Table Grid"/>
    <w:basedOn w:val="10"/>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qFormat/>
    <w:uiPriority w:val="99"/>
    <w:rPr>
      <w:sz w:val="21"/>
      <w:szCs w:val="21"/>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批注文字 字符"/>
    <w:basedOn w:val="12"/>
    <w:qFormat/>
    <w:uiPriority w:val="99"/>
    <w:rPr>
      <w:rFonts w:ascii="Times New Roman" w:hAnsi="Times New Roman" w:eastAsia="宋体" w:cs="Times New Roman"/>
      <w:szCs w:val="21"/>
    </w:rPr>
  </w:style>
  <w:style w:type="character" w:customStyle="1" w:styleId="16">
    <w:name w:val="批注文字 Char"/>
    <w:link w:val="3"/>
    <w:semiHidden/>
    <w:qFormat/>
    <w:uiPriority w:val="99"/>
    <w:rPr>
      <w:rFonts w:ascii="Times New Roman" w:hAnsi="Times New Roman" w:eastAsia="宋体" w:cs="Times New Roman"/>
      <w:szCs w:val="21"/>
    </w:rPr>
  </w:style>
  <w:style w:type="character" w:customStyle="1" w:styleId="17">
    <w:name w:val="批注主题 Char"/>
    <w:basedOn w:val="16"/>
    <w:link w:val="9"/>
    <w:semiHidden/>
    <w:qFormat/>
    <w:uiPriority w:val="99"/>
    <w:rPr>
      <w:rFonts w:ascii="Times New Roman" w:hAnsi="Times New Roman" w:eastAsia="宋体" w:cs="Times New Roman"/>
      <w:b/>
      <w:bCs/>
      <w:szCs w:val="21"/>
    </w:rPr>
  </w:style>
  <w:style w:type="character" w:customStyle="1" w:styleId="18">
    <w:name w:val="纯文本 Char"/>
    <w:basedOn w:val="12"/>
    <w:link w:val="4"/>
    <w:qFormat/>
    <w:uiPriority w:val="99"/>
    <w:rPr>
      <w:rFonts w:ascii="宋体" w:hAnsi="Courier New" w:eastAsia="宋体" w:cs="Times New Roman"/>
      <w:szCs w:val="21"/>
    </w:rPr>
  </w:style>
  <w:style w:type="paragraph" w:customStyle="1" w:styleId="19">
    <w:name w:val="表格文字"/>
    <w:basedOn w:val="1"/>
    <w:qFormat/>
    <w:uiPriority w:val="0"/>
    <w:pPr>
      <w:spacing w:before="25" w:after="25"/>
      <w:jc w:val="left"/>
    </w:pPr>
    <w:rPr>
      <w:rFonts w:ascii="Calibri" w:hAnsi="Calibri"/>
      <w:bCs/>
      <w:spacing w:val="10"/>
      <w:kern w:val="0"/>
      <w:sz w:val="24"/>
      <w:szCs w:val="20"/>
    </w:rPr>
  </w:style>
  <w:style w:type="character" w:customStyle="1" w:styleId="20">
    <w:name w:val="fontstyle01"/>
    <w:qFormat/>
    <w:uiPriority w:val="0"/>
    <w:rPr>
      <w:rFonts w:hint="eastAsia" w:ascii="宋体" w:hAnsi="宋体" w:eastAsia="宋体"/>
      <w:color w:val="000000"/>
      <w:sz w:val="24"/>
      <w:szCs w:val="24"/>
    </w:rPr>
  </w:style>
  <w:style w:type="character" w:customStyle="1" w:styleId="21">
    <w:name w:val="页眉 Char"/>
    <w:basedOn w:val="12"/>
    <w:link w:val="7"/>
    <w:qFormat/>
    <w:uiPriority w:val="99"/>
    <w:rPr>
      <w:rFonts w:ascii="Times New Roman" w:hAnsi="Times New Roman" w:eastAsia="宋体" w:cs="Times New Roman"/>
      <w:sz w:val="18"/>
      <w:szCs w:val="18"/>
    </w:rPr>
  </w:style>
  <w:style w:type="character" w:customStyle="1" w:styleId="22">
    <w:name w:val="页脚 Char"/>
    <w:basedOn w:val="12"/>
    <w:link w:val="6"/>
    <w:qFormat/>
    <w:uiPriority w:val="99"/>
    <w:rPr>
      <w:rFonts w:ascii="Times New Roman" w:hAnsi="Times New Roman" w:eastAsia="宋体" w:cs="Times New Roman"/>
      <w:sz w:val="18"/>
      <w:szCs w:val="18"/>
    </w:rPr>
  </w:style>
  <w:style w:type="character" w:styleId="23">
    <w:name w:val="Placeholder Text"/>
    <w:basedOn w:val="12"/>
    <w:semiHidden/>
    <w:qFormat/>
    <w:uiPriority w:val="99"/>
    <w:rPr>
      <w:color w:val="808080"/>
    </w:rPr>
  </w:style>
  <w:style w:type="paragraph" w:customStyle="1" w:styleId="24">
    <w:name w:val="样式1"/>
    <w:basedOn w:val="1"/>
    <w:qFormat/>
    <w:uiPriority w:val="0"/>
  </w:style>
  <w:style w:type="character" w:customStyle="1" w:styleId="25">
    <w:name w:val="批注框文本 Char"/>
    <w:basedOn w:val="12"/>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85d06cb1-a594-47f8-9355-6b2b34ace06e}"/>
        <w:style w:val=""/>
        <w:category>
          <w:name w:val="常规"/>
          <w:gallery w:val="placeholder"/>
        </w:category>
        <w:types>
          <w:type w:val="bbPlcHdr"/>
        </w:types>
        <w:behaviors>
          <w:behavior w:val="content"/>
        </w:behaviors>
        <w:description w:val=""/>
        <w:guid w:val="{85d06cb1-a594-47f8-9355-6b2b34ace06e}"/>
      </w:docPartPr>
      <w:docPartBody>
        <w:p>
          <w:r>
            <w:rPr>
              <w:rStyle w:val="4"/>
            </w:rPr>
            <w:t>单击或点击此处输入文字。</w:t>
          </w:r>
        </w:p>
      </w:docPartBody>
    </w:docPart>
    <w:docPart>
      <w:docPartPr>
        <w:name w:val="{9e235aa3-0481-4ca0-843b-348863a4b0d1}"/>
        <w:style w:val=""/>
        <w:category>
          <w:name w:val="常规"/>
          <w:gallery w:val="placeholder"/>
        </w:category>
        <w:types>
          <w:type w:val="bbPlcHdr"/>
        </w:types>
        <w:behaviors>
          <w:behavior w:val="content"/>
        </w:behaviors>
        <w:description w:val=""/>
        <w:guid w:val="{9e235aa3-0481-4ca0-843b-348863a4b0d1}"/>
      </w:docPartPr>
      <w:docPartBody>
        <w:p>
          <w:r>
            <w:rPr>
              <w:rStyle w:val="4"/>
            </w:rPr>
            <w:t>单击或点击此处输入文字。</w:t>
          </w:r>
        </w:p>
      </w:docPartBody>
    </w:docPart>
    <w:docPart>
      <w:docPartPr>
        <w:name w:val="{be641f4e-1c48-4b8e-8599-6d95aba73bd7}"/>
        <w:style w:val=""/>
        <w:category>
          <w:name w:val="常规"/>
          <w:gallery w:val="placeholder"/>
        </w:category>
        <w:types>
          <w:type w:val="bbPlcHdr"/>
        </w:types>
        <w:behaviors>
          <w:behavior w:val="content"/>
        </w:behaviors>
        <w:description w:val=""/>
        <w:guid w:val="{be641f4e-1c48-4b8e-8599-6d95aba73bd7}"/>
      </w:docPartPr>
      <w:docPartBody>
        <w:p>
          <w:r>
            <w:rPr>
              <w:rStyle w:val="4"/>
            </w:rPr>
            <w:t>单击或点击此处输入文字。</w:t>
          </w:r>
        </w:p>
      </w:docPartBody>
    </w:docPart>
    <w:docPart>
      <w:docPartPr>
        <w:name w:val="{092b3a4f-4e81-44be-94e3-943c33e782de}"/>
        <w:style w:val=""/>
        <w:category>
          <w:name w:val="常规"/>
          <w:gallery w:val="placeholder"/>
        </w:category>
        <w:types>
          <w:type w:val="bbPlcHdr"/>
        </w:types>
        <w:behaviors>
          <w:behavior w:val="content"/>
        </w:behaviors>
        <w:description w:val=""/>
        <w:guid w:val="{092b3a4f-4e81-44be-94e3-943c33e782d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102898"/>
    <w:rsid w:val="001B2DBA"/>
    <w:rsid w:val="0048475D"/>
    <w:rsid w:val="007311C2"/>
    <w:rsid w:val="007C4364"/>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B910-5488-481B-83EF-8CE207DB081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2968</Words>
  <Characters>3076</Characters>
  <Lines>19</Lines>
  <Paragraphs>5</Paragraphs>
  <TotalTime>16</TotalTime>
  <ScaleCrop>false</ScaleCrop>
  <LinksUpToDate>false</LinksUpToDate>
  <CharactersWithSpaces>3159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2022-06-15T02:36:55Z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BC6B623858AD4EF6B8932C9852D63447</vt:lpwstr>
  </property>
</Properties>
</file>