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tbl>
      <w:tblPr>
        <w:tblStyle w:val="11"/>
        <w:tblW w:w="9855"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750"/>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0" w:type="dxa"/>
          </w:tcPr>
          <w:p>
            <w:pPr>
              <w:pStyle w:val="2"/>
              <w:jc w:val="both"/>
            </w:pPr>
            <w:r>
              <w:rPr>
                <w:rFonts w:hint="eastAsia"/>
              </w:rPr>
              <w:t>名称</w:t>
            </w:r>
          </w:p>
        </w:tc>
        <w:tc>
          <w:tcPr>
            <w:tcW w:w="750" w:type="dxa"/>
          </w:tcPr>
          <w:p>
            <w:pPr>
              <w:pStyle w:val="2"/>
              <w:jc w:val="both"/>
            </w:pPr>
            <w:r>
              <w:rPr>
                <w:rFonts w:hint="eastAsia"/>
              </w:rPr>
              <w:t>数量</w:t>
            </w:r>
          </w:p>
        </w:tc>
        <w:tc>
          <w:tcPr>
            <w:tcW w:w="6465" w:type="dxa"/>
          </w:tcPr>
          <w:p>
            <w:pPr>
              <w:pStyle w:val="2"/>
              <w:jc w:val="both"/>
            </w:pPr>
            <w:r>
              <w:rPr>
                <w:rFonts w:hint="eastAsia"/>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40" w:type="dxa"/>
          </w:tcPr>
          <w:p>
            <w:pPr>
              <w:pStyle w:val="2"/>
              <w:jc w:val="both"/>
            </w:pPr>
            <w:r>
              <w:rPr>
                <w:rFonts w:hint="eastAsia" w:ascii="宋体" w:hAnsi="宋体" w:cs="宋体"/>
                <w:color w:val="606266"/>
              </w:rPr>
              <w:t>全自动血液流变测试仪</w:t>
            </w:r>
          </w:p>
        </w:tc>
        <w:tc>
          <w:tcPr>
            <w:tcW w:w="750" w:type="dxa"/>
          </w:tcPr>
          <w:p>
            <w:pPr>
              <w:pStyle w:val="2"/>
              <w:jc w:val="both"/>
            </w:pPr>
            <w:r>
              <w:rPr>
                <w:rFonts w:hint="eastAsia"/>
              </w:rPr>
              <w:t>1套</w:t>
            </w:r>
          </w:p>
        </w:tc>
        <w:tc>
          <w:tcPr>
            <w:tcW w:w="6465" w:type="dxa"/>
          </w:tcPr>
          <w:p>
            <w:pPr>
              <w:pStyle w:val="2"/>
              <w:jc w:val="both"/>
              <w:rPr>
                <w:b/>
                <w:bCs/>
              </w:rPr>
            </w:pPr>
            <w:r>
              <w:rPr>
                <w:rFonts w:hint="eastAsia" w:ascii="宋体" w:hAnsi="宋体" w:cs="宋体"/>
                <w:color w:val="606266"/>
              </w:rPr>
              <w:t>适用于临床机构采用锥板法体外测量全血粘度及血浆粘度。</w:t>
            </w:r>
          </w:p>
        </w:tc>
      </w:tr>
    </w:tbl>
    <w:p>
      <w:pPr>
        <w:pStyle w:val="2"/>
        <w:rPr>
          <w:b/>
          <w:bCs/>
        </w:rPr>
      </w:pPr>
    </w:p>
    <w:p>
      <w:pPr>
        <w:widowControl/>
        <w:numPr>
          <w:ilvl w:val="0"/>
          <w:numId w:val="1"/>
        </w:numPr>
        <w:spacing w:line="360" w:lineRule="auto"/>
        <w:ind w:left="-708" w:leftChars="-337"/>
        <w:jc w:val="left"/>
      </w:pPr>
      <w:r>
        <w:rPr>
          <w:rFonts w:hint="eastAsia" w:cs="宋体"/>
          <w:b/>
          <w:bCs/>
          <w:kern w:val="0"/>
          <w:sz w:val="24"/>
          <w:szCs w:val="24"/>
        </w:rPr>
        <w:t>技术规格参数要求</w:t>
      </w:r>
    </w:p>
    <w:p>
      <w:pPr>
        <w:pStyle w:val="2"/>
        <w:rPr>
          <w:rFonts w:hint="eastAsia"/>
        </w:rPr>
      </w:pPr>
      <w:r>
        <w:rPr>
          <w:rFonts w:hint="eastAsia"/>
        </w:rPr>
        <w:t>1.测试原理：旋转法（锥板法）；</w:t>
      </w:r>
    </w:p>
    <w:p>
      <w:pPr>
        <w:pStyle w:val="2"/>
        <w:rPr>
          <w:rFonts w:hint="eastAsia"/>
        </w:rPr>
      </w:pPr>
      <w:r>
        <w:rPr>
          <w:rFonts w:hint="eastAsia"/>
        </w:rPr>
        <w:t>2.测量方式：锥板法采用快速、全量程、逐点、稳态测量方式；</w:t>
      </w:r>
    </w:p>
    <w:p>
      <w:pPr>
        <w:pStyle w:val="2"/>
        <w:rPr>
          <w:rFonts w:hint="eastAsia"/>
        </w:rPr>
      </w:pPr>
      <w:r>
        <w:rPr>
          <w:rFonts w:hint="eastAsia"/>
        </w:rPr>
        <w:t>★3.信号采集方式：采用高精度光栅细分技术；</w:t>
      </w:r>
    </w:p>
    <w:p>
      <w:pPr>
        <w:pStyle w:val="2"/>
        <w:rPr>
          <w:rFonts w:hint="eastAsia"/>
        </w:rPr>
      </w:pPr>
      <w:r>
        <w:rPr>
          <w:rFonts w:hint="eastAsia"/>
        </w:rPr>
        <w:t>4.工作模式：测试与清洗、混匀可同时并行工作；</w:t>
      </w:r>
    </w:p>
    <w:p>
      <w:pPr>
        <w:pStyle w:val="2"/>
        <w:rPr>
          <w:rFonts w:hint="eastAsia"/>
        </w:rPr>
      </w:pPr>
      <w:r>
        <w:rPr>
          <w:rFonts w:hint="eastAsia"/>
        </w:rPr>
        <w:t>5.测量精度：牛顿流体粘度的准确性误差＜±1%，非牛顿流体粘度的准确性误差＜±2%；</w:t>
      </w:r>
    </w:p>
    <w:p>
      <w:pPr>
        <w:pStyle w:val="2"/>
        <w:rPr>
          <w:rFonts w:hint="eastAsia"/>
        </w:rPr>
      </w:pPr>
      <w:r>
        <w:rPr>
          <w:rFonts w:hint="eastAsia"/>
        </w:rPr>
        <w:t>6.变异系数：牛顿流体粘度的变异系数≤1%，非牛顿流体粘度的变异系数≤2%；</w:t>
      </w:r>
    </w:p>
    <w:p>
      <w:pPr>
        <w:pStyle w:val="2"/>
        <w:rPr>
          <w:rFonts w:hint="eastAsia"/>
        </w:rPr>
      </w:pPr>
      <w:r>
        <w:rPr>
          <w:rFonts w:hint="eastAsia"/>
        </w:rPr>
        <w:t>7.测试时间：全血测试时间≤30秒/标本，血浆测试时间≤30秒/标本；</w:t>
      </w:r>
    </w:p>
    <w:p>
      <w:pPr>
        <w:pStyle w:val="2"/>
        <w:rPr>
          <w:rFonts w:hint="eastAsia"/>
        </w:rPr>
      </w:pPr>
      <w:r>
        <w:rPr>
          <w:rFonts w:hint="eastAsia"/>
        </w:rPr>
        <w:t>★8.切变率范围：（1～200）</w:t>
      </w:r>
      <w:r>
        <w:rPr>
          <w:rFonts w:hint="eastAsia" w:ascii="宋体" w:hAnsi="宋体" w:cs="Arial Unicode MS"/>
        </w:rPr>
        <w:t>s</w:t>
      </w:r>
      <w:r>
        <w:rPr>
          <w:rFonts w:hint="eastAsia" w:ascii="宋体" w:hAnsi="宋体" w:cs="Arial Unicode MS"/>
          <w:vertAlign w:val="superscript"/>
        </w:rPr>
        <w:t>-1</w:t>
      </w:r>
      <w:r>
        <w:rPr>
          <w:rFonts w:hint="eastAsia"/>
        </w:rPr>
        <w:t>；</w:t>
      </w:r>
    </w:p>
    <w:p>
      <w:pPr>
        <w:pStyle w:val="2"/>
        <w:rPr>
          <w:rFonts w:hint="eastAsia"/>
        </w:rPr>
      </w:pPr>
      <w:r>
        <w:rPr>
          <w:rFonts w:hint="eastAsia"/>
        </w:rPr>
        <w:t>9.粘度范围：（0-60）mPa·s；切应力范围：（0-12000）mpa</w:t>
      </w:r>
    </w:p>
    <w:p>
      <w:pPr>
        <w:pStyle w:val="2"/>
        <w:rPr>
          <w:rFonts w:hint="eastAsia"/>
        </w:rPr>
      </w:pPr>
      <w:r>
        <w:rPr>
          <w:rFonts w:hint="eastAsia"/>
        </w:rPr>
        <w:t>10.加样量：全血加样量200～800ul范围可调，满足不同用户需求；</w:t>
      </w:r>
    </w:p>
    <w:p>
      <w:pPr>
        <w:pStyle w:val="2"/>
        <w:rPr>
          <w:rFonts w:hint="eastAsia"/>
        </w:rPr>
      </w:pPr>
      <w:r>
        <w:rPr>
          <w:rFonts w:hint="eastAsia"/>
        </w:rPr>
        <w:t>11.机芯材质：钛合金，耐腐蚀、质量轻，不磨损宝石轴承，保证结果准确，消除系统误差；</w:t>
      </w:r>
    </w:p>
    <w:p>
      <w:pPr>
        <w:pStyle w:val="2"/>
        <w:rPr>
          <w:rFonts w:hint="eastAsia"/>
        </w:rPr>
      </w:pPr>
      <w:r>
        <w:rPr>
          <w:rFonts w:hint="eastAsia"/>
        </w:rPr>
        <w:t>12.样品位：≥60孔位，全开放、互换式样品盘，可无限增加，适用于任意试管；</w:t>
      </w:r>
    </w:p>
    <w:p>
      <w:pPr>
        <w:pStyle w:val="2"/>
        <w:rPr>
          <w:rFonts w:hint="eastAsia"/>
        </w:rPr>
      </w:pPr>
      <w:r>
        <w:rPr>
          <w:rFonts w:hint="eastAsia"/>
        </w:rPr>
        <w:t>13.进排液系统：采用双路挤压式蠕动泵。</w:t>
      </w:r>
    </w:p>
    <w:p>
      <w:pPr>
        <w:pStyle w:val="2"/>
        <w:rPr>
          <w:rFonts w:hint="eastAsia"/>
        </w:rPr>
      </w:pPr>
      <w:r>
        <w:rPr>
          <w:rFonts w:hint="eastAsia"/>
        </w:rPr>
        <w:t>14.吸样方式：加样针具有液位感应功能。</w:t>
      </w:r>
    </w:p>
    <w:p>
      <w:pPr>
        <w:pStyle w:val="2"/>
        <w:rPr>
          <w:rFonts w:hint="eastAsia"/>
        </w:rPr>
      </w:pPr>
      <w:r>
        <w:rPr>
          <w:rFonts w:hint="eastAsia"/>
        </w:rPr>
        <w:t>15.仪器控制：采用工作站的控制方式实现仪器控制功能，RS-232、485、USB接口任选；</w:t>
      </w:r>
    </w:p>
    <w:p>
      <w:pPr>
        <w:pStyle w:val="2"/>
        <w:rPr>
          <w:rFonts w:hint="eastAsia"/>
        </w:rPr>
      </w:pPr>
      <w:r>
        <w:rPr>
          <w:rFonts w:hint="eastAsia"/>
        </w:rPr>
        <w:t>16.温度控制：37℃±0.1℃；</w:t>
      </w:r>
    </w:p>
    <w:p>
      <w:pPr>
        <w:pStyle w:val="2"/>
        <w:rPr>
          <w:rFonts w:hint="eastAsia"/>
          <w:lang w:val="en-US" w:eastAsia="zh-CN"/>
        </w:rPr>
      </w:pPr>
      <w:r>
        <w:rPr>
          <w:rFonts w:hint="eastAsia"/>
          <w:lang w:val="en-US" w:eastAsia="zh-CN"/>
        </w:rPr>
        <w:t>17.配置清单要求如下：</w:t>
      </w:r>
    </w:p>
    <w:tbl>
      <w:tblPr>
        <w:tblStyle w:val="10"/>
        <w:tblW w:w="7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2"/>
        <w:gridCol w:w="6"/>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shd w:val="clear" w:color="auto" w:fill="F3F3F3"/>
            <w:noWrap w:val="0"/>
            <w:vAlign w:val="center"/>
          </w:tcPr>
          <w:p>
            <w:pPr>
              <w:spacing w:line="300" w:lineRule="exact"/>
              <w:jc w:val="center"/>
              <w:rPr>
                <w:rFonts w:hint="eastAsia" w:ascii="宋体" w:hAnsi="宋体" w:eastAsia="宋体"/>
                <w:lang w:eastAsia="zh-CN"/>
              </w:rPr>
            </w:pPr>
            <w:r>
              <w:rPr>
                <w:rFonts w:hint="eastAsia" w:ascii="宋体" w:hAnsi="宋体"/>
                <w:lang w:eastAsia="zh-CN"/>
              </w:rPr>
              <w:t>名称</w:t>
            </w:r>
          </w:p>
        </w:tc>
        <w:tc>
          <w:tcPr>
            <w:tcW w:w="3940" w:type="dxa"/>
            <w:gridSpan w:val="2"/>
            <w:shd w:val="clear" w:color="auto" w:fill="F3F3F3"/>
            <w:noWrap w:val="0"/>
            <w:vAlign w:val="center"/>
          </w:tcPr>
          <w:p>
            <w:pPr>
              <w:spacing w:line="300" w:lineRule="exact"/>
              <w:jc w:val="center"/>
              <w:rPr>
                <w:rFonts w:hint="eastAsia"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主机</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bCs/>
              </w:rPr>
            </w:pPr>
            <w:r>
              <w:rPr>
                <w:rFonts w:hint="eastAsia" w:ascii="宋体" w:hAnsi="宋体"/>
                <w:bCs/>
              </w:rPr>
              <w:t>USB数据线</w:t>
            </w:r>
          </w:p>
        </w:tc>
        <w:tc>
          <w:tcPr>
            <w:tcW w:w="3940" w:type="dxa"/>
            <w:gridSpan w:val="2"/>
            <w:noWrap w:val="0"/>
            <w:vAlign w:val="center"/>
          </w:tcPr>
          <w:p>
            <w:pPr>
              <w:spacing w:line="300" w:lineRule="exact"/>
              <w:jc w:val="center"/>
              <w:rPr>
                <w:rFonts w:hint="eastAsia" w:ascii="宋体" w:hAnsi="宋体"/>
                <w:bCs/>
              </w:rPr>
            </w:pPr>
            <w:r>
              <w:rPr>
                <w:rFonts w:hint="eastAsia" w:ascii="宋体" w:hAnsi="宋体"/>
                <w:bCs/>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水平仪</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废液桶</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标准油</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进排水管</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备用泵管</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试管</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1袋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清洗液</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rPr>
            </w:pPr>
            <w:r>
              <w:rPr>
                <w:rFonts w:hint="eastAsia" w:ascii="宋体" w:hAnsi="宋体"/>
              </w:rPr>
              <w:t>nNF非牛顿流体质控物</w:t>
            </w:r>
          </w:p>
        </w:tc>
        <w:tc>
          <w:tcPr>
            <w:tcW w:w="3940" w:type="dxa"/>
            <w:gridSpan w:val="2"/>
            <w:noWrap w:val="0"/>
            <w:vAlign w:val="center"/>
          </w:tcPr>
          <w:p>
            <w:pPr>
              <w:spacing w:line="300" w:lineRule="exact"/>
              <w:jc w:val="center"/>
              <w:rPr>
                <w:rFonts w:hint="eastAsia" w:ascii="宋体" w:hAnsi="宋体"/>
              </w:rPr>
            </w:pPr>
            <w:r>
              <w:rPr>
                <w:rFonts w:hint="eastAsia" w:ascii="宋体" w:hAnsi="宋体"/>
              </w:rPr>
              <w:t>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2" w:type="dxa"/>
            <w:noWrap w:val="0"/>
            <w:vAlign w:val="center"/>
          </w:tcPr>
          <w:p>
            <w:pPr>
              <w:spacing w:line="300" w:lineRule="exact"/>
              <w:jc w:val="center"/>
              <w:rPr>
                <w:rFonts w:hint="eastAsia" w:ascii="宋体" w:hAnsi="宋体"/>
                <w:bCs/>
              </w:rPr>
            </w:pPr>
            <w:r>
              <w:rPr>
                <w:rFonts w:hint="eastAsia" w:ascii="宋体" w:hAnsi="宋体"/>
                <w:bCs/>
              </w:rPr>
              <w:t>缺液报警装置</w:t>
            </w:r>
          </w:p>
        </w:tc>
        <w:tc>
          <w:tcPr>
            <w:tcW w:w="3940" w:type="dxa"/>
            <w:gridSpan w:val="2"/>
            <w:noWrap w:val="0"/>
            <w:vAlign w:val="center"/>
          </w:tcPr>
          <w:p>
            <w:pPr>
              <w:spacing w:line="300" w:lineRule="exact"/>
              <w:jc w:val="center"/>
              <w:rPr>
                <w:rFonts w:hint="eastAsia" w:ascii="宋体" w:hAnsi="宋体"/>
                <w:bCs/>
              </w:rPr>
            </w:pPr>
            <w:r>
              <w:rPr>
                <w:rFonts w:hint="eastAsia" w:ascii="宋体" w:hAnsi="宋体"/>
                <w:bCs/>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052" w:type="dxa"/>
            <w:noWrap w:val="0"/>
            <w:vAlign w:val="center"/>
          </w:tcPr>
          <w:p>
            <w:pPr>
              <w:adjustRightInd w:val="0"/>
              <w:snapToGrid w:val="0"/>
              <w:spacing w:line="300" w:lineRule="exact"/>
              <w:jc w:val="center"/>
              <w:rPr>
                <w:rFonts w:ascii="宋体" w:hAnsi="宋体"/>
              </w:rPr>
            </w:pPr>
            <w:r>
              <w:rPr>
                <w:rFonts w:hint="eastAsia" w:ascii="宋体" w:hAnsi="宋体"/>
              </w:rPr>
              <w:t>计算机</w:t>
            </w:r>
          </w:p>
        </w:tc>
        <w:tc>
          <w:tcPr>
            <w:tcW w:w="3940" w:type="dxa"/>
            <w:gridSpan w:val="2"/>
            <w:noWrap w:val="0"/>
            <w:vAlign w:val="center"/>
          </w:tcPr>
          <w:p>
            <w:pPr>
              <w:adjustRightInd w:val="0"/>
              <w:snapToGrid w:val="0"/>
              <w:spacing w:line="300" w:lineRule="exact"/>
              <w:jc w:val="center"/>
              <w:rPr>
                <w:rFonts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052" w:type="dxa"/>
            <w:noWrap w:val="0"/>
            <w:vAlign w:val="center"/>
          </w:tcPr>
          <w:p>
            <w:pPr>
              <w:adjustRightInd w:val="0"/>
              <w:snapToGrid w:val="0"/>
              <w:spacing w:line="300" w:lineRule="exact"/>
              <w:jc w:val="center"/>
              <w:rPr>
                <w:rFonts w:ascii="宋体" w:hAnsi="宋体"/>
              </w:rPr>
            </w:pPr>
            <w:r>
              <w:rPr>
                <w:rFonts w:hint="eastAsia" w:ascii="宋体" w:hAnsi="宋体"/>
              </w:rPr>
              <w:t>打印机</w:t>
            </w:r>
          </w:p>
        </w:tc>
        <w:tc>
          <w:tcPr>
            <w:tcW w:w="3940" w:type="dxa"/>
            <w:gridSpan w:val="2"/>
            <w:noWrap w:val="0"/>
            <w:vAlign w:val="center"/>
          </w:tcPr>
          <w:p>
            <w:pPr>
              <w:adjustRightInd w:val="0"/>
              <w:snapToGrid w:val="0"/>
              <w:spacing w:line="300" w:lineRule="exact"/>
              <w:jc w:val="center"/>
              <w:rPr>
                <w:rFonts w:ascii="宋体" w:hAnsi="宋体"/>
              </w:rPr>
            </w:pPr>
            <w:r>
              <w:rPr>
                <w:rFonts w:hint="eastAsia" w:ascii="宋体" w:hAnsi="宋体"/>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052" w:type="dxa"/>
            <w:noWrap w:val="0"/>
            <w:vAlign w:val="center"/>
          </w:tcPr>
          <w:p>
            <w:pPr>
              <w:adjustRightInd w:val="0"/>
              <w:snapToGrid w:val="0"/>
              <w:spacing w:line="300" w:lineRule="exact"/>
              <w:jc w:val="center"/>
              <w:rPr>
                <w:rFonts w:hint="eastAsia" w:ascii="宋体" w:hAnsi="宋体"/>
              </w:rPr>
            </w:pPr>
            <w:r>
              <w:rPr>
                <w:rFonts w:hint="eastAsia" w:ascii="宋体" w:hAnsi="宋体"/>
              </w:rPr>
              <w:t>中文软件</w:t>
            </w:r>
          </w:p>
        </w:tc>
        <w:tc>
          <w:tcPr>
            <w:tcW w:w="3940" w:type="dxa"/>
            <w:gridSpan w:val="2"/>
            <w:noWrap w:val="0"/>
            <w:vAlign w:val="center"/>
          </w:tcPr>
          <w:p>
            <w:pPr>
              <w:adjustRightInd w:val="0"/>
              <w:snapToGrid w:val="0"/>
              <w:spacing w:line="300" w:lineRule="exact"/>
              <w:jc w:val="center"/>
              <w:rPr>
                <w:rFonts w:hint="eastAsia"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8" w:type="dxa"/>
            <w:gridSpan w:val="2"/>
            <w:noWrap w:val="0"/>
            <w:vAlign w:val="center"/>
          </w:tcPr>
          <w:p>
            <w:pPr>
              <w:spacing w:line="300" w:lineRule="exact"/>
              <w:jc w:val="center"/>
              <w:rPr>
                <w:rFonts w:hint="eastAsia" w:ascii="宋体" w:hAnsi="宋体"/>
              </w:rPr>
            </w:pPr>
            <w:r>
              <w:rPr>
                <w:rFonts w:hint="eastAsia" w:ascii="宋体" w:hAnsi="宋体"/>
              </w:rPr>
              <w:t>操作软件（光盘）</w:t>
            </w:r>
          </w:p>
        </w:tc>
        <w:tc>
          <w:tcPr>
            <w:tcW w:w="3934" w:type="dxa"/>
            <w:noWrap w:val="0"/>
            <w:vAlign w:val="center"/>
          </w:tcPr>
          <w:p>
            <w:pPr>
              <w:spacing w:line="300" w:lineRule="exact"/>
              <w:jc w:val="center"/>
              <w:rPr>
                <w:rFonts w:hint="eastAsia" w:ascii="宋体" w:hAnsi="宋体"/>
              </w:rPr>
            </w:pPr>
            <w:r>
              <w:rPr>
                <w:rFonts w:hint="eastAsia" w:ascii="宋体" w:hAnsi="宋体"/>
              </w:rPr>
              <w:t>1张</w:t>
            </w:r>
          </w:p>
        </w:tc>
      </w:tr>
    </w:tbl>
    <w:p>
      <w:pPr>
        <w:pStyle w:val="2"/>
        <w:rPr>
          <w:rFonts w:hint="eastAsia"/>
          <w:lang w:val="en-US" w:eastAsia="zh-CN"/>
        </w:rPr>
      </w:pP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项目产品基本要求</w:t>
      </w:r>
    </w:p>
    <w:p>
      <w:pPr>
        <w:pStyle w:val="2"/>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2"/>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2"/>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firstLine="422" w:firstLineChars="200"/>
        <w:rPr>
          <w:color w:val="auto"/>
        </w:rPr>
      </w:pPr>
      <w:r>
        <w:rPr>
          <w:rFonts w:hint="eastAsia"/>
          <w:b/>
          <w:bCs/>
          <w:color w:val="FF0000"/>
          <w:sz w:val="21"/>
          <w:szCs w:val="21"/>
        </w:rPr>
        <w:t>★</w:t>
      </w:r>
      <w:r>
        <w:rPr>
          <w:rFonts w:hint="eastAsia"/>
          <w:color w:val="auto"/>
        </w:rPr>
        <w:t>5.投标</w:t>
      </w:r>
      <w:r>
        <w:rPr>
          <w:rFonts w:hint="eastAsia"/>
        </w:rPr>
        <w:t>人在竞价文件中必须提交设备配置清单，如设备有配套试剂及定期更换的配件请投标时与设备一起报价</w:t>
      </w:r>
      <w:r>
        <w:rPr>
          <w:rFonts w:hint="eastAsia"/>
          <w:color w:val="auto"/>
        </w:rPr>
        <w:t>。</w:t>
      </w:r>
    </w:p>
    <w:p>
      <w:pPr>
        <w:pStyle w:val="2"/>
        <w:ind w:left="-708" w:leftChars="-337" w:firstLine="480" w:firstLineChars="200"/>
        <w:rPr>
          <w:rFonts w:hint="eastAsia"/>
          <w:color w:val="auto"/>
        </w:rPr>
      </w:pPr>
      <w:r>
        <w:rPr>
          <w:rFonts w:hint="eastAsia"/>
          <w:color w:val="auto"/>
        </w:rPr>
        <w:t>6.投标人所投产品必须提供产品“三包”服务；定期安排相关人员回访进行质量跟踪；保证提供临床应用和售后技术服务支持方式；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firstLine="422" w:firstLineChars="200"/>
        <w:rPr>
          <w:rFonts w:hint="eastAsia" w:eastAsia="宋体"/>
          <w:color w:val="auto"/>
          <w:lang w:val="en-US" w:eastAsia="zh-CN"/>
        </w:rPr>
      </w:pPr>
      <w:r>
        <w:rPr>
          <w:rFonts w:hint="eastAsia"/>
          <w:b/>
          <w:bCs/>
          <w:color w:val="FF0000"/>
          <w:sz w:val="21"/>
          <w:szCs w:val="21"/>
        </w:rPr>
        <w:t>★</w:t>
      </w:r>
      <w:r>
        <w:rPr>
          <w:rFonts w:hint="eastAsia"/>
          <w:color w:val="auto"/>
          <w:lang w:val="en-US" w:eastAsia="zh-CN"/>
        </w:rPr>
        <w:t>7.</w:t>
      </w:r>
      <w:r>
        <w:rPr>
          <w:rFonts w:hint="eastAsia"/>
        </w:rPr>
        <w:t>中标方</w:t>
      </w:r>
      <w:r>
        <w:rPr>
          <w:rFonts w:hint="eastAsia"/>
          <w:lang w:eastAsia="zh-CN"/>
        </w:rPr>
        <w:t>需承诺</w:t>
      </w:r>
      <w:r>
        <w:rPr>
          <w:rFonts w:hint="eastAsia"/>
        </w:rPr>
        <w:t>完成该仪器与医院提供的LIS及HIS系统连接，并承担接口费用，保证能正常使用，实现医院网络化管理</w:t>
      </w:r>
      <w:r>
        <w:rPr>
          <w:rFonts w:hint="eastAsia"/>
          <w:lang w:eastAsia="zh-CN"/>
        </w:rPr>
        <w:t>。</w:t>
      </w:r>
    </w:p>
    <w:p>
      <w:pPr>
        <w:pStyle w:val="2"/>
        <w:ind w:left="-708" w:leftChars="-337" w:firstLine="480" w:firstLineChars="200"/>
        <w:rPr>
          <w:rFonts w:hint="eastAsia"/>
          <w:color w:val="auto"/>
        </w:rPr>
      </w:pPr>
    </w:p>
    <w:p>
      <w:pPr>
        <w:pStyle w:val="2"/>
        <w:ind w:left="-708" w:leftChars="-337"/>
        <w:rPr>
          <w:rFonts w:cs="宋体"/>
          <w:b/>
          <w:bCs/>
        </w:rPr>
      </w:pPr>
      <w:r>
        <w:rPr>
          <w:rFonts w:hint="eastAsia" w:cs="宋体"/>
          <w:b/>
          <w:bCs/>
        </w:rPr>
        <w:t>（四）商务要求</w:t>
      </w:r>
    </w:p>
    <w:p>
      <w:pPr>
        <w:pStyle w:val="2"/>
        <w:ind w:left="-708" w:leftChars="-337" w:firstLine="482" w:firstLineChars="200"/>
        <w:rPr>
          <w:rFonts w:cs="宋体"/>
        </w:rPr>
      </w:pPr>
      <w:r>
        <w:rPr>
          <w:rFonts w:hint="eastAsia" w:cs="宋体"/>
          <w:b/>
          <w:bCs/>
        </w:rPr>
        <w:t>1.投标人资格要求</w:t>
      </w:r>
    </w:p>
    <w:p>
      <w:pPr>
        <w:pStyle w:val="2"/>
        <w:ind w:left="-708" w:leftChars="-337" w:firstLine="480" w:firstLineChars="200"/>
        <w:rPr>
          <w:rFonts w:cs="宋体"/>
        </w:rPr>
      </w:pPr>
      <w:r>
        <w:rPr>
          <w:rFonts w:hint="eastAsia" w:cs="宋体"/>
        </w:rPr>
        <w:t>1）投标人为独立法人，并具备统一社会信用代码。</w:t>
      </w:r>
    </w:p>
    <w:p>
      <w:pPr>
        <w:pStyle w:val="2"/>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2"/>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2"/>
        <w:ind w:left="-708" w:leftChars="-337" w:firstLine="482" w:firstLineChars="200"/>
        <w:rPr>
          <w:rFonts w:cs="宋体"/>
          <w:b/>
          <w:bCs/>
        </w:rPr>
      </w:pPr>
      <w:r>
        <w:rPr>
          <w:rFonts w:hint="eastAsia" w:cs="宋体"/>
          <w:b/>
          <w:bCs/>
        </w:rPr>
        <w:t>2.投标产品资格要求</w:t>
      </w:r>
    </w:p>
    <w:p>
      <w:pPr>
        <w:pStyle w:val="2"/>
        <w:ind w:left="-708" w:leftChars="-337" w:firstLine="480" w:firstLineChars="200"/>
        <w:rPr>
          <w:rFonts w:cs="宋体"/>
        </w:rPr>
      </w:pPr>
      <w:r>
        <w:rPr>
          <w:rFonts w:hint="eastAsia" w:cs="宋体"/>
        </w:rPr>
        <w:t>1）本项目支持创新产品、节能优化产品、环境标识产品、中小企业发展等政府采购政策。</w:t>
      </w:r>
    </w:p>
    <w:p>
      <w:pPr>
        <w:pStyle w:val="2"/>
        <w:ind w:left="-708" w:leftChars="-337" w:firstLine="211" w:firstLineChars="100"/>
      </w:pPr>
      <w:r>
        <w:rPr>
          <w:rFonts w:hint="eastAsia"/>
          <w:b/>
          <w:bCs/>
          <w:color w:val="FF0000"/>
          <w:sz w:val="21"/>
          <w:szCs w:val="21"/>
        </w:rPr>
        <w:t xml:space="preserve">★ </w:t>
      </w:r>
      <w:r>
        <w:rPr>
          <w:rFonts w:hint="eastAsia"/>
        </w:rPr>
        <w:t>2）投标人所投产品要求包含以下相关证件：</w:t>
      </w:r>
      <w:r>
        <w:rPr>
          <w:rFonts w:hint="eastAsia"/>
          <w:highlight w:val="yellow"/>
        </w:rPr>
        <w:t>投标公司的《医疗器械经营许可证》、生产厂家的《医疗器械生产许可证》、设备的《医疗器械注册证》</w:t>
      </w:r>
    </w:p>
    <w:p>
      <w:pPr>
        <w:pStyle w:val="2"/>
        <w:ind w:left="-708" w:leftChars="-337" w:firstLine="482" w:firstLineChars="200"/>
      </w:pPr>
      <w:r>
        <w:rPr>
          <w:rFonts w:hint="eastAsia"/>
          <w:b/>
          <w:bCs/>
        </w:rPr>
        <w:t>3.售后服务和资质</w:t>
      </w:r>
    </w:p>
    <w:p>
      <w:pPr>
        <w:pStyle w:val="2"/>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2.质保期：设备安装完毕通过验收投入使用之日起整机免费保修至少一年,</w:t>
      </w:r>
      <w:r>
        <w:rPr>
          <w:rFonts w:hint="eastAsia" w:ascii="宋体" w:hAnsi="宋体" w:cs="宋体"/>
          <w:color w:val="000000" w:themeColor="text1"/>
          <w:szCs w:val="21"/>
          <w14:textFill>
            <w14:solidFill>
              <w14:schemeClr w14:val="tx1"/>
            </w14:solidFill>
          </w14:textFill>
        </w:rPr>
        <w:t>质保期内所有由于质量问题导致的硬件产品故障以保修、人工及更换备件标准上门服务并提供终身维护。并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按国家有关产品“三包”规定执行“三包”，交货验收合格之日起所有软硬件设备、配件提供至少五年的质保及软件升级服务</w:t>
      </w:r>
      <w:r>
        <w:rPr>
          <w:rFonts w:hint="eastAsia" w:ascii="宋体" w:hAnsi="宋体" w:cs="宋体"/>
          <w:color w:val="000000" w:themeColor="text1"/>
          <w:szCs w:val="21"/>
          <w14:textFill>
            <w14:solidFill>
              <w14:schemeClr w14:val="tx1"/>
            </w14:solidFill>
          </w14:textFill>
        </w:rPr>
        <w:t>。质保期满前1个月内成交供应商应负责一次全面检查。</w:t>
      </w:r>
    </w:p>
    <w:p>
      <w:pPr>
        <w:pStyle w:val="2"/>
        <w:ind w:left="-708" w:leftChars="-337" w:firstLine="480" w:firstLineChars="200"/>
        <w:rPr>
          <w:rFonts w:ascii="宋体" w:hAnsi="宋体" w:cs="宋体"/>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p>
    <w:p>
      <w:pPr>
        <w:pStyle w:val="2"/>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s="宋体"/>
        </w:rPr>
        <w:t>4.签订合同后，</w:t>
      </w:r>
      <w:r>
        <w:rPr>
          <w:rFonts w:hint="eastAsia" w:ascii="宋体" w:hAnsi="宋体" w:cs="宋体"/>
          <w:color w:val="FF0000"/>
          <w:u w:val="single"/>
          <w:lang w:val="en-US" w:eastAsia="zh-CN"/>
        </w:rPr>
        <w:t>30</w:t>
      </w:r>
      <w:r>
        <w:rPr>
          <w:rFonts w:hint="eastAsia" w:ascii="宋体" w:hAnsi="宋体" w:cs="宋体"/>
        </w:rPr>
        <w:t>天内仪器设备安装调试结束并交付使用，要求（1）</w:t>
      </w:r>
      <w:r>
        <w:rPr>
          <w:rFonts w:hint="eastAsia" w:ascii="宋体" w:hAnsi="宋体" w:cs="宋体"/>
          <w:color w:val="000000" w:themeColor="text1"/>
          <w14:textFill>
            <w14:solidFill>
              <w14:schemeClr w14:val="tx1"/>
            </w14:solidFill>
          </w14:textFill>
        </w:rPr>
        <w:t>免费送货上门、免费安装调试至设备到达最佳状态、免费培训操作人员。（2）免费送货上门，免费安装调试（仪器到货后1周内到用户处安装调试），免费培训1～2名操作人员至能完全独立操作及日常维护。</w:t>
      </w:r>
    </w:p>
    <w:p>
      <w:pPr>
        <w:pStyle w:val="2"/>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2"/>
        <w:ind w:left="-708" w:leftChars="-337" w:firstLine="480" w:firstLineChars="200"/>
      </w:pPr>
      <w:r>
        <w:rPr>
          <w:rFonts w:hint="eastAsia" w:cs="宋体"/>
        </w:rPr>
        <w:t>5.交货地点为：</w:t>
      </w:r>
      <w:r>
        <w:rPr>
          <w:rFonts w:hint="eastAsia" w:cs="宋体"/>
          <w:highlight w:val="yellow"/>
        </w:rPr>
        <w:t>广西壮族自治区桂东人民医院指定地点</w:t>
      </w:r>
      <w:r>
        <w:t xml:space="preserve">     </w:t>
      </w:r>
    </w:p>
    <w:p>
      <w:pPr>
        <w:pStyle w:val="2"/>
        <w:ind w:left="-708" w:leftChars="-337" w:firstLine="480" w:firstLineChars="200"/>
      </w:pPr>
      <w:r>
        <w:rPr>
          <w:rFonts w:hint="eastAsia"/>
        </w:rPr>
        <w:t>6.付款方式：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rPr>
        <w:t>90%</w:t>
      </w:r>
      <w:r>
        <w:rPr>
          <w:rFonts w:hint="eastAsia" w:cs="宋体"/>
          <w:kern w:val="0"/>
          <w:sz w:val="24"/>
          <w:szCs w:val="24"/>
        </w:rPr>
        <w:t xml:space="preserve"> ，其</w:t>
      </w:r>
      <w:r>
        <w:rPr>
          <w:rFonts w:hint="eastAsia" w:ascii="宋体" w:hAnsi="宋体" w:eastAsia="宋体" w:cs="宋体"/>
          <w:b/>
          <w:bCs/>
          <w:color w:val="auto"/>
          <w:sz w:val="24"/>
          <w:szCs w:val="24"/>
          <w:u w:val="single"/>
        </w:rPr>
        <w:t>余</w:t>
      </w:r>
      <w:r>
        <w:rPr>
          <w:rFonts w:hint="eastAsia" w:ascii="宋体" w:hAnsi="宋体" w:eastAsia="宋体" w:cs="宋体"/>
          <w:b/>
          <w:bCs/>
          <w:color w:val="auto"/>
          <w:sz w:val="24"/>
          <w:szCs w:val="24"/>
          <w:u w:val="single"/>
          <w:lang w:val="en-US" w:eastAsia="zh-CN"/>
        </w:rPr>
        <w:t>10</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eastAsia="zh-CN"/>
        </w:rPr>
        <w:t>及</w:t>
      </w:r>
      <w:r>
        <w:rPr>
          <w:rFonts w:hint="eastAsia" w:ascii="宋体" w:hAnsi="宋体" w:eastAsia="宋体" w:cs="宋体"/>
          <w:b/>
          <w:bCs/>
          <w:color w:val="auto"/>
          <w:sz w:val="24"/>
          <w:szCs w:val="24"/>
          <w:u w:val="single"/>
        </w:rPr>
        <w:t>投标保证金</w:t>
      </w:r>
      <w:r>
        <w:rPr>
          <w:rFonts w:hint="eastAsia" w:ascii="宋体" w:hAnsi="宋体" w:eastAsia="宋体" w:cs="宋体"/>
          <w:b/>
          <w:bCs/>
          <w:color w:val="auto"/>
          <w:sz w:val="24"/>
          <w:szCs w:val="24"/>
          <w:u w:val="single"/>
          <w:lang w:eastAsia="zh-CN"/>
        </w:rPr>
        <w:t>壹</w:t>
      </w:r>
      <w:r>
        <w:rPr>
          <w:rFonts w:hint="eastAsia" w:ascii="宋体" w:hAnsi="宋体" w:eastAsia="宋体" w:cs="宋体"/>
          <w:b/>
          <w:bCs/>
          <w:color w:val="auto"/>
          <w:sz w:val="24"/>
          <w:szCs w:val="24"/>
          <w:u w:val="single"/>
        </w:rPr>
        <w:t>仟</w:t>
      </w:r>
      <w:r>
        <w:rPr>
          <w:rFonts w:hint="eastAsia" w:ascii="宋体" w:hAnsi="宋体" w:eastAsia="宋体" w:cs="宋体"/>
          <w:b/>
          <w:bCs/>
          <w:color w:val="auto"/>
          <w:sz w:val="24"/>
          <w:szCs w:val="24"/>
          <w:u w:val="single"/>
          <w:lang w:eastAsia="zh-CN"/>
        </w:rPr>
        <w:t>元</w:t>
      </w:r>
      <w:r>
        <w:rPr>
          <w:rFonts w:hint="eastAsia" w:ascii="宋体" w:hAnsi="宋体" w:eastAsia="宋体" w:cs="宋体"/>
          <w:b/>
          <w:bCs/>
          <w:color w:val="auto"/>
          <w:sz w:val="24"/>
          <w:szCs w:val="24"/>
          <w:u w:val="single"/>
        </w:rPr>
        <w:t>整（¥</w:t>
      </w:r>
      <w:r>
        <w:rPr>
          <w:rFonts w:hint="eastAsia" w:ascii="宋体" w:hAnsi="宋体" w:eastAsia="宋体" w:cs="宋体"/>
          <w:b/>
          <w:bCs/>
          <w:color w:val="auto"/>
          <w:sz w:val="24"/>
          <w:szCs w:val="24"/>
          <w:u w:val="single"/>
          <w:lang w:val="en-US" w:eastAsia="zh-CN"/>
        </w:rPr>
        <w:t xml:space="preserve">1 </w:t>
      </w:r>
      <w:r>
        <w:rPr>
          <w:rFonts w:hint="eastAsia" w:ascii="宋体" w:hAnsi="宋体" w:eastAsia="宋体" w:cs="宋体"/>
          <w:b/>
          <w:bCs/>
          <w:color w:val="auto"/>
          <w:sz w:val="24"/>
          <w:szCs w:val="24"/>
          <w:u w:val="single"/>
        </w:rPr>
        <w:t>000.00</w:t>
      </w:r>
      <w:r>
        <w:rPr>
          <w:rFonts w:hint="eastAsia" w:ascii="宋体" w:hAnsi="宋体" w:eastAsia="宋体" w:cs="宋体"/>
          <w:b/>
          <w:bCs/>
          <w:color w:val="auto"/>
          <w:sz w:val="24"/>
          <w:szCs w:val="24"/>
          <w:u w:val="single"/>
          <w:lang w:eastAsia="zh-CN"/>
        </w:rPr>
        <w:t>元整）</w:t>
      </w:r>
      <w:r>
        <w:rPr>
          <w:rFonts w:hint="eastAsia" w:ascii="宋体" w:hAnsi="宋体" w:eastAsia="宋体" w:cs="宋体"/>
          <w:b/>
          <w:bCs/>
          <w:color w:val="auto"/>
          <w:sz w:val="24"/>
          <w:szCs w:val="24"/>
          <w:u w:val="single"/>
        </w:rPr>
        <w:t>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w:t>
      </w:r>
      <w:r>
        <w:rPr>
          <w:rFonts w:hint="eastAsia" w:cs="宋体"/>
          <w:kern w:val="0"/>
          <w:sz w:val="24"/>
          <w:szCs w:val="24"/>
          <w:highlight w:val="yellow"/>
        </w:rPr>
        <w:t xml:space="preserve"> </w:t>
      </w:r>
      <w:r>
        <w:rPr>
          <w:rFonts w:hint="eastAsia" w:cs="宋体"/>
          <w:kern w:val="0"/>
          <w:sz w:val="24"/>
          <w:szCs w:val="24"/>
          <w:lang w:eastAsia="zh-CN"/>
        </w:rPr>
        <w:t>质保期满后</w:t>
      </w:r>
      <w:r>
        <w:rPr>
          <w:rFonts w:hint="eastAsia" w:cs="宋体"/>
          <w:kern w:val="0"/>
          <w:sz w:val="24"/>
          <w:szCs w:val="24"/>
        </w:rPr>
        <w:t>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b/>
            <w:bCs/>
            <w:kern w:val="0"/>
            <w:sz w:val="24"/>
            <w:szCs w:val="24"/>
            <w:u w:val="single"/>
          </w:rPr>
        </w:sdtEndPr>
        <w:sdtContent>
          <w:r>
            <w:rPr>
              <w:rFonts w:hint="eastAsia" w:cs="宋体"/>
              <w:b/>
              <w:bCs/>
              <w:kern w:val="0"/>
              <w:sz w:val="24"/>
              <w:szCs w:val="24"/>
              <w:u w:val="single"/>
            </w:rPr>
            <w:t>综合评分法</w:t>
          </w:r>
        </w:sdtContent>
      </w:sdt>
      <w:r>
        <w:rPr>
          <w:rFonts w:cs="宋体"/>
          <w:b/>
          <w:bCs/>
          <w:kern w:val="0"/>
          <w:sz w:val="24"/>
          <w:szCs w:val="24"/>
          <w:u w:val="single"/>
        </w:rPr>
        <w:t xml:space="preserve"> </w:t>
      </w:r>
      <w:r>
        <w:rPr>
          <w:rFonts w:hint="eastAsia" w:cs="宋体"/>
          <w:kern w:val="0"/>
          <w:sz w:val="24"/>
          <w:szCs w:val="24"/>
        </w:rPr>
        <w:t>确定中标候选人。</w:t>
      </w:r>
    </w:p>
    <w:p>
      <w:pPr>
        <w:pStyle w:val="2"/>
      </w:pP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45AF2"/>
    <w:rsid w:val="003C3AB5"/>
    <w:rsid w:val="003E7DC1"/>
    <w:rsid w:val="00474079"/>
    <w:rsid w:val="004C7EB2"/>
    <w:rsid w:val="004D08F5"/>
    <w:rsid w:val="004D2825"/>
    <w:rsid w:val="004F5A76"/>
    <w:rsid w:val="005007DD"/>
    <w:rsid w:val="005D491D"/>
    <w:rsid w:val="006431C4"/>
    <w:rsid w:val="00654BC6"/>
    <w:rsid w:val="00684BD7"/>
    <w:rsid w:val="006A12DF"/>
    <w:rsid w:val="006E5543"/>
    <w:rsid w:val="006F775C"/>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20E88"/>
    <w:rsid w:val="00C33384"/>
    <w:rsid w:val="00C762C8"/>
    <w:rsid w:val="00C97AD7"/>
    <w:rsid w:val="00CC2DEE"/>
    <w:rsid w:val="00CD27A2"/>
    <w:rsid w:val="00D2685D"/>
    <w:rsid w:val="00D41CB5"/>
    <w:rsid w:val="00D57065"/>
    <w:rsid w:val="00DB5864"/>
    <w:rsid w:val="00E14108"/>
    <w:rsid w:val="00E72BBE"/>
    <w:rsid w:val="00EB1C9B"/>
    <w:rsid w:val="00ED5546"/>
    <w:rsid w:val="04A66578"/>
    <w:rsid w:val="04F07B21"/>
    <w:rsid w:val="06D05B2E"/>
    <w:rsid w:val="06F5741C"/>
    <w:rsid w:val="07D63618"/>
    <w:rsid w:val="08646E76"/>
    <w:rsid w:val="09C53074"/>
    <w:rsid w:val="09C85F7A"/>
    <w:rsid w:val="0A0362F9"/>
    <w:rsid w:val="0BC91684"/>
    <w:rsid w:val="0DDF6528"/>
    <w:rsid w:val="0EAF35B4"/>
    <w:rsid w:val="0FBD18F4"/>
    <w:rsid w:val="10C44FE5"/>
    <w:rsid w:val="10C97A40"/>
    <w:rsid w:val="10D00951"/>
    <w:rsid w:val="112C6057"/>
    <w:rsid w:val="122B15C9"/>
    <w:rsid w:val="140D1AAC"/>
    <w:rsid w:val="144B713C"/>
    <w:rsid w:val="14A4200E"/>
    <w:rsid w:val="14BA18FD"/>
    <w:rsid w:val="16DE1BA1"/>
    <w:rsid w:val="175D42E5"/>
    <w:rsid w:val="17BE7C25"/>
    <w:rsid w:val="1A5D5E77"/>
    <w:rsid w:val="1ADD6755"/>
    <w:rsid w:val="1BD17F27"/>
    <w:rsid w:val="1C7A583D"/>
    <w:rsid w:val="1CDA5E97"/>
    <w:rsid w:val="1D0B56BA"/>
    <w:rsid w:val="1E7B30DA"/>
    <w:rsid w:val="1F947BE9"/>
    <w:rsid w:val="1FB36A5F"/>
    <w:rsid w:val="204E6A4B"/>
    <w:rsid w:val="214F4DED"/>
    <w:rsid w:val="2218153E"/>
    <w:rsid w:val="22BD2FB3"/>
    <w:rsid w:val="23F9728E"/>
    <w:rsid w:val="246B74DB"/>
    <w:rsid w:val="24FD4D83"/>
    <w:rsid w:val="250709CF"/>
    <w:rsid w:val="251A729B"/>
    <w:rsid w:val="252E3513"/>
    <w:rsid w:val="26582593"/>
    <w:rsid w:val="26A34BB6"/>
    <w:rsid w:val="26A36964"/>
    <w:rsid w:val="26ED7BDF"/>
    <w:rsid w:val="2D68718B"/>
    <w:rsid w:val="2E44559E"/>
    <w:rsid w:val="2E830A09"/>
    <w:rsid w:val="2FA71273"/>
    <w:rsid w:val="3194337D"/>
    <w:rsid w:val="32110C25"/>
    <w:rsid w:val="34425A0E"/>
    <w:rsid w:val="34642367"/>
    <w:rsid w:val="34853AA5"/>
    <w:rsid w:val="34CC4FFC"/>
    <w:rsid w:val="3737378F"/>
    <w:rsid w:val="37585483"/>
    <w:rsid w:val="3806606D"/>
    <w:rsid w:val="38C93665"/>
    <w:rsid w:val="38F605A0"/>
    <w:rsid w:val="397701BE"/>
    <w:rsid w:val="3A0D261A"/>
    <w:rsid w:val="3ACC5F8D"/>
    <w:rsid w:val="3B0752BB"/>
    <w:rsid w:val="3B5B69F6"/>
    <w:rsid w:val="3CE60193"/>
    <w:rsid w:val="3D1B32A0"/>
    <w:rsid w:val="3F376133"/>
    <w:rsid w:val="3F5D12BF"/>
    <w:rsid w:val="41366ED0"/>
    <w:rsid w:val="4286740D"/>
    <w:rsid w:val="42D10E7F"/>
    <w:rsid w:val="42F56341"/>
    <w:rsid w:val="45883236"/>
    <w:rsid w:val="45EB3B06"/>
    <w:rsid w:val="46BA3873"/>
    <w:rsid w:val="480C5CBF"/>
    <w:rsid w:val="492E435B"/>
    <w:rsid w:val="492F5696"/>
    <w:rsid w:val="4AB10DA0"/>
    <w:rsid w:val="4AB35768"/>
    <w:rsid w:val="4C7F2195"/>
    <w:rsid w:val="4E7A2EF9"/>
    <w:rsid w:val="4EA77BEE"/>
    <w:rsid w:val="51976B19"/>
    <w:rsid w:val="52744CA6"/>
    <w:rsid w:val="52EA0FEF"/>
    <w:rsid w:val="539B006B"/>
    <w:rsid w:val="53D855EF"/>
    <w:rsid w:val="54263430"/>
    <w:rsid w:val="55A1282D"/>
    <w:rsid w:val="56791B90"/>
    <w:rsid w:val="57BC2879"/>
    <w:rsid w:val="58AB32D2"/>
    <w:rsid w:val="58BA59F2"/>
    <w:rsid w:val="5B4517BC"/>
    <w:rsid w:val="5BCB48E6"/>
    <w:rsid w:val="5BD2436E"/>
    <w:rsid w:val="5CA22C3E"/>
    <w:rsid w:val="5CD96603"/>
    <w:rsid w:val="5DEB0F45"/>
    <w:rsid w:val="5E116BDB"/>
    <w:rsid w:val="5EC0115A"/>
    <w:rsid w:val="5FBF1411"/>
    <w:rsid w:val="5FBF74F7"/>
    <w:rsid w:val="601E082E"/>
    <w:rsid w:val="60433DF0"/>
    <w:rsid w:val="60A26D69"/>
    <w:rsid w:val="619A0388"/>
    <w:rsid w:val="61DA42C9"/>
    <w:rsid w:val="622562E9"/>
    <w:rsid w:val="62424D8A"/>
    <w:rsid w:val="62FE6288"/>
    <w:rsid w:val="648F0FD0"/>
    <w:rsid w:val="659C46CE"/>
    <w:rsid w:val="66122DE8"/>
    <w:rsid w:val="66C8679B"/>
    <w:rsid w:val="67DF6AF4"/>
    <w:rsid w:val="68861BB7"/>
    <w:rsid w:val="68C10ACC"/>
    <w:rsid w:val="691F78D0"/>
    <w:rsid w:val="69333123"/>
    <w:rsid w:val="6AAD6A36"/>
    <w:rsid w:val="6B7C465A"/>
    <w:rsid w:val="6C465394"/>
    <w:rsid w:val="6DD0797D"/>
    <w:rsid w:val="71747D49"/>
    <w:rsid w:val="722A12B4"/>
    <w:rsid w:val="72933F95"/>
    <w:rsid w:val="74017DF2"/>
    <w:rsid w:val="74B5471E"/>
    <w:rsid w:val="75661EAC"/>
    <w:rsid w:val="76D6141B"/>
    <w:rsid w:val="778C3E77"/>
    <w:rsid w:val="77C67389"/>
    <w:rsid w:val="787212BF"/>
    <w:rsid w:val="7923015C"/>
    <w:rsid w:val="79FC3536"/>
    <w:rsid w:val="7AB72C56"/>
    <w:rsid w:val="7BF429B9"/>
    <w:rsid w:val="7CBA6985"/>
    <w:rsid w:val="7E176B90"/>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5"/>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paragraph" w:styleId="9">
    <w:name w:val="Body Text First Indent"/>
    <w:basedOn w:val="4"/>
    <w:unhideWhenUsed/>
    <w:qFormat/>
    <w:uiPriority w:val="99"/>
    <w:pPr>
      <w:ind w:firstLine="420" w:firstLineChars="100"/>
    </w:p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2"/>
    <w:link w:val="7"/>
    <w:qFormat/>
    <w:uiPriority w:val="99"/>
    <w:rPr>
      <w:rFonts w:ascii="Times New Roman" w:hAnsi="Times New Roman" w:eastAsia="宋体" w:cs="Times New Roman"/>
      <w:sz w:val="18"/>
      <w:szCs w:val="18"/>
    </w:rPr>
  </w:style>
  <w:style w:type="character" w:customStyle="1" w:styleId="21">
    <w:name w:val="页脚 字符"/>
    <w:basedOn w:val="12"/>
    <w:link w:val="6"/>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paragraph" w:customStyle="1" w:styleId="23">
    <w:name w:val="样式1"/>
    <w:basedOn w:val="1"/>
    <w:qFormat/>
    <w:uiPriority w:val="0"/>
  </w:style>
  <w:style w:type="paragraph" w:customStyle="1" w:styleId="24">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01D3A"/>
    <w:rsid w:val="007311C2"/>
    <w:rsid w:val="0080285A"/>
    <w:rsid w:val="00D661F9"/>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3694</Words>
  <Characters>3914</Characters>
  <Lines>27</Lines>
  <Paragraphs>7</Paragraphs>
  <TotalTime>0</TotalTime>
  <ScaleCrop>false</ScaleCrop>
  <LinksUpToDate>false</LinksUpToDate>
  <CharactersWithSpaces>3948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2022-06-27T08:33:14Z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530341C43AEF48B6BD2D245A82FEDE8F</vt:lpwstr>
  </property>
</Properties>
</file>