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b/>
          <w:bCs/>
          <w:sz w:val="24"/>
          <w:szCs w:val="24"/>
          <w:u w:val="single"/>
          <w:lang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r>
        <w:rPr>
          <w:rStyle w:val="10"/>
          <w:rFonts w:hint="eastAsia" w:ascii="Calibri" w:hAnsi="Calibri"/>
          <w:b/>
          <w:bCs/>
          <w:sz w:val="24"/>
          <w:szCs w:val="24"/>
          <w:u w:val="single"/>
          <w:lang w:eastAsia="zh-CN"/>
        </w:rPr>
        <w:t xml:space="preserve">心外科医疗设备一批 </w:t>
      </w:r>
    </w:p>
    <w:p>
      <w:pPr>
        <w:pStyle w:val="2"/>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48</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462564073"/>
      <w:bookmarkEnd w:id="11"/>
      <w:bookmarkStart w:id="12" w:name="_Toc20823286"/>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16938548"/>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20823306"/>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513029236"/>
      <w:bookmarkEnd w:id="38"/>
      <w:bookmarkStart w:id="39" w:name="_Toc120614220"/>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1DA1AE0"/>
    <w:rsid w:val="1C045EE6"/>
    <w:rsid w:val="1E3E1A15"/>
    <w:rsid w:val="3306410A"/>
    <w:rsid w:val="625E72F1"/>
    <w:rsid w:val="696D39A5"/>
    <w:rsid w:val="6BDD07A9"/>
    <w:rsid w:val="79761D4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6964</Words>
  <Characters>7507</Characters>
  <Lines>62</Lines>
  <Paragraphs>17</Paragraphs>
  <TotalTime>0</TotalTime>
  <ScaleCrop>false</ScaleCrop>
  <LinksUpToDate>false</LinksUpToDate>
  <CharactersWithSpaces>8444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2022-08-02T07:58:40Z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08563293BB9D4BBE8BC2D52C4AB1AB25</vt:lpwstr>
  </property>
</Properties>
</file>