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6"/>
        <w:ind w:left="-500" w:leftChars="-238" w:firstLine="559" w:firstLineChars="199"/>
        <w:rPr>
          <w:color w:val="FF0000"/>
          <w:sz w:val="28"/>
          <w:szCs w:val="28"/>
        </w:rPr>
      </w:pPr>
      <w:r>
        <w:rPr>
          <w:rFonts w:hint="eastAsia"/>
          <w:b/>
          <w:bCs/>
          <w:color w:val="FF0000"/>
          <w:sz w:val="28"/>
          <w:szCs w:val="28"/>
        </w:rPr>
        <w:t>★ 部分为核心参数</w:t>
      </w:r>
      <w:r>
        <w:rPr>
          <w:rFonts w:hint="eastAsia"/>
          <w:color w:val="FF0000"/>
          <w:sz w:val="28"/>
          <w:szCs w:val="28"/>
        </w:rPr>
        <w:t>：</w:t>
      </w:r>
      <w:r>
        <w:rPr>
          <w:rFonts w:hint="eastAsia" w:ascii="宋体" w:hAnsi="宋体" w:eastAsia="宋体" w:cs="宋体"/>
          <w:b w:val="0"/>
          <w:bCs w:val="0"/>
          <w:color w:val="FF0000"/>
          <w:kern w:val="0"/>
          <w:sz w:val="28"/>
          <w:szCs w:val="28"/>
          <w:lang w:val="en-US" w:eastAsia="zh-CN" w:bidi="ar"/>
        </w:rPr>
        <w:t>若有任何一条负偏离或不满足则导致投标（响应）无效。</w:t>
      </w:r>
    </w:p>
    <w:p>
      <w:pPr>
        <w:pStyle w:val="16"/>
        <w:ind w:left="-500" w:leftChars="-238" w:firstLine="559" w:firstLineChars="199"/>
        <w:rPr>
          <w:rFonts w:hint="eastAsia"/>
          <w:color w:val="FF0000"/>
          <w:sz w:val="28"/>
          <w:szCs w:val="28"/>
        </w:rPr>
      </w:pPr>
      <w:r>
        <w:rPr>
          <w:rFonts w:hint="eastAsia"/>
          <w:b/>
          <w:bCs/>
          <w:color w:val="FF0000"/>
          <w:sz w:val="28"/>
          <w:szCs w:val="28"/>
        </w:rPr>
        <w:t>其他为一般指标要求</w:t>
      </w:r>
      <w:r>
        <w:rPr>
          <w:rFonts w:hint="eastAsia"/>
          <w:color w:val="FF0000"/>
          <w:sz w:val="28"/>
          <w:szCs w:val="28"/>
        </w:rPr>
        <w:t>：优于该条件的为正偏离，评审时加分，不满足的为负偏离，评审时予以扣分。</w:t>
      </w:r>
    </w:p>
    <w:p>
      <w:pPr>
        <w:pStyle w:val="3"/>
        <w:spacing w:line="240" w:lineRule="auto"/>
        <w:jc w:val="left"/>
        <w:rPr>
          <w:rFonts w:ascii="宋体" w:hAnsi="宋体"/>
          <w:sz w:val="28"/>
          <w:szCs w:val="28"/>
        </w:rPr>
      </w:pPr>
      <w:r>
        <w:rPr>
          <w:rFonts w:hint="eastAsia" w:cs="宋体" w:asciiTheme="minorEastAsia" w:hAnsiTheme="minorEastAsia" w:eastAsiaTheme="minorEastAsia"/>
          <w:color w:val="333333"/>
          <w:sz w:val="28"/>
          <w:szCs w:val="28"/>
          <w:lang w:eastAsia="zh-CN"/>
        </w:rPr>
        <w:t>一、</w:t>
      </w:r>
      <w:r>
        <w:rPr>
          <w:rFonts w:hint="eastAsia" w:cs="宋体" w:asciiTheme="minorEastAsia" w:hAnsiTheme="minorEastAsia" w:eastAsiaTheme="minorEastAsia"/>
          <w:color w:val="333333"/>
          <w:sz w:val="28"/>
          <w:szCs w:val="28"/>
        </w:rPr>
        <w:t>项目采购需求</w:t>
      </w:r>
      <w:r>
        <w:rPr>
          <w:rFonts w:hint="eastAsia" w:ascii="宋体" w:hAnsi="宋体"/>
          <w:sz w:val="28"/>
          <w:szCs w:val="28"/>
        </w:rPr>
        <w:t>说明：</w:t>
      </w:r>
    </w:p>
    <w:p>
      <w:pPr>
        <w:spacing w:beforeLines="50" w:afterLines="50" w:line="360" w:lineRule="auto"/>
        <w:ind w:firstLine="560" w:firstLineChars="200"/>
        <w:rPr>
          <w:rFonts w:ascii="宋体" w:hAnsi="宋体"/>
          <w:sz w:val="28"/>
          <w:szCs w:val="28"/>
        </w:rPr>
      </w:pPr>
      <w:r>
        <w:rPr>
          <w:rFonts w:hint="eastAsia" w:ascii="宋体" w:hAnsi="宋体"/>
          <w:sz w:val="28"/>
          <w:szCs w:val="28"/>
        </w:rPr>
        <w:t>1．招标文件中标注“</w:t>
      </w:r>
      <w:r>
        <w:rPr>
          <w:rFonts w:hint="eastAsia" w:ascii="宋体" w:hAnsi="宋体" w:cs="宋体"/>
          <w:color w:val="000000" w:themeColor="text1"/>
          <w:sz w:val="28"/>
          <w:szCs w:val="28"/>
          <w14:textFill>
            <w14:solidFill>
              <w14:schemeClr w14:val="tx1"/>
            </w14:solidFill>
          </w14:textFill>
        </w:rPr>
        <w:t>★</w:t>
      </w:r>
      <w:r>
        <w:rPr>
          <w:rFonts w:hint="eastAsia" w:ascii="宋体" w:hAnsi="宋体"/>
          <w:sz w:val="28"/>
          <w:szCs w:val="28"/>
        </w:rPr>
        <w:t>”号的条款为实质性条款或指标、要求，必须满足（无偏离）或优于（正偏离），否则其投标作否决投标处理。</w:t>
      </w:r>
    </w:p>
    <w:p>
      <w:pPr>
        <w:spacing w:beforeLines="50" w:afterLines="50" w:line="360" w:lineRule="auto"/>
        <w:ind w:firstLine="560" w:firstLineChars="200"/>
        <w:rPr>
          <w:rFonts w:ascii="宋体" w:hAnsi="宋体"/>
          <w:sz w:val="28"/>
          <w:szCs w:val="28"/>
        </w:rPr>
      </w:pPr>
      <w:r>
        <w:rPr>
          <w:rFonts w:hint="eastAsia" w:ascii="宋体" w:hAnsi="宋体"/>
          <w:sz w:val="28"/>
          <w:szCs w:val="28"/>
        </w:rPr>
        <w:t>2．凡在“技术参数及性能（配置）要求”中表述为“标配”或“标准配置”的设备，投标人应在“设备配置清单”中将其标配参数详细列明。</w:t>
      </w:r>
    </w:p>
    <w:p>
      <w:pPr>
        <w:spacing w:beforeLines="50" w:afterLines="50" w:line="360" w:lineRule="auto"/>
        <w:ind w:firstLine="560" w:firstLineChars="200"/>
        <w:rPr>
          <w:rFonts w:ascii="宋体" w:hAnsi="宋体"/>
          <w:sz w:val="28"/>
          <w:szCs w:val="28"/>
        </w:rPr>
      </w:pPr>
      <w:r>
        <w:rPr>
          <w:rFonts w:hint="eastAsia" w:ascii="宋体" w:hAnsi="宋体"/>
          <w:sz w:val="28"/>
          <w:szCs w:val="28"/>
        </w:rPr>
        <w:t>3．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beforeLines="50" w:afterLines="50" w:line="360" w:lineRule="auto"/>
        <w:ind w:firstLine="560" w:firstLineChars="200"/>
        <w:rPr>
          <w:rFonts w:ascii="宋体" w:hAnsi="宋体"/>
          <w:sz w:val="28"/>
          <w:szCs w:val="28"/>
        </w:rPr>
      </w:pPr>
      <w:r>
        <w:rPr>
          <w:rFonts w:hint="eastAsia" w:ascii="宋体" w:hAnsi="宋体"/>
          <w:sz w:val="28"/>
          <w:szCs w:val="28"/>
        </w:rPr>
        <w:t>4．投标人所投标货物或服务如国家有强制性要求的应按国家规定执行，并提供相关证明材料。</w:t>
      </w:r>
    </w:p>
    <w:p>
      <w:pPr>
        <w:spacing w:beforeLines="50" w:afterLines="50"/>
        <w:rPr>
          <w:rFonts w:ascii="宋体" w:hAnsi="宋体"/>
          <w:b/>
          <w:sz w:val="28"/>
          <w:szCs w:val="28"/>
        </w:rPr>
      </w:pPr>
      <w:r>
        <w:rPr>
          <w:rFonts w:hint="eastAsia" w:ascii="宋体" w:hAnsi="宋体"/>
          <w:b/>
          <w:sz w:val="28"/>
          <w:szCs w:val="28"/>
          <w:lang w:eastAsia="zh-CN"/>
        </w:rPr>
        <w:t>二、</w:t>
      </w:r>
      <w:r>
        <w:rPr>
          <w:rFonts w:ascii="宋体" w:hAnsi="宋体"/>
          <w:b/>
          <w:sz w:val="28"/>
          <w:szCs w:val="28"/>
        </w:rPr>
        <w:t>货物需求一览表</w:t>
      </w:r>
      <w:r>
        <w:rPr>
          <w:rFonts w:hint="eastAsia" w:ascii="宋体" w:hAnsi="宋体"/>
          <w:b/>
          <w:sz w:val="28"/>
          <w:szCs w:val="28"/>
        </w:rPr>
        <w:t>及</w:t>
      </w:r>
      <w:r>
        <w:rPr>
          <w:rFonts w:ascii="宋体" w:hAnsi="宋体"/>
          <w:b/>
          <w:sz w:val="28"/>
          <w:szCs w:val="28"/>
        </w:rPr>
        <w:t>详细技术需求</w:t>
      </w:r>
    </w:p>
    <w:tbl>
      <w:tblPr>
        <w:tblStyle w:val="12"/>
        <w:tblW w:w="10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031"/>
        <w:gridCol w:w="1433"/>
        <w:gridCol w:w="2667"/>
        <w:gridCol w:w="723"/>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105" w:type="dxa"/>
            <w:gridSpan w:val="6"/>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rFonts w:hint="eastAsia"/>
                <w:b/>
                <w:bCs/>
                <w:sz w:val="24"/>
                <w:szCs w:val="24"/>
              </w:rPr>
              <w:t>（一）医院自行</w:t>
            </w:r>
            <w:r>
              <w:rPr>
                <w:rFonts w:hint="eastAsia" w:asciiTheme="minorEastAsia" w:hAnsiTheme="minorEastAsia" w:eastAsiaTheme="minorEastAsia"/>
                <w:b/>
                <w:color w:val="000000" w:themeColor="text1"/>
                <w:sz w:val="24"/>
                <w:szCs w:val="24"/>
                <w14:textFill>
                  <w14:solidFill>
                    <w14:schemeClr w14:val="tx1"/>
                  </w14:solidFill>
                </w14:textFill>
              </w:rPr>
              <w:t>采购的信息化设备清单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Pr>
          <w:p>
            <w:pPr>
              <w:jc w:val="center"/>
              <w:rPr>
                <w:rFonts w:ascii="宋体" w:hAnsi="宋体" w:cs="宋体"/>
                <w:sz w:val="24"/>
                <w:szCs w:val="24"/>
              </w:rPr>
            </w:pPr>
            <w:r>
              <w:rPr>
                <w:rFonts w:hint="eastAsia" w:ascii="宋体" w:hAnsi="宋体" w:cs="宋体"/>
                <w:sz w:val="24"/>
                <w:szCs w:val="24"/>
              </w:rPr>
              <w:t>序号</w:t>
            </w:r>
          </w:p>
        </w:tc>
        <w:tc>
          <w:tcPr>
            <w:tcW w:w="2031" w:type="dxa"/>
          </w:tcPr>
          <w:p>
            <w:pPr>
              <w:jc w:val="center"/>
              <w:rPr>
                <w:rFonts w:ascii="宋体" w:hAnsi="宋体" w:cs="宋体"/>
                <w:sz w:val="24"/>
                <w:szCs w:val="24"/>
              </w:rPr>
            </w:pPr>
            <w:r>
              <w:rPr>
                <w:rFonts w:hint="eastAsia" w:ascii="宋体" w:hAnsi="宋体" w:cs="宋体"/>
                <w:sz w:val="24"/>
                <w:szCs w:val="24"/>
              </w:rPr>
              <w:t>名称</w:t>
            </w:r>
          </w:p>
        </w:tc>
        <w:tc>
          <w:tcPr>
            <w:tcW w:w="1433" w:type="dxa"/>
          </w:tcPr>
          <w:p>
            <w:pPr>
              <w:jc w:val="center"/>
              <w:rPr>
                <w:rFonts w:ascii="宋体" w:hAnsi="宋体" w:cs="宋体"/>
                <w:sz w:val="24"/>
                <w:szCs w:val="24"/>
              </w:rPr>
            </w:pPr>
            <w:r>
              <w:rPr>
                <w:rFonts w:hint="eastAsia" w:ascii="宋体" w:hAnsi="宋体" w:cs="宋体"/>
                <w:sz w:val="24"/>
                <w:szCs w:val="24"/>
              </w:rPr>
              <w:t>参考品牌</w:t>
            </w:r>
          </w:p>
        </w:tc>
        <w:tc>
          <w:tcPr>
            <w:tcW w:w="2667" w:type="dxa"/>
          </w:tcPr>
          <w:p>
            <w:pPr>
              <w:jc w:val="center"/>
              <w:rPr>
                <w:rFonts w:ascii="宋体" w:hAnsi="宋体" w:cs="宋体"/>
                <w:sz w:val="24"/>
                <w:szCs w:val="24"/>
              </w:rPr>
            </w:pPr>
            <w:r>
              <w:rPr>
                <w:rFonts w:hint="eastAsia" w:ascii="宋体" w:hAnsi="宋体" w:cs="宋体"/>
                <w:sz w:val="24"/>
                <w:szCs w:val="24"/>
              </w:rPr>
              <w:t>参数要求</w:t>
            </w:r>
          </w:p>
        </w:tc>
        <w:tc>
          <w:tcPr>
            <w:tcW w:w="723" w:type="dxa"/>
          </w:tcPr>
          <w:p>
            <w:pPr>
              <w:jc w:val="center"/>
              <w:rPr>
                <w:rFonts w:ascii="宋体" w:hAnsi="宋体" w:cs="宋体"/>
                <w:sz w:val="24"/>
                <w:szCs w:val="24"/>
              </w:rPr>
            </w:pPr>
            <w:r>
              <w:rPr>
                <w:rFonts w:hint="eastAsia" w:ascii="宋体" w:hAnsi="宋体" w:cs="宋体"/>
                <w:sz w:val="24"/>
                <w:szCs w:val="24"/>
              </w:rPr>
              <w:t>数量</w:t>
            </w:r>
          </w:p>
        </w:tc>
        <w:tc>
          <w:tcPr>
            <w:tcW w:w="2556" w:type="dxa"/>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1</w:t>
            </w:r>
          </w:p>
        </w:tc>
        <w:tc>
          <w:tcPr>
            <w:tcW w:w="2031" w:type="dxa"/>
            <w:vAlign w:val="center"/>
          </w:tcPr>
          <w:p>
            <w:pPr>
              <w:jc w:val="center"/>
              <w:rPr>
                <w:rFonts w:ascii="宋体" w:hAnsi="宋体" w:cs="宋体"/>
                <w:sz w:val="24"/>
                <w:szCs w:val="24"/>
              </w:rPr>
            </w:pPr>
            <w:r>
              <w:rPr>
                <w:rFonts w:hint="eastAsia" w:ascii="宋体" w:hAnsi="宋体" w:cs="宋体"/>
                <w:sz w:val="24"/>
                <w:szCs w:val="24"/>
              </w:rPr>
              <w:t>交换机</w:t>
            </w:r>
          </w:p>
        </w:tc>
        <w:tc>
          <w:tcPr>
            <w:tcW w:w="1433" w:type="dxa"/>
            <w:vAlign w:val="center"/>
          </w:tcPr>
          <w:p>
            <w:pPr>
              <w:jc w:val="center"/>
              <w:rPr>
                <w:rFonts w:ascii="宋体" w:hAnsi="宋体" w:cs="宋体"/>
                <w:sz w:val="24"/>
                <w:szCs w:val="24"/>
              </w:rPr>
            </w:pPr>
            <w:r>
              <w:rPr>
                <w:rFonts w:hint="eastAsia" w:ascii="宋体" w:hAnsi="宋体" w:cs="宋体"/>
                <w:sz w:val="24"/>
                <w:szCs w:val="24"/>
              </w:rPr>
              <w:t>TP-link（TL-SG1024DT）或同等及以上</w:t>
            </w:r>
          </w:p>
        </w:tc>
        <w:tc>
          <w:tcPr>
            <w:tcW w:w="2667" w:type="dxa"/>
          </w:tcPr>
          <w:p>
            <w:pPr>
              <w:rPr>
                <w:rFonts w:ascii="宋体" w:hAnsi="宋体" w:cs="宋体"/>
                <w:sz w:val="24"/>
                <w:szCs w:val="24"/>
              </w:rPr>
            </w:pPr>
            <w:r>
              <w:rPr>
                <w:rFonts w:hint="eastAsia" w:ascii="宋体" w:hAnsi="宋体" w:cs="宋体"/>
                <w:sz w:val="24"/>
                <w:szCs w:val="24"/>
              </w:rPr>
              <w:t xml:space="preserve">24个10/100/1000Mbps端口交换机 </w:t>
            </w:r>
          </w:p>
        </w:tc>
        <w:tc>
          <w:tcPr>
            <w:tcW w:w="723" w:type="dxa"/>
            <w:vAlign w:val="center"/>
          </w:tcPr>
          <w:p>
            <w:pPr>
              <w:jc w:val="center"/>
              <w:rPr>
                <w:rFonts w:ascii="宋体" w:hAnsi="宋体" w:cs="宋体"/>
                <w:sz w:val="24"/>
                <w:szCs w:val="24"/>
              </w:rPr>
            </w:pPr>
            <w:r>
              <w:rPr>
                <w:rFonts w:hint="eastAsia" w:ascii="宋体" w:hAnsi="宋体" w:cs="宋体"/>
                <w:sz w:val="24"/>
                <w:szCs w:val="24"/>
              </w:rPr>
              <w:t>1台</w:t>
            </w:r>
          </w:p>
        </w:tc>
        <w:tc>
          <w:tcPr>
            <w:tcW w:w="2556" w:type="dxa"/>
          </w:tcPr>
          <w:p>
            <w:pPr>
              <w:rPr>
                <w:rFonts w:ascii="宋体" w:hAnsi="宋体" w:cs="宋体"/>
                <w:sz w:val="24"/>
                <w:szCs w:val="24"/>
              </w:rPr>
            </w:pPr>
            <w:r>
              <w:rPr>
                <w:rFonts w:hint="eastAsia" w:ascii="宋体" w:hAnsi="宋体" w:cs="宋体"/>
                <w:sz w:val="24"/>
                <w:szCs w:val="24"/>
              </w:rPr>
              <w:t>预防保健科数字化IT设备网络接入汇聚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2</w:t>
            </w:r>
          </w:p>
        </w:tc>
        <w:tc>
          <w:tcPr>
            <w:tcW w:w="2031" w:type="dxa"/>
            <w:vAlign w:val="center"/>
          </w:tcPr>
          <w:p>
            <w:pPr>
              <w:jc w:val="center"/>
              <w:rPr>
                <w:rFonts w:ascii="宋体" w:hAnsi="宋体" w:cs="宋体"/>
                <w:sz w:val="24"/>
                <w:szCs w:val="24"/>
              </w:rPr>
            </w:pPr>
            <w:r>
              <w:rPr>
                <w:rFonts w:hint="eastAsia" w:ascii="宋体" w:hAnsi="宋体" w:cs="宋体"/>
                <w:sz w:val="24"/>
                <w:szCs w:val="24"/>
              </w:rPr>
              <w:t>打印机</w:t>
            </w:r>
          </w:p>
        </w:tc>
        <w:tc>
          <w:tcPr>
            <w:tcW w:w="1433" w:type="dxa"/>
            <w:vAlign w:val="center"/>
          </w:tcPr>
          <w:p>
            <w:pPr>
              <w:jc w:val="center"/>
              <w:rPr>
                <w:rFonts w:ascii="宋体" w:hAnsi="宋体" w:cs="宋体"/>
                <w:sz w:val="24"/>
                <w:szCs w:val="24"/>
              </w:rPr>
            </w:pPr>
            <w:r>
              <w:rPr>
                <w:rFonts w:hint="eastAsia" w:ascii="宋体" w:hAnsi="宋体" w:cs="宋体"/>
                <w:sz w:val="24"/>
                <w:szCs w:val="24"/>
              </w:rPr>
              <w:t>惠普 P1108</w:t>
            </w:r>
          </w:p>
        </w:tc>
        <w:tc>
          <w:tcPr>
            <w:tcW w:w="2667" w:type="dxa"/>
          </w:tcPr>
          <w:p>
            <w:pPr>
              <w:rPr>
                <w:rFonts w:ascii="宋体" w:hAnsi="宋体" w:cs="宋体"/>
                <w:sz w:val="24"/>
                <w:szCs w:val="24"/>
              </w:rPr>
            </w:pPr>
            <w:r>
              <w:rPr>
                <w:rFonts w:hint="eastAsia" w:ascii="宋体" w:hAnsi="宋体" w:cs="宋体"/>
                <w:sz w:val="24"/>
                <w:szCs w:val="24"/>
              </w:rPr>
              <w:t>A4激光打印机</w:t>
            </w:r>
          </w:p>
        </w:tc>
        <w:tc>
          <w:tcPr>
            <w:tcW w:w="723" w:type="dxa"/>
            <w:vAlign w:val="center"/>
          </w:tcPr>
          <w:p>
            <w:pPr>
              <w:jc w:val="center"/>
              <w:rPr>
                <w:rFonts w:ascii="宋体" w:hAnsi="宋体" w:cs="宋体"/>
                <w:sz w:val="24"/>
                <w:szCs w:val="24"/>
              </w:rPr>
            </w:pPr>
            <w:r>
              <w:rPr>
                <w:rFonts w:hint="eastAsia" w:ascii="宋体" w:hAnsi="宋体" w:cs="宋体"/>
                <w:sz w:val="24"/>
                <w:szCs w:val="24"/>
              </w:rPr>
              <w:t>1台</w:t>
            </w:r>
          </w:p>
        </w:tc>
        <w:tc>
          <w:tcPr>
            <w:tcW w:w="2556" w:type="dxa"/>
          </w:tcPr>
          <w:p>
            <w:pPr>
              <w:rPr>
                <w:rFonts w:ascii="宋体" w:hAnsi="宋体" w:cs="宋体"/>
                <w:sz w:val="24"/>
                <w:szCs w:val="24"/>
              </w:rPr>
            </w:pPr>
            <w:r>
              <w:rPr>
                <w:rFonts w:hint="eastAsia" w:ascii="宋体" w:hAnsi="宋体" w:cs="宋体"/>
                <w:sz w:val="24"/>
                <w:szCs w:val="24"/>
              </w:rPr>
              <w:t>登记台打印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3</w:t>
            </w:r>
          </w:p>
        </w:tc>
        <w:tc>
          <w:tcPr>
            <w:tcW w:w="2031" w:type="dxa"/>
            <w:vAlign w:val="center"/>
          </w:tcPr>
          <w:p>
            <w:pPr>
              <w:jc w:val="center"/>
              <w:rPr>
                <w:rFonts w:ascii="宋体" w:hAnsi="宋体" w:cs="宋体"/>
                <w:sz w:val="24"/>
                <w:szCs w:val="24"/>
              </w:rPr>
            </w:pPr>
            <w:r>
              <w:rPr>
                <w:rFonts w:hint="eastAsia" w:ascii="宋体" w:hAnsi="宋体" w:cs="宋体"/>
                <w:sz w:val="24"/>
                <w:szCs w:val="24"/>
              </w:rPr>
              <w:t>候诊排队信息屏幕（</w:t>
            </w:r>
            <w:r>
              <w:rPr>
                <w:rFonts w:hint="eastAsia" w:ascii="宋体" w:hAnsi="宋体" w:cs="宋体"/>
                <w:b/>
                <w:sz w:val="24"/>
                <w:szCs w:val="24"/>
              </w:rPr>
              <w:t>登记大屏</w:t>
            </w:r>
            <w:r>
              <w:rPr>
                <w:rFonts w:hint="eastAsia" w:ascii="宋体" w:hAnsi="宋体" w:cs="宋体"/>
                <w:sz w:val="24"/>
                <w:szCs w:val="24"/>
              </w:rPr>
              <w:t>）</w:t>
            </w:r>
          </w:p>
        </w:tc>
        <w:tc>
          <w:tcPr>
            <w:tcW w:w="1433" w:type="dxa"/>
            <w:vAlign w:val="center"/>
          </w:tcPr>
          <w:p>
            <w:pPr>
              <w:jc w:val="center"/>
              <w:rPr>
                <w:rFonts w:ascii="宋体" w:hAnsi="宋体" w:cs="宋体"/>
                <w:sz w:val="24"/>
                <w:szCs w:val="24"/>
              </w:rPr>
            </w:pPr>
            <w:r>
              <w:rPr>
                <w:rFonts w:hint="eastAsia" w:ascii="宋体" w:hAnsi="宋体" w:cs="宋体"/>
                <w:sz w:val="24"/>
                <w:szCs w:val="24"/>
              </w:rPr>
              <w:t>创维或康佳等相关品牌</w:t>
            </w:r>
          </w:p>
        </w:tc>
        <w:tc>
          <w:tcPr>
            <w:tcW w:w="2667" w:type="dxa"/>
          </w:tcPr>
          <w:p>
            <w:pPr>
              <w:rPr>
                <w:rFonts w:ascii="宋体" w:hAnsi="宋体" w:cs="宋体"/>
                <w:sz w:val="24"/>
                <w:szCs w:val="24"/>
              </w:rPr>
            </w:pPr>
            <w:r>
              <w:rPr>
                <w:rFonts w:hint="eastAsia" w:ascii="宋体" w:hAnsi="宋体" w:cs="宋体"/>
                <w:sz w:val="24"/>
                <w:szCs w:val="24"/>
              </w:rPr>
              <w:t xml:space="preserve"> 55英寸电视机（带HDMI视频输出接口）</w:t>
            </w:r>
          </w:p>
        </w:tc>
        <w:tc>
          <w:tcPr>
            <w:tcW w:w="723" w:type="dxa"/>
            <w:vAlign w:val="center"/>
          </w:tcPr>
          <w:p>
            <w:pPr>
              <w:jc w:val="center"/>
              <w:rPr>
                <w:rFonts w:ascii="宋体" w:hAnsi="宋体" w:cs="宋体"/>
                <w:sz w:val="24"/>
                <w:szCs w:val="24"/>
              </w:rPr>
            </w:pPr>
            <w:r>
              <w:rPr>
                <w:rFonts w:hint="eastAsia" w:ascii="宋体" w:hAnsi="宋体" w:cs="宋体"/>
                <w:sz w:val="24"/>
                <w:szCs w:val="24"/>
              </w:rPr>
              <w:t>1台</w:t>
            </w:r>
          </w:p>
        </w:tc>
        <w:tc>
          <w:tcPr>
            <w:tcW w:w="2556" w:type="dxa"/>
          </w:tcPr>
          <w:p>
            <w:pPr>
              <w:rPr>
                <w:rFonts w:ascii="宋体" w:hAnsi="宋体" w:cs="宋体"/>
                <w:sz w:val="24"/>
                <w:szCs w:val="24"/>
              </w:rPr>
            </w:pPr>
            <w:r>
              <w:rPr>
                <w:rFonts w:hint="eastAsia" w:ascii="宋体" w:hAnsi="宋体" w:cs="宋体"/>
                <w:sz w:val="24"/>
                <w:szCs w:val="24"/>
              </w:rPr>
              <w:t>用于登记排队显示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4</w:t>
            </w:r>
          </w:p>
        </w:tc>
        <w:tc>
          <w:tcPr>
            <w:tcW w:w="2031" w:type="dxa"/>
            <w:vAlign w:val="center"/>
          </w:tcPr>
          <w:p>
            <w:pPr>
              <w:jc w:val="center"/>
              <w:rPr>
                <w:rFonts w:ascii="宋体" w:hAnsi="宋体" w:cs="宋体"/>
                <w:sz w:val="24"/>
                <w:szCs w:val="24"/>
              </w:rPr>
            </w:pPr>
            <w:r>
              <w:rPr>
                <w:rFonts w:hint="eastAsia" w:ascii="宋体" w:hAnsi="宋体" w:cs="宋体"/>
                <w:sz w:val="24"/>
                <w:szCs w:val="24"/>
              </w:rPr>
              <w:t>接种排队信息屏幕（</w:t>
            </w:r>
            <w:r>
              <w:rPr>
                <w:rFonts w:hint="eastAsia" w:ascii="宋体" w:hAnsi="宋体" w:cs="宋体"/>
                <w:b/>
                <w:sz w:val="24"/>
                <w:szCs w:val="24"/>
              </w:rPr>
              <w:t>接种大屏</w:t>
            </w:r>
            <w:r>
              <w:rPr>
                <w:rFonts w:hint="eastAsia" w:ascii="宋体" w:hAnsi="宋体" w:cs="宋体"/>
                <w:sz w:val="24"/>
                <w:szCs w:val="24"/>
              </w:rPr>
              <w:t>）</w:t>
            </w:r>
          </w:p>
        </w:tc>
        <w:tc>
          <w:tcPr>
            <w:tcW w:w="1433" w:type="dxa"/>
            <w:vAlign w:val="center"/>
          </w:tcPr>
          <w:p>
            <w:pPr>
              <w:jc w:val="center"/>
              <w:rPr>
                <w:rFonts w:ascii="宋体" w:hAnsi="宋体" w:cs="宋体"/>
                <w:sz w:val="24"/>
                <w:szCs w:val="24"/>
              </w:rPr>
            </w:pPr>
            <w:r>
              <w:rPr>
                <w:rFonts w:hint="eastAsia" w:ascii="宋体" w:hAnsi="宋体" w:cs="宋体"/>
                <w:sz w:val="24"/>
                <w:szCs w:val="24"/>
              </w:rPr>
              <w:t>创维或康佳等相关品牌</w:t>
            </w:r>
          </w:p>
        </w:tc>
        <w:tc>
          <w:tcPr>
            <w:tcW w:w="2667" w:type="dxa"/>
          </w:tcPr>
          <w:p>
            <w:pPr>
              <w:rPr>
                <w:rFonts w:ascii="宋体" w:hAnsi="宋体" w:cs="宋体"/>
                <w:sz w:val="24"/>
                <w:szCs w:val="24"/>
              </w:rPr>
            </w:pPr>
            <w:r>
              <w:rPr>
                <w:rFonts w:hint="eastAsia" w:ascii="宋体" w:hAnsi="宋体" w:cs="宋体"/>
                <w:sz w:val="24"/>
                <w:szCs w:val="24"/>
              </w:rPr>
              <w:t xml:space="preserve"> 55英寸电视机（带HDMI视频输出接口），配置壁挂配件</w:t>
            </w:r>
          </w:p>
        </w:tc>
        <w:tc>
          <w:tcPr>
            <w:tcW w:w="723" w:type="dxa"/>
            <w:vAlign w:val="center"/>
          </w:tcPr>
          <w:p>
            <w:pPr>
              <w:jc w:val="center"/>
              <w:rPr>
                <w:rFonts w:ascii="宋体" w:hAnsi="宋体" w:cs="宋体"/>
                <w:sz w:val="24"/>
                <w:szCs w:val="24"/>
              </w:rPr>
            </w:pPr>
            <w:r>
              <w:rPr>
                <w:rFonts w:hint="eastAsia" w:ascii="宋体" w:hAnsi="宋体" w:cs="宋体"/>
                <w:sz w:val="24"/>
                <w:szCs w:val="24"/>
              </w:rPr>
              <w:t>1台</w:t>
            </w:r>
          </w:p>
        </w:tc>
        <w:tc>
          <w:tcPr>
            <w:tcW w:w="2556" w:type="dxa"/>
          </w:tcPr>
          <w:p>
            <w:pPr>
              <w:rPr>
                <w:rFonts w:ascii="宋体" w:hAnsi="宋体" w:cs="宋体"/>
                <w:sz w:val="24"/>
                <w:szCs w:val="24"/>
              </w:rPr>
            </w:pPr>
            <w:r>
              <w:rPr>
                <w:rFonts w:hint="eastAsia" w:ascii="宋体" w:hAnsi="宋体" w:cs="宋体"/>
                <w:sz w:val="24"/>
                <w:szCs w:val="24"/>
              </w:rPr>
              <w:t>用于接种排队叫号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5</w:t>
            </w:r>
          </w:p>
        </w:tc>
        <w:tc>
          <w:tcPr>
            <w:tcW w:w="2031" w:type="dxa"/>
            <w:vAlign w:val="center"/>
          </w:tcPr>
          <w:p>
            <w:pPr>
              <w:jc w:val="center"/>
              <w:rPr>
                <w:rFonts w:ascii="宋体" w:hAnsi="宋体" w:cs="宋体"/>
                <w:sz w:val="24"/>
                <w:szCs w:val="24"/>
              </w:rPr>
            </w:pPr>
            <w:r>
              <w:rPr>
                <w:rFonts w:hint="eastAsia" w:ascii="宋体" w:hAnsi="宋体" w:cs="宋体"/>
                <w:b/>
                <w:sz w:val="24"/>
                <w:szCs w:val="24"/>
              </w:rPr>
              <w:t>留观大屏</w:t>
            </w:r>
          </w:p>
        </w:tc>
        <w:tc>
          <w:tcPr>
            <w:tcW w:w="1433" w:type="dxa"/>
            <w:vAlign w:val="center"/>
          </w:tcPr>
          <w:p>
            <w:pPr>
              <w:jc w:val="center"/>
              <w:rPr>
                <w:rFonts w:ascii="宋体" w:hAnsi="宋体" w:cs="宋体"/>
                <w:sz w:val="24"/>
                <w:szCs w:val="24"/>
              </w:rPr>
            </w:pPr>
            <w:r>
              <w:rPr>
                <w:rFonts w:hint="eastAsia" w:ascii="宋体" w:hAnsi="宋体" w:cs="宋体"/>
                <w:sz w:val="24"/>
                <w:szCs w:val="24"/>
              </w:rPr>
              <w:t>创维或康佳等相关品牌</w:t>
            </w:r>
          </w:p>
        </w:tc>
        <w:tc>
          <w:tcPr>
            <w:tcW w:w="2667" w:type="dxa"/>
          </w:tcPr>
          <w:p>
            <w:pPr>
              <w:rPr>
                <w:rFonts w:ascii="宋体" w:hAnsi="宋体" w:cs="宋体"/>
                <w:sz w:val="24"/>
                <w:szCs w:val="24"/>
              </w:rPr>
            </w:pPr>
            <w:r>
              <w:rPr>
                <w:rFonts w:hint="eastAsia" w:ascii="宋体" w:hAnsi="宋体" w:cs="宋体"/>
                <w:sz w:val="24"/>
                <w:szCs w:val="24"/>
              </w:rPr>
              <w:t xml:space="preserve"> 55英寸电视机（带HDMI视频输出接口），配置壁挂配件</w:t>
            </w:r>
          </w:p>
        </w:tc>
        <w:tc>
          <w:tcPr>
            <w:tcW w:w="723" w:type="dxa"/>
            <w:vAlign w:val="center"/>
          </w:tcPr>
          <w:p>
            <w:pPr>
              <w:jc w:val="center"/>
              <w:rPr>
                <w:rFonts w:ascii="宋体" w:hAnsi="宋体" w:cs="宋体"/>
                <w:sz w:val="24"/>
                <w:szCs w:val="24"/>
              </w:rPr>
            </w:pPr>
            <w:r>
              <w:rPr>
                <w:rFonts w:hint="eastAsia" w:ascii="宋体" w:hAnsi="宋体" w:cs="宋体"/>
                <w:sz w:val="24"/>
                <w:szCs w:val="24"/>
              </w:rPr>
              <w:t>1台</w:t>
            </w:r>
          </w:p>
        </w:tc>
        <w:tc>
          <w:tcPr>
            <w:tcW w:w="2556" w:type="dxa"/>
          </w:tcPr>
          <w:p>
            <w:pPr>
              <w:rPr>
                <w:rFonts w:ascii="宋体" w:hAnsi="宋体" w:cs="宋体"/>
                <w:sz w:val="24"/>
                <w:szCs w:val="24"/>
              </w:rPr>
            </w:pPr>
            <w:r>
              <w:rPr>
                <w:rFonts w:hint="eastAsia" w:ascii="宋体" w:hAnsi="宋体" w:cs="宋体"/>
                <w:sz w:val="24"/>
                <w:szCs w:val="24"/>
              </w:rPr>
              <w:t>用于显示留观到点时间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6</w:t>
            </w:r>
          </w:p>
        </w:tc>
        <w:tc>
          <w:tcPr>
            <w:tcW w:w="2031" w:type="dxa"/>
            <w:vAlign w:val="center"/>
          </w:tcPr>
          <w:p>
            <w:pPr>
              <w:jc w:val="center"/>
              <w:rPr>
                <w:rFonts w:ascii="宋体" w:hAnsi="宋体" w:cs="宋体"/>
                <w:sz w:val="24"/>
                <w:szCs w:val="24"/>
              </w:rPr>
            </w:pPr>
            <w:r>
              <w:rPr>
                <w:rFonts w:hint="eastAsia" w:ascii="宋体" w:hAnsi="宋体" w:cs="宋体"/>
                <w:sz w:val="24"/>
                <w:szCs w:val="24"/>
              </w:rPr>
              <w:t>网络线缆</w:t>
            </w:r>
          </w:p>
        </w:tc>
        <w:tc>
          <w:tcPr>
            <w:tcW w:w="1433" w:type="dxa"/>
            <w:vAlign w:val="center"/>
          </w:tcPr>
          <w:p>
            <w:pPr>
              <w:jc w:val="center"/>
              <w:rPr>
                <w:rFonts w:ascii="宋体" w:hAnsi="宋体" w:cs="宋体"/>
                <w:sz w:val="24"/>
                <w:szCs w:val="24"/>
              </w:rPr>
            </w:pPr>
            <w:r>
              <w:rPr>
                <w:rFonts w:hint="eastAsia" w:ascii="宋体" w:hAnsi="宋体" w:cs="宋体"/>
                <w:sz w:val="24"/>
                <w:szCs w:val="24"/>
              </w:rPr>
              <w:t>TP-link等相关品牌</w:t>
            </w:r>
          </w:p>
        </w:tc>
        <w:tc>
          <w:tcPr>
            <w:tcW w:w="2667" w:type="dxa"/>
          </w:tcPr>
          <w:p>
            <w:pPr>
              <w:rPr>
                <w:rFonts w:ascii="宋体" w:hAnsi="宋体" w:cs="宋体"/>
                <w:sz w:val="24"/>
                <w:szCs w:val="24"/>
              </w:rPr>
            </w:pPr>
            <w:r>
              <w:rPr>
                <w:rFonts w:hint="eastAsia" w:ascii="宋体" w:hAnsi="宋体" w:cs="宋体"/>
                <w:sz w:val="24"/>
                <w:szCs w:val="24"/>
              </w:rPr>
              <w:t>CAT 5及以上双绞线</w:t>
            </w:r>
          </w:p>
        </w:tc>
        <w:tc>
          <w:tcPr>
            <w:tcW w:w="723" w:type="dxa"/>
            <w:vAlign w:val="center"/>
          </w:tcPr>
          <w:p>
            <w:pPr>
              <w:jc w:val="center"/>
              <w:rPr>
                <w:rFonts w:ascii="宋体" w:hAnsi="宋体" w:cs="宋体"/>
                <w:sz w:val="24"/>
                <w:szCs w:val="24"/>
              </w:rPr>
            </w:pPr>
            <w:r>
              <w:rPr>
                <w:rFonts w:hint="eastAsia" w:ascii="宋体" w:hAnsi="宋体" w:cs="宋体"/>
                <w:sz w:val="24"/>
                <w:szCs w:val="24"/>
              </w:rPr>
              <w:t>300米</w:t>
            </w:r>
          </w:p>
        </w:tc>
        <w:tc>
          <w:tcPr>
            <w:tcW w:w="2556" w:type="dxa"/>
          </w:tcPr>
          <w:p>
            <w:pPr>
              <w:rPr>
                <w:rFonts w:ascii="宋体" w:hAnsi="宋体" w:cs="宋体"/>
                <w:sz w:val="24"/>
                <w:szCs w:val="24"/>
              </w:rPr>
            </w:pPr>
            <w:r>
              <w:rPr>
                <w:rFonts w:hint="eastAsia" w:ascii="宋体" w:hAnsi="宋体" w:cs="宋体"/>
                <w:sz w:val="24"/>
                <w:szCs w:val="24"/>
              </w:rPr>
              <w:t>所有设备网络接入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7</w:t>
            </w:r>
          </w:p>
        </w:tc>
        <w:tc>
          <w:tcPr>
            <w:tcW w:w="2031" w:type="dxa"/>
            <w:vAlign w:val="center"/>
          </w:tcPr>
          <w:p>
            <w:pPr>
              <w:jc w:val="center"/>
              <w:rPr>
                <w:rFonts w:ascii="宋体" w:hAnsi="宋体" w:cs="宋体"/>
                <w:sz w:val="24"/>
                <w:szCs w:val="24"/>
              </w:rPr>
            </w:pPr>
            <w:r>
              <w:rPr>
                <w:rFonts w:hint="eastAsia" w:ascii="宋体" w:hAnsi="宋体" w:cs="宋体"/>
                <w:sz w:val="24"/>
                <w:szCs w:val="24"/>
              </w:rPr>
              <w:t>水晶头</w:t>
            </w:r>
          </w:p>
        </w:tc>
        <w:tc>
          <w:tcPr>
            <w:tcW w:w="1433" w:type="dxa"/>
            <w:vAlign w:val="center"/>
          </w:tcPr>
          <w:p>
            <w:pPr>
              <w:jc w:val="center"/>
              <w:rPr>
                <w:rFonts w:ascii="宋体" w:hAnsi="宋体" w:cs="宋体"/>
                <w:sz w:val="24"/>
                <w:szCs w:val="24"/>
              </w:rPr>
            </w:pPr>
          </w:p>
        </w:tc>
        <w:tc>
          <w:tcPr>
            <w:tcW w:w="2667" w:type="dxa"/>
          </w:tcPr>
          <w:p>
            <w:pPr>
              <w:rPr>
                <w:rFonts w:ascii="宋体" w:hAnsi="宋体" w:cs="宋体"/>
                <w:sz w:val="24"/>
                <w:szCs w:val="24"/>
              </w:rPr>
            </w:pPr>
            <w:r>
              <w:rPr>
                <w:rFonts w:hint="eastAsia" w:ascii="宋体" w:hAnsi="宋体" w:cs="宋体"/>
                <w:sz w:val="24"/>
                <w:szCs w:val="24"/>
              </w:rPr>
              <w:t>RJ-45</w:t>
            </w:r>
          </w:p>
        </w:tc>
        <w:tc>
          <w:tcPr>
            <w:tcW w:w="723" w:type="dxa"/>
            <w:vAlign w:val="center"/>
          </w:tcPr>
          <w:p>
            <w:pPr>
              <w:jc w:val="center"/>
              <w:rPr>
                <w:rFonts w:ascii="宋体" w:hAnsi="宋体" w:cs="宋体"/>
                <w:sz w:val="24"/>
                <w:szCs w:val="24"/>
              </w:rPr>
            </w:pPr>
            <w:r>
              <w:rPr>
                <w:rFonts w:hint="eastAsia" w:ascii="宋体" w:hAnsi="宋体" w:cs="宋体"/>
                <w:sz w:val="24"/>
                <w:szCs w:val="24"/>
              </w:rPr>
              <w:t>1盒</w:t>
            </w:r>
          </w:p>
        </w:tc>
        <w:tc>
          <w:tcPr>
            <w:tcW w:w="2556"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8</w:t>
            </w:r>
          </w:p>
        </w:tc>
        <w:tc>
          <w:tcPr>
            <w:tcW w:w="2031" w:type="dxa"/>
            <w:vAlign w:val="center"/>
          </w:tcPr>
          <w:p>
            <w:pPr>
              <w:jc w:val="center"/>
              <w:rPr>
                <w:rFonts w:ascii="宋体" w:hAnsi="宋体" w:cs="宋体"/>
                <w:sz w:val="24"/>
                <w:szCs w:val="24"/>
              </w:rPr>
            </w:pPr>
            <w:r>
              <w:rPr>
                <w:rFonts w:hint="eastAsia" w:ascii="宋体" w:hAnsi="宋体" w:cs="宋体"/>
                <w:sz w:val="24"/>
                <w:szCs w:val="24"/>
              </w:rPr>
              <w:t>语音库控制服务器</w:t>
            </w:r>
          </w:p>
        </w:tc>
        <w:tc>
          <w:tcPr>
            <w:tcW w:w="1433" w:type="dxa"/>
            <w:vAlign w:val="center"/>
          </w:tcPr>
          <w:p>
            <w:pPr>
              <w:snapToGrid w:val="0"/>
              <w:spacing w:line="340" w:lineRule="atLeast"/>
              <w:rPr>
                <w:rFonts w:ascii="宋体" w:hAnsi="宋体" w:cs="宋体"/>
                <w:kern w:val="36"/>
                <w:sz w:val="24"/>
                <w:szCs w:val="24"/>
              </w:rPr>
            </w:pPr>
            <w:r>
              <w:rPr>
                <w:rFonts w:hint="eastAsia" w:ascii="宋体" w:hAnsi="宋体" w:cs="宋体"/>
                <w:kern w:val="36"/>
                <w:sz w:val="24"/>
                <w:szCs w:val="24"/>
              </w:rPr>
              <w:t xml:space="preserve">联想扬天 T4900c </w:t>
            </w:r>
          </w:p>
          <w:p>
            <w:pPr>
              <w:snapToGrid w:val="0"/>
              <w:spacing w:line="340" w:lineRule="atLeast"/>
              <w:rPr>
                <w:rFonts w:ascii="宋体" w:hAnsi="宋体" w:cs="宋体"/>
                <w:kern w:val="36"/>
                <w:sz w:val="24"/>
                <w:szCs w:val="24"/>
              </w:rPr>
            </w:pPr>
            <w:r>
              <w:rPr>
                <w:rFonts w:hint="eastAsia" w:ascii="宋体" w:hAnsi="宋体" w:cs="宋体"/>
                <w:sz w:val="24"/>
                <w:szCs w:val="24"/>
              </w:rPr>
              <w:t>等相关品牌</w:t>
            </w:r>
          </w:p>
          <w:p>
            <w:pPr>
              <w:jc w:val="center"/>
              <w:rPr>
                <w:rFonts w:ascii="宋体" w:hAnsi="宋体" w:cs="宋体"/>
                <w:sz w:val="24"/>
                <w:szCs w:val="24"/>
              </w:rPr>
            </w:pPr>
          </w:p>
        </w:tc>
        <w:tc>
          <w:tcPr>
            <w:tcW w:w="2667" w:type="dxa"/>
          </w:tcPr>
          <w:p>
            <w:pPr>
              <w:rPr>
                <w:rFonts w:ascii="宋体" w:hAnsi="宋体" w:cs="宋体"/>
                <w:sz w:val="24"/>
                <w:szCs w:val="24"/>
              </w:rPr>
            </w:pPr>
            <w:r>
              <w:rPr>
                <w:rFonts w:hint="eastAsia" w:ascii="宋体" w:hAnsi="宋体" w:cs="宋体"/>
                <w:kern w:val="36"/>
                <w:sz w:val="24"/>
                <w:szCs w:val="24"/>
              </w:rPr>
              <w:t xml:space="preserve">联想扬天 T4900c（i5-4590/8GB/1TB）台式电脑，10/100/1000M自适应以太网口，21.5"显示器   </w:t>
            </w:r>
          </w:p>
        </w:tc>
        <w:tc>
          <w:tcPr>
            <w:tcW w:w="723" w:type="dxa"/>
            <w:vAlign w:val="center"/>
          </w:tcPr>
          <w:p>
            <w:pPr>
              <w:jc w:val="center"/>
              <w:rPr>
                <w:rFonts w:ascii="宋体" w:hAnsi="宋体" w:cs="宋体"/>
                <w:sz w:val="24"/>
                <w:szCs w:val="24"/>
              </w:rPr>
            </w:pPr>
            <w:r>
              <w:rPr>
                <w:rFonts w:hint="eastAsia" w:ascii="宋体" w:hAnsi="宋体" w:cs="宋体"/>
                <w:sz w:val="24"/>
                <w:szCs w:val="24"/>
              </w:rPr>
              <w:t>2台</w:t>
            </w:r>
          </w:p>
        </w:tc>
        <w:tc>
          <w:tcPr>
            <w:tcW w:w="2556" w:type="dxa"/>
          </w:tcPr>
          <w:p>
            <w:pPr>
              <w:rPr>
                <w:rFonts w:ascii="宋体" w:hAnsi="宋体" w:cs="宋体"/>
                <w:sz w:val="24"/>
                <w:szCs w:val="24"/>
              </w:rPr>
            </w:pPr>
            <w:r>
              <w:rPr>
                <w:rFonts w:hint="eastAsia" w:ascii="宋体" w:hAnsi="宋体" w:cs="宋体"/>
                <w:sz w:val="24"/>
                <w:szCs w:val="24"/>
              </w:rPr>
              <w:t>用于数字化叫排队系统语音库控制服务器及新增接种登记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9</w:t>
            </w:r>
          </w:p>
        </w:tc>
        <w:tc>
          <w:tcPr>
            <w:tcW w:w="2031" w:type="dxa"/>
            <w:vAlign w:val="center"/>
          </w:tcPr>
          <w:p>
            <w:pPr>
              <w:jc w:val="center"/>
              <w:rPr>
                <w:rFonts w:ascii="宋体" w:hAnsi="宋体" w:cs="宋体"/>
                <w:sz w:val="24"/>
                <w:szCs w:val="24"/>
              </w:rPr>
            </w:pPr>
            <w:r>
              <w:rPr>
                <w:rFonts w:hint="eastAsia" w:ascii="宋体" w:hAnsi="宋体" w:cs="宋体"/>
                <w:sz w:val="24"/>
                <w:szCs w:val="24"/>
              </w:rPr>
              <w:t>显示器吊架</w:t>
            </w:r>
          </w:p>
        </w:tc>
        <w:tc>
          <w:tcPr>
            <w:tcW w:w="1433" w:type="dxa"/>
            <w:vAlign w:val="center"/>
          </w:tcPr>
          <w:p>
            <w:pPr>
              <w:jc w:val="center"/>
              <w:rPr>
                <w:rFonts w:ascii="宋体" w:hAnsi="宋体" w:cs="宋体"/>
                <w:sz w:val="24"/>
                <w:szCs w:val="24"/>
              </w:rPr>
            </w:pPr>
            <w:r>
              <w:rPr>
                <w:rFonts w:hint="eastAsia" w:ascii="宋体" w:hAnsi="宋体" w:cs="宋体"/>
                <w:sz w:val="24"/>
                <w:szCs w:val="24"/>
              </w:rPr>
              <w:t>艾美伦、ProPre等吊架</w:t>
            </w:r>
          </w:p>
        </w:tc>
        <w:tc>
          <w:tcPr>
            <w:tcW w:w="2667" w:type="dxa"/>
          </w:tcPr>
          <w:p>
            <w:pPr>
              <w:rPr>
                <w:rFonts w:ascii="宋体" w:hAnsi="宋体" w:cs="宋体"/>
                <w:sz w:val="24"/>
                <w:szCs w:val="24"/>
              </w:rPr>
            </w:pPr>
            <w:r>
              <w:rPr>
                <w:rFonts w:hint="eastAsia" w:ascii="宋体" w:hAnsi="宋体" w:cs="宋体"/>
                <w:sz w:val="24"/>
                <w:szCs w:val="24"/>
              </w:rPr>
              <w:t>液晶电视机旋转上下伸缩吊架，要求能吊挂安装固定55英寸及以上尺寸液晶显示屏，从天花板吊装，具体高度根据现场实际定制（包安装）</w:t>
            </w:r>
          </w:p>
        </w:tc>
        <w:tc>
          <w:tcPr>
            <w:tcW w:w="723" w:type="dxa"/>
            <w:vAlign w:val="center"/>
          </w:tcPr>
          <w:p>
            <w:pPr>
              <w:jc w:val="center"/>
              <w:rPr>
                <w:rFonts w:ascii="宋体" w:hAnsi="宋体" w:cs="宋体"/>
                <w:sz w:val="24"/>
                <w:szCs w:val="24"/>
              </w:rPr>
            </w:pPr>
            <w:r>
              <w:rPr>
                <w:rFonts w:hint="eastAsia" w:ascii="宋体" w:hAnsi="宋体" w:cs="宋体"/>
                <w:sz w:val="24"/>
                <w:szCs w:val="24"/>
              </w:rPr>
              <w:t>1附</w:t>
            </w:r>
          </w:p>
        </w:tc>
        <w:tc>
          <w:tcPr>
            <w:tcW w:w="2556" w:type="dxa"/>
          </w:tcPr>
          <w:p>
            <w:pPr>
              <w:rPr>
                <w:rFonts w:ascii="宋体" w:hAnsi="宋体" w:cs="宋体"/>
                <w:sz w:val="24"/>
                <w:szCs w:val="24"/>
              </w:rPr>
            </w:pPr>
            <w:r>
              <w:rPr>
                <w:rFonts w:hint="eastAsia" w:ascii="宋体" w:hAnsi="宋体" w:cs="宋体"/>
                <w:sz w:val="24"/>
                <w:szCs w:val="24"/>
              </w:rPr>
              <w:t>用于登记排队55英寸显示屏吊装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10</w:t>
            </w:r>
          </w:p>
        </w:tc>
        <w:tc>
          <w:tcPr>
            <w:tcW w:w="2031" w:type="dxa"/>
            <w:vAlign w:val="center"/>
          </w:tcPr>
          <w:p>
            <w:pPr>
              <w:jc w:val="center"/>
              <w:rPr>
                <w:rFonts w:ascii="宋体" w:hAnsi="宋体" w:cs="宋体"/>
                <w:sz w:val="24"/>
                <w:szCs w:val="24"/>
              </w:rPr>
            </w:pPr>
            <w:r>
              <w:rPr>
                <w:rFonts w:hint="eastAsia" w:ascii="宋体" w:hAnsi="宋体" w:cs="宋体"/>
                <w:sz w:val="24"/>
                <w:szCs w:val="24"/>
              </w:rPr>
              <w:t>视频线</w:t>
            </w:r>
          </w:p>
        </w:tc>
        <w:tc>
          <w:tcPr>
            <w:tcW w:w="1433" w:type="dxa"/>
            <w:vAlign w:val="center"/>
          </w:tcPr>
          <w:p>
            <w:pPr>
              <w:jc w:val="center"/>
              <w:rPr>
                <w:rFonts w:ascii="宋体" w:hAnsi="宋体" w:cs="宋体"/>
                <w:sz w:val="24"/>
                <w:szCs w:val="24"/>
              </w:rPr>
            </w:pPr>
            <w:r>
              <w:rPr>
                <w:rFonts w:hint="eastAsia" w:ascii="宋体" w:hAnsi="宋体" w:cs="宋体"/>
                <w:sz w:val="24"/>
                <w:szCs w:val="24"/>
              </w:rPr>
              <w:t>绿联HDMI等相关品牌</w:t>
            </w:r>
          </w:p>
        </w:tc>
        <w:tc>
          <w:tcPr>
            <w:tcW w:w="2667" w:type="dxa"/>
          </w:tcPr>
          <w:p>
            <w:pPr>
              <w:rPr>
                <w:rFonts w:ascii="宋体" w:hAnsi="宋体" w:cs="宋体"/>
                <w:sz w:val="24"/>
                <w:szCs w:val="24"/>
              </w:rPr>
            </w:pPr>
            <w:r>
              <w:rPr>
                <w:rFonts w:hint="eastAsia" w:ascii="宋体" w:hAnsi="宋体" w:cs="宋体"/>
                <w:sz w:val="24"/>
                <w:szCs w:val="24"/>
              </w:rPr>
              <w:t>4K数字高清HDMI线 2米 </w:t>
            </w:r>
          </w:p>
        </w:tc>
        <w:tc>
          <w:tcPr>
            <w:tcW w:w="723" w:type="dxa"/>
            <w:vAlign w:val="center"/>
          </w:tcPr>
          <w:p>
            <w:pPr>
              <w:jc w:val="center"/>
              <w:rPr>
                <w:rFonts w:ascii="宋体" w:hAnsi="宋体" w:cs="宋体"/>
                <w:sz w:val="24"/>
                <w:szCs w:val="24"/>
              </w:rPr>
            </w:pPr>
            <w:r>
              <w:rPr>
                <w:rFonts w:hint="eastAsia" w:ascii="宋体" w:hAnsi="宋体" w:cs="宋体"/>
                <w:sz w:val="24"/>
                <w:szCs w:val="24"/>
              </w:rPr>
              <w:t>3条</w:t>
            </w:r>
          </w:p>
        </w:tc>
        <w:tc>
          <w:tcPr>
            <w:tcW w:w="2556" w:type="dxa"/>
          </w:tcPr>
          <w:p>
            <w:pPr>
              <w:rPr>
                <w:rFonts w:ascii="宋体" w:hAnsi="宋体" w:cs="宋体"/>
                <w:sz w:val="24"/>
                <w:szCs w:val="24"/>
              </w:rPr>
            </w:pPr>
            <w:r>
              <w:rPr>
                <w:rFonts w:hint="eastAsia" w:ascii="宋体" w:hAnsi="宋体" w:cs="宋体"/>
                <w:sz w:val="24"/>
                <w:szCs w:val="24"/>
              </w:rPr>
              <w:t>显示屏接视频机顶盒子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jc w:val="center"/>
              <w:rPr>
                <w:rFonts w:ascii="宋体" w:hAnsi="宋体" w:cs="宋体"/>
                <w:sz w:val="24"/>
                <w:szCs w:val="24"/>
              </w:rPr>
            </w:pPr>
            <w:r>
              <w:rPr>
                <w:rFonts w:hint="eastAsia" w:ascii="宋体" w:hAnsi="宋体" w:cs="宋体"/>
                <w:sz w:val="24"/>
                <w:szCs w:val="24"/>
              </w:rPr>
              <w:t>11</w:t>
            </w:r>
          </w:p>
        </w:tc>
        <w:tc>
          <w:tcPr>
            <w:tcW w:w="2031" w:type="dxa"/>
            <w:vAlign w:val="center"/>
          </w:tcPr>
          <w:p>
            <w:pPr>
              <w:jc w:val="center"/>
              <w:rPr>
                <w:rFonts w:ascii="宋体" w:hAnsi="宋体" w:cs="宋体"/>
                <w:sz w:val="24"/>
                <w:szCs w:val="24"/>
              </w:rPr>
            </w:pPr>
            <w:r>
              <w:rPr>
                <w:rFonts w:hint="eastAsia" w:ascii="宋体" w:hAnsi="宋体" w:cs="宋体"/>
                <w:sz w:val="24"/>
                <w:szCs w:val="24"/>
              </w:rPr>
              <w:t>系统实施服务费</w:t>
            </w:r>
          </w:p>
        </w:tc>
        <w:tc>
          <w:tcPr>
            <w:tcW w:w="1433" w:type="dxa"/>
            <w:vAlign w:val="center"/>
          </w:tcPr>
          <w:p>
            <w:pPr>
              <w:jc w:val="center"/>
              <w:rPr>
                <w:rFonts w:ascii="宋体" w:hAnsi="宋体" w:cs="宋体"/>
                <w:sz w:val="24"/>
                <w:szCs w:val="24"/>
              </w:rPr>
            </w:pPr>
            <w:r>
              <w:rPr>
                <w:rFonts w:hint="eastAsia" w:ascii="宋体" w:hAnsi="宋体" w:cs="宋体"/>
                <w:sz w:val="24"/>
                <w:szCs w:val="24"/>
              </w:rPr>
              <w:t>定制</w:t>
            </w:r>
          </w:p>
        </w:tc>
        <w:tc>
          <w:tcPr>
            <w:tcW w:w="2667" w:type="dxa"/>
          </w:tcPr>
          <w:p>
            <w:pPr>
              <w:rPr>
                <w:rFonts w:ascii="宋体" w:hAnsi="宋体" w:cs="宋体"/>
                <w:sz w:val="24"/>
                <w:szCs w:val="24"/>
              </w:rPr>
            </w:pPr>
            <w:r>
              <w:rPr>
                <w:rFonts w:hint="eastAsia" w:ascii="宋体" w:hAnsi="宋体" w:cs="宋体"/>
                <w:sz w:val="24"/>
                <w:szCs w:val="24"/>
              </w:rPr>
              <w:t>包含弱电走线pvc线材、人工、搬运及设备安装实施交付等费用</w:t>
            </w:r>
          </w:p>
        </w:tc>
        <w:tc>
          <w:tcPr>
            <w:tcW w:w="723" w:type="dxa"/>
            <w:vAlign w:val="center"/>
          </w:tcPr>
          <w:p>
            <w:pPr>
              <w:jc w:val="center"/>
              <w:rPr>
                <w:rFonts w:ascii="宋体" w:hAnsi="宋体" w:cs="宋体"/>
                <w:sz w:val="24"/>
                <w:szCs w:val="24"/>
              </w:rPr>
            </w:pPr>
            <w:r>
              <w:rPr>
                <w:rFonts w:hint="eastAsia" w:ascii="宋体" w:hAnsi="宋体" w:cs="宋体"/>
                <w:sz w:val="24"/>
                <w:szCs w:val="24"/>
              </w:rPr>
              <w:t>1项</w:t>
            </w:r>
          </w:p>
        </w:tc>
        <w:tc>
          <w:tcPr>
            <w:tcW w:w="2556"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105" w:type="dxa"/>
            <w:gridSpan w:val="6"/>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rFonts w:hint="eastAsia"/>
                <w:b/>
                <w:bCs/>
                <w:sz w:val="24"/>
                <w:szCs w:val="24"/>
              </w:rPr>
              <w:t>（二）专业的软硬件配套设备</w:t>
            </w:r>
          </w:p>
        </w:tc>
      </w:tr>
    </w:tbl>
    <w:tbl>
      <w:tblPr>
        <w:tblStyle w:val="13"/>
        <w:tblW w:w="10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850"/>
        <w:gridCol w:w="1701"/>
        <w:gridCol w:w="4678"/>
        <w:gridCol w:w="1134"/>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widowControl/>
              <w:jc w:val="center"/>
              <w:textAlignment w:val="center"/>
              <w:rPr>
                <w:sz w:val="24"/>
                <w:szCs w:val="24"/>
              </w:rPr>
            </w:pPr>
            <w:r>
              <w:rPr>
                <w:rFonts w:hint="eastAsia" w:ascii="黑体" w:hAnsi="宋体" w:eastAsia="黑体" w:cs="黑体"/>
                <w:b/>
                <w:bCs/>
                <w:color w:val="000000"/>
                <w:kern w:val="0"/>
                <w:sz w:val="24"/>
                <w:szCs w:val="24"/>
              </w:rPr>
              <w:t>项目</w:t>
            </w:r>
          </w:p>
        </w:tc>
        <w:tc>
          <w:tcPr>
            <w:tcW w:w="850" w:type="dxa"/>
            <w:vAlign w:val="center"/>
          </w:tcPr>
          <w:p>
            <w:pPr>
              <w:widowControl/>
              <w:jc w:val="center"/>
              <w:textAlignment w:val="center"/>
              <w:rPr>
                <w:sz w:val="24"/>
                <w:szCs w:val="24"/>
              </w:rPr>
            </w:pPr>
            <w:r>
              <w:rPr>
                <w:rFonts w:hint="eastAsia" w:ascii="黑体" w:hAnsi="宋体" w:eastAsia="黑体" w:cs="黑体"/>
                <w:b/>
                <w:bCs/>
                <w:color w:val="000000"/>
                <w:kern w:val="0"/>
                <w:sz w:val="24"/>
                <w:szCs w:val="24"/>
              </w:rPr>
              <w:t>分类</w:t>
            </w:r>
          </w:p>
        </w:tc>
        <w:tc>
          <w:tcPr>
            <w:tcW w:w="1701" w:type="dxa"/>
            <w:vAlign w:val="center"/>
          </w:tcPr>
          <w:p>
            <w:pPr>
              <w:widowControl/>
              <w:jc w:val="center"/>
              <w:textAlignment w:val="center"/>
              <w:rPr>
                <w:sz w:val="24"/>
                <w:szCs w:val="24"/>
              </w:rPr>
            </w:pPr>
            <w:r>
              <w:rPr>
                <w:rFonts w:hint="eastAsia" w:ascii="黑体" w:hAnsi="宋体" w:eastAsia="黑体" w:cs="黑体"/>
                <w:b/>
                <w:bCs/>
                <w:color w:val="000000"/>
                <w:kern w:val="0"/>
                <w:sz w:val="24"/>
                <w:szCs w:val="24"/>
              </w:rPr>
              <w:t>名 称</w:t>
            </w:r>
          </w:p>
        </w:tc>
        <w:tc>
          <w:tcPr>
            <w:tcW w:w="4678" w:type="dxa"/>
            <w:vAlign w:val="center"/>
          </w:tcPr>
          <w:p>
            <w:pPr>
              <w:widowControl/>
              <w:jc w:val="center"/>
              <w:textAlignment w:val="center"/>
              <w:rPr>
                <w:rFonts w:ascii="黑体" w:hAnsi="宋体" w:eastAsia="黑体" w:cs="黑体"/>
                <w:b/>
                <w:bCs/>
                <w:color w:val="000000"/>
                <w:kern w:val="0"/>
                <w:sz w:val="24"/>
                <w:szCs w:val="24"/>
              </w:rPr>
            </w:pPr>
            <w:r>
              <w:rPr>
                <w:rFonts w:hint="eastAsia" w:ascii="黑体" w:hAnsi="宋体" w:eastAsia="黑体" w:cs="黑体"/>
                <w:b/>
                <w:bCs/>
                <w:color w:val="000000"/>
                <w:kern w:val="0"/>
                <w:sz w:val="24"/>
                <w:szCs w:val="24"/>
              </w:rPr>
              <w:t>技术参数要求</w:t>
            </w:r>
          </w:p>
        </w:tc>
        <w:tc>
          <w:tcPr>
            <w:tcW w:w="1134" w:type="dxa"/>
            <w:vAlign w:val="center"/>
          </w:tcPr>
          <w:p>
            <w:pPr>
              <w:widowControl/>
              <w:jc w:val="center"/>
              <w:textAlignment w:val="center"/>
              <w:rPr>
                <w:rFonts w:ascii="黑体" w:hAnsi="宋体" w:eastAsia="黑体" w:cs="黑体"/>
                <w:b/>
                <w:bCs/>
                <w:color w:val="000000"/>
                <w:kern w:val="0"/>
                <w:sz w:val="24"/>
                <w:szCs w:val="24"/>
              </w:rPr>
            </w:pPr>
            <w:r>
              <w:rPr>
                <w:rFonts w:hint="eastAsia" w:ascii="黑体" w:hAnsi="宋体" w:eastAsia="黑体" w:cs="黑体"/>
                <w:b/>
                <w:bCs/>
                <w:color w:val="000000"/>
                <w:kern w:val="0"/>
                <w:sz w:val="24"/>
                <w:szCs w:val="24"/>
              </w:rPr>
              <w:t>品牌型号</w:t>
            </w:r>
          </w:p>
        </w:tc>
        <w:tc>
          <w:tcPr>
            <w:tcW w:w="725" w:type="dxa"/>
            <w:vAlign w:val="center"/>
          </w:tcPr>
          <w:p>
            <w:pPr>
              <w:widowControl/>
              <w:jc w:val="center"/>
              <w:textAlignment w:val="center"/>
              <w:rPr>
                <w:sz w:val="24"/>
                <w:szCs w:val="24"/>
              </w:rPr>
            </w:pPr>
            <w:r>
              <w:rPr>
                <w:rFonts w:hint="eastAsia" w:ascii="黑体" w:hAnsi="宋体" w:eastAsia="黑体" w:cs="黑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restart"/>
            <w:vAlign w:val="center"/>
          </w:tcPr>
          <w:p>
            <w:pPr>
              <w:jc w:val="center"/>
              <w:rPr>
                <w:rFonts w:ascii="宋体" w:hAnsi="宋体" w:cs="宋体"/>
                <w:sz w:val="24"/>
                <w:szCs w:val="24"/>
              </w:rPr>
            </w:pPr>
            <w:r>
              <w:rPr>
                <w:rFonts w:hint="eastAsia" w:ascii="宋体" w:hAnsi="宋体" w:cs="宋体"/>
                <w:color w:val="000000"/>
                <w:kern w:val="0"/>
                <w:sz w:val="24"/>
                <w:szCs w:val="24"/>
              </w:rPr>
              <w:t>数字化门诊</w:t>
            </w:r>
          </w:p>
        </w:tc>
        <w:tc>
          <w:tcPr>
            <w:tcW w:w="850" w:type="dxa"/>
            <w:vMerge w:val="restart"/>
            <w:vAlign w:val="center"/>
          </w:tcPr>
          <w:p>
            <w:pPr>
              <w:jc w:val="center"/>
              <w:rPr>
                <w:rFonts w:ascii="宋体" w:hAnsi="宋体" w:cs="宋体"/>
                <w:sz w:val="24"/>
                <w:szCs w:val="24"/>
              </w:rPr>
            </w:pPr>
            <w:r>
              <w:rPr>
                <w:rFonts w:hint="eastAsia" w:ascii="宋体" w:hAnsi="宋体" w:cs="宋体"/>
                <w:color w:val="000000"/>
                <w:kern w:val="0"/>
                <w:sz w:val="24"/>
                <w:szCs w:val="24"/>
              </w:rPr>
              <w:t>软件升级内容</w:t>
            </w:r>
          </w:p>
        </w:tc>
        <w:tc>
          <w:tcPr>
            <w:tcW w:w="1701" w:type="dxa"/>
            <w:vAlign w:val="center"/>
          </w:tcPr>
          <w:p>
            <w:pPr>
              <w:jc w:val="center"/>
              <w:rPr>
                <w:rFonts w:ascii="宋体" w:hAnsi="宋体" w:cs="宋体"/>
                <w:sz w:val="24"/>
                <w:szCs w:val="24"/>
              </w:rPr>
            </w:pPr>
            <w:r>
              <w:rPr>
                <w:rFonts w:hint="eastAsia" w:ascii="宋体" w:hAnsi="宋体" w:cs="宋体"/>
                <w:sz w:val="24"/>
                <w:szCs w:val="24"/>
              </w:rPr>
              <w:t>数字化预防接种门诊全流程信息管理系统接口软件</w:t>
            </w:r>
          </w:p>
        </w:tc>
        <w:tc>
          <w:tcPr>
            <w:tcW w:w="4678" w:type="dxa"/>
          </w:tcPr>
          <w:p>
            <w:pPr>
              <w:rPr>
                <w:rFonts w:ascii="宋体" w:hAnsi="宋体" w:cs="宋体"/>
                <w:sz w:val="24"/>
                <w:szCs w:val="24"/>
              </w:rPr>
            </w:pPr>
            <w:r>
              <w:rPr>
                <w:rFonts w:hint="eastAsia" w:ascii="宋体" w:hAnsi="宋体" w:cs="宋体"/>
                <w:sz w:val="24"/>
                <w:szCs w:val="24"/>
              </w:rPr>
              <w:t>与广西免疫规划信息管理系统、广西全流程追溯平台无缝对接。数字化门诊系统控制中枢，控制整个系统的取号、叫号、候诊、登记、排队、接种、留观、显示等环节的无缝连接，并对整个系统产生的数据进行交换，保证整个流程的规范性和质量管理，确保数据的安全加密、准确读取、完整显示和连续交换。</w:t>
            </w:r>
          </w:p>
        </w:tc>
        <w:tc>
          <w:tcPr>
            <w:tcW w:w="1134" w:type="dxa"/>
            <w:vMerge w:val="restart"/>
            <w:vAlign w:val="center"/>
          </w:tcPr>
          <w:p>
            <w:pPr>
              <w:jc w:val="center"/>
              <w:rPr>
                <w:rFonts w:ascii="宋体" w:hAnsi="宋体" w:cs="宋体"/>
                <w:sz w:val="24"/>
                <w:szCs w:val="24"/>
              </w:rPr>
            </w:pPr>
            <w:r>
              <w:rPr>
                <w:rFonts w:hint="eastAsia" w:ascii="宋体" w:hAnsi="宋体" w:cs="Arial"/>
                <w:sz w:val="24"/>
                <w:szCs w:val="24"/>
              </w:rPr>
              <w:t>金卫信</w:t>
            </w:r>
          </w:p>
        </w:tc>
        <w:tc>
          <w:tcPr>
            <w:tcW w:w="725" w:type="dxa"/>
            <w:vMerge w:val="restart"/>
            <w:vAlign w:val="center"/>
          </w:tcPr>
          <w:p>
            <w:pPr>
              <w:jc w:val="center"/>
              <w:rPr>
                <w:rFonts w:ascii="宋体" w:hAnsi="宋体" w:cs="宋体"/>
                <w:sz w:val="24"/>
                <w:szCs w:val="24"/>
              </w:rPr>
            </w:pPr>
            <w:r>
              <w:rPr>
                <w:rFonts w:hint="eastAsia" w:ascii="宋体" w:hAnsi="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spacing w:line="360" w:lineRule="auto"/>
              <w:jc w:val="center"/>
              <w:rPr>
                <w:rFonts w:ascii="宋体" w:hAnsi="宋体" w:cs="宋体"/>
                <w:sz w:val="24"/>
                <w:szCs w:val="24"/>
              </w:rPr>
            </w:pPr>
            <w:r>
              <w:rPr>
                <w:rFonts w:hint="eastAsia" w:ascii="宋体" w:hAnsi="宋体" w:cs="宋体"/>
                <w:sz w:val="24"/>
                <w:szCs w:val="24"/>
              </w:rPr>
              <w:t>排队叫号显示管理</w:t>
            </w:r>
          </w:p>
          <w:p>
            <w:pPr>
              <w:jc w:val="center"/>
              <w:rPr>
                <w:rFonts w:ascii="宋体" w:hAnsi="宋体" w:cs="宋体"/>
                <w:sz w:val="24"/>
                <w:szCs w:val="24"/>
              </w:rPr>
            </w:pPr>
            <w:r>
              <w:rPr>
                <w:rFonts w:hint="eastAsia" w:ascii="宋体" w:hAnsi="宋体" w:cs="宋体"/>
                <w:sz w:val="24"/>
                <w:szCs w:val="24"/>
              </w:rPr>
              <w:t>控制系统</w:t>
            </w:r>
          </w:p>
        </w:tc>
        <w:tc>
          <w:tcPr>
            <w:tcW w:w="4678" w:type="dxa"/>
          </w:tcPr>
          <w:p>
            <w:pPr>
              <w:rPr>
                <w:rFonts w:ascii="宋体" w:hAnsi="宋体" w:cs="宋体"/>
                <w:sz w:val="24"/>
                <w:szCs w:val="24"/>
              </w:rPr>
            </w:pPr>
            <w:r>
              <w:rPr>
                <w:rFonts w:hint="eastAsia" w:ascii="宋体" w:hAnsi="宋体" w:cs="宋体"/>
                <w:color w:val="000000"/>
                <w:sz w:val="24"/>
                <w:szCs w:val="24"/>
              </w:rPr>
              <w:t>与《免疫规划信息管理系统》客户端软件无缝对接，</w:t>
            </w:r>
            <w:r>
              <w:rPr>
                <w:rFonts w:hint="eastAsia" w:ascii="宋体" w:hAnsi="宋体" w:cs="宋体"/>
                <w:sz w:val="24"/>
                <w:szCs w:val="24"/>
              </w:rPr>
              <w:t>读取系统中加密儿童信息解密显示在待登记、待接种大屏幕；对正在工作的登记台、接种台、收费台小屏幕显示当前正在操作及等待儿童信息；留观大屏幕留观儿童显示。</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spacing w:line="360" w:lineRule="auto"/>
              <w:jc w:val="center"/>
              <w:rPr>
                <w:rFonts w:ascii="宋体" w:hAnsi="宋体" w:cs="宋体"/>
                <w:sz w:val="24"/>
                <w:szCs w:val="24"/>
              </w:rPr>
            </w:pPr>
            <w:r>
              <w:rPr>
                <w:rFonts w:hint="eastAsia" w:ascii="宋体" w:hAnsi="宋体" w:cs="宋体"/>
                <w:sz w:val="24"/>
                <w:szCs w:val="24"/>
              </w:rPr>
              <w:t>虚拟呼叫和语音播报控制系统</w:t>
            </w:r>
          </w:p>
        </w:tc>
        <w:tc>
          <w:tcPr>
            <w:tcW w:w="4678" w:type="dxa"/>
          </w:tcPr>
          <w:p>
            <w:pPr>
              <w:rPr>
                <w:rFonts w:ascii="宋体" w:hAnsi="宋体" w:cs="宋体"/>
                <w:sz w:val="24"/>
                <w:szCs w:val="24"/>
              </w:rPr>
            </w:pPr>
            <w:r>
              <w:rPr>
                <w:rFonts w:hint="eastAsia" w:ascii="宋体" w:hAnsi="宋体" w:cs="宋体"/>
                <w:color w:val="000000"/>
                <w:sz w:val="24"/>
                <w:szCs w:val="24"/>
              </w:rPr>
              <w:t>与《免疫规划信息管理系统》客户端软件无缝对接，</w:t>
            </w:r>
            <w:r>
              <w:rPr>
                <w:rFonts w:hint="eastAsia" w:ascii="宋体" w:hAnsi="宋体" w:cs="宋体"/>
                <w:sz w:val="24"/>
                <w:szCs w:val="24"/>
                <w:u w:color="FF0000"/>
              </w:rPr>
              <w:t>对登记台、接种台、分线路分队列同线路排队播放动态语音；逐字行播报、与显示、接种、叫号协同工作；提供语速、大小声音调节，提供相关语音设备；支持无源音箱、功放设备链接。</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spacing w:line="360" w:lineRule="auto"/>
              <w:jc w:val="center"/>
              <w:rPr>
                <w:rFonts w:ascii="宋体" w:hAnsi="宋体" w:cs="宋体"/>
                <w:sz w:val="24"/>
                <w:szCs w:val="24"/>
              </w:rPr>
            </w:pPr>
            <w:r>
              <w:rPr>
                <w:rFonts w:hint="eastAsia" w:ascii="宋体" w:hAnsi="宋体" w:cs="宋体"/>
                <w:sz w:val="24"/>
                <w:szCs w:val="24"/>
              </w:rPr>
              <w:t>多媒体信息发布系统</w:t>
            </w:r>
          </w:p>
        </w:tc>
        <w:tc>
          <w:tcPr>
            <w:tcW w:w="4678" w:type="dxa"/>
          </w:tcPr>
          <w:p>
            <w:pPr>
              <w:rPr>
                <w:rFonts w:ascii="宋体" w:hAnsi="宋体" w:cs="宋体"/>
                <w:sz w:val="24"/>
                <w:szCs w:val="24"/>
              </w:rPr>
            </w:pPr>
            <w:r>
              <w:rPr>
                <w:rFonts w:hint="eastAsia" w:ascii="宋体" w:hAnsi="宋体" w:cs="宋体"/>
                <w:sz w:val="24"/>
                <w:szCs w:val="24"/>
              </w:rPr>
              <w:t>与留观服务软件协同工作，显示播放客户自定义的相关宣教片，可自定义管理相关视频文件，多格式播放。</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restart"/>
            <w:vAlign w:val="center"/>
          </w:tcPr>
          <w:p>
            <w:pPr>
              <w:jc w:val="center"/>
              <w:rPr>
                <w:rFonts w:ascii="宋体" w:hAnsi="宋体" w:cs="宋体"/>
                <w:sz w:val="24"/>
                <w:szCs w:val="24"/>
              </w:rPr>
            </w:pPr>
            <w:r>
              <w:rPr>
                <w:rFonts w:hint="eastAsia" w:ascii="宋体" w:hAnsi="宋体" w:cs="宋体"/>
                <w:color w:val="000000"/>
                <w:kern w:val="0"/>
                <w:sz w:val="24"/>
                <w:szCs w:val="24"/>
              </w:rPr>
              <w:t>配套软件升级服务</w:t>
            </w:r>
          </w:p>
        </w:tc>
        <w:tc>
          <w:tcPr>
            <w:tcW w:w="1701" w:type="dxa"/>
            <w:vAlign w:val="center"/>
          </w:tcPr>
          <w:p>
            <w:pPr>
              <w:spacing w:line="300" w:lineRule="exact"/>
              <w:jc w:val="center"/>
              <w:rPr>
                <w:rFonts w:ascii="宋体" w:hAnsi="宋体" w:cs="宋体"/>
                <w:sz w:val="24"/>
                <w:szCs w:val="24"/>
              </w:rPr>
            </w:pPr>
            <w:r>
              <w:rPr>
                <w:rFonts w:hint="eastAsia" w:ascii="宋体" w:hAnsi="宋体" w:cs="宋体"/>
                <w:color w:val="000000"/>
                <w:sz w:val="24"/>
                <w:szCs w:val="24"/>
              </w:rPr>
              <w:t>勘察、测量现场后出布线图</w:t>
            </w:r>
          </w:p>
        </w:tc>
        <w:tc>
          <w:tcPr>
            <w:tcW w:w="4678" w:type="dxa"/>
          </w:tcPr>
          <w:p>
            <w:pPr>
              <w:spacing w:line="300" w:lineRule="exact"/>
              <w:rPr>
                <w:rFonts w:ascii="宋体" w:hAnsi="宋体" w:cs="宋体"/>
                <w:sz w:val="24"/>
                <w:szCs w:val="24"/>
              </w:rPr>
            </w:pPr>
            <w:r>
              <w:rPr>
                <w:rFonts w:hint="eastAsia" w:ascii="宋体" w:hAnsi="宋体" w:cs="宋体"/>
                <w:sz w:val="24"/>
                <w:szCs w:val="24"/>
              </w:rPr>
              <w:t>对拟实现数字化门诊用户，进行现场勘察，结合全国各地数字化门诊实施情况，给出用户最合理最优化最漂亮的实施方案，并根据实际情况绘出门诊布线效果图。</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spacing w:line="300" w:lineRule="exact"/>
              <w:jc w:val="center"/>
              <w:rPr>
                <w:rFonts w:ascii="宋体" w:hAnsi="宋体" w:cs="宋体"/>
                <w:sz w:val="24"/>
                <w:szCs w:val="24"/>
              </w:rPr>
            </w:pPr>
            <w:r>
              <w:rPr>
                <w:rFonts w:hint="eastAsia" w:ascii="宋体" w:hAnsi="宋体" w:cs="宋体"/>
                <w:color w:val="000000"/>
                <w:sz w:val="24"/>
                <w:szCs w:val="24"/>
              </w:rPr>
              <w:t>其它硬件配置方案设计</w:t>
            </w:r>
          </w:p>
        </w:tc>
        <w:tc>
          <w:tcPr>
            <w:tcW w:w="4678" w:type="dxa"/>
          </w:tcPr>
          <w:p>
            <w:pPr>
              <w:spacing w:line="300" w:lineRule="exact"/>
              <w:rPr>
                <w:rFonts w:ascii="宋体" w:hAnsi="宋体" w:cs="宋体"/>
                <w:sz w:val="24"/>
                <w:szCs w:val="24"/>
              </w:rPr>
            </w:pPr>
            <w:r>
              <w:rPr>
                <w:rFonts w:hint="eastAsia" w:ascii="宋体" w:hAnsi="宋体" w:cs="宋体"/>
                <w:sz w:val="24"/>
                <w:szCs w:val="24"/>
              </w:rPr>
              <w:t>综合拟实现数字化门诊用户既有硬件，结合用户实际情况及拟实现的数字化门诊全流程，给出用户最优的数字化门诊硬件配置方案设计。并出相应的网络报价以及详细参数。</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spacing w:line="300" w:lineRule="exact"/>
              <w:jc w:val="center"/>
              <w:rPr>
                <w:rFonts w:ascii="宋体" w:hAnsi="宋体" w:cs="宋体"/>
                <w:sz w:val="24"/>
                <w:szCs w:val="24"/>
              </w:rPr>
            </w:pPr>
            <w:r>
              <w:rPr>
                <w:rFonts w:hint="eastAsia" w:ascii="宋体" w:hAnsi="宋体" w:cs="宋体"/>
                <w:color w:val="000000"/>
                <w:sz w:val="24"/>
                <w:szCs w:val="24"/>
              </w:rPr>
              <w:t>协助现场布线（网线、视频线、音频线）</w:t>
            </w:r>
          </w:p>
        </w:tc>
        <w:tc>
          <w:tcPr>
            <w:tcW w:w="4678" w:type="dxa"/>
          </w:tcPr>
          <w:p>
            <w:pPr>
              <w:spacing w:line="300" w:lineRule="exact"/>
              <w:rPr>
                <w:rFonts w:ascii="宋体" w:hAnsi="宋体" w:cs="宋体"/>
                <w:sz w:val="24"/>
                <w:szCs w:val="24"/>
              </w:rPr>
            </w:pPr>
            <w:r>
              <w:rPr>
                <w:rFonts w:hint="eastAsia" w:ascii="宋体" w:hAnsi="宋体" w:cs="宋体"/>
                <w:sz w:val="24"/>
                <w:szCs w:val="24"/>
              </w:rPr>
              <w:t>为保证数字化门诊实现理想中的效果现场，可满足用户在布线装修期间对现场进行协助指导，以免出现误差，引起不必要的返工返修，浪费人力物力耽搁工期。</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spacing w:line="300" w:lineRule="exact"/>
              <w:jc w:val="center"/>
              <w:rPr>
                <w:rFonts w:ascii="宋体" w:hAnsi="宋体" w:cs="宋体"/>
                <w:sz w:val="24"/>
                <w:szCs w:val="24"/>
              </w:rPr>
            </w:pPr>
            <w:r>
              <w:rPr>
                <w:rFonts w:hint="eastAsia" w:ascii="宋体" w:hAnsi="宋体" w:cs="宋体"/>
                <w:color w:val="000000"/>
                <w:sz w:val="24"/>
                <w:szCs w:val="24"/>
              </w:rPr>
              <w:t>现场安装实施硬件、数据库、操作系统安装、调试</w:t>
            </w:r>
          </w:p>
        </w:tc>
        <w:tc>
          <w:tcPr>
            <w:tcW w:w="4678" w:type="dxa"/>
          </w:tcPr>
          <w:p>
            <w:pPr>
              <w:spacing w:line="300" w:lineRule="exact"/>
              <w:rPr>
                <w:rFonts w:ascii="宋体" w:hAnsi="宋体" w:cs="宋体"/>
                <w:sz w:val="24"/>
                <w:szCs w:val="24"/>
              </w:rPr>
            </w:pPr>
            <w:r>
              <w:rPr>
                <w:rFonts w:hint="eastAsia" w:ascii="宋体" w:hAnsi="宋体" w:cs="宋体"/>
                <w:sz w:val="24"/>
                <w:szCs w:val="24"/>
              </w:rPr>
              <w:t>对代购的硬件、客户既有硬件进行安装实施（对不符合数字化门诊系统运行的需重新安装），如操作系统的安装、数据库安装、其他常用办公软件的安装调试，以符合数字化门诊系统运行的基本条件。</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spacing w:line="300" w:lineRule="exact"/>
              <w:jc w:val="center"/>
              <w:rPr>
                <w:rFonts w:ascii="宋体" w:hAnsi="宋体" w:cs="宋体"/>
                <w:sz w:val="24"/>
                <w:szCs w:val="24"/>
              </w:rPr>
            </w:pPr>
            <w:r>
              <w:rPr>
                <w:rFonts w:hint="eastAsia" w:ascii="宋体" w:hAnsi="宋体" w:cs="宋体"/>
                <w:color w:val="000000"/>
                <w:sz w:val="24"/>
                <w:szCs w:val="24"/>
              </w:rPr>
              <w:t>门诊医生培训、门诊运行现场保障</w:t>
            </w:r>
          </w:p>
        </w:tc>
        <w:tc>
          <w:tcPr>
            <w:tcW w:w="4678" w:type="dxa"/>
          </w:tcPr>
          <w:p>
            <w:pPr>
              <w:spacing w:line="300" w:lineRule="exact"/>
              <w:rPr>
                <w:rFonts w:ascii="宋体" w:hAnsi="宋体" w:cs="宋体"/>
                <w:sz w:val="24"/>
                <w:szCs w:val="24"/>
              </w:rPr>
            </w:pPr>
            <w:r>
              <w:rPr>
                <w:rFonts w:hint="eastAsia" w:ascii="宋体" w:hAnsi="宋体" w:cs="宋体"/>
                <w:sz w:val="24"/>
                <w:szCs w:val="24"/>
              </w:rPr>
              <w:t>对门诊用户进行数字化门系统的操作培训、数字化门诊硬件操作简易培训，以及软硬件维护简易培训；对数字化门诊前期运行提供1-2天现场协助运行保障。</w:t>
            </w:r>
          </w:p>
        </w:tc>
        <w:tc>
          <w:tcPr>
            <w:tcW w:w="1134" w:type="dxa"/>
            <w:vMerge w:val="continue"/>
          </w:tcPr>
          <w:p>
            <w:pPr>
              <w:rPr>
                <w:rFonts w:ascii="宋体" w:hAnsi="宋体" w:cs="宋体"/>
                <w:sz w:val="24"/>
                <w:szCs w:val="24"/>
              </w:rPr>
            </w:pP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restart"/>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硬件部分专用设备</w:t>
            </w:r>
          </w:p>
        </w:tc>
        <w:tc>
          <w:tcPr>
            <w:tcW w:w="1701" w:type="dxa"/>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自动终端机（取号机）</w:t>
            </w:r>
          </w:p>
        </w:tc>
        <w:tc>
          <w:tcPr>
            <w:tcW w:w="4678" w:type="dxa"/>
            <w:vAlign w:val="center"/>
          </w:tcPr>
          <w:p>
            <w:pPr>
              <w:spacing w:line="300" w:lineRule="exact"/>
              <w:rPr>
                <w:rFonts w:ascii="宋体" w:hAnsi="宋体" w:cs="宋体"/>
                <w:sz w:val="24"/>
                <w:szCs w:val="24"/>
              </w:rPr>
            </w:pPr>
            <w:r>
              <w:rPr>
                <w:rFonts w:hint="eastAsia" w:ascii="宋体" w:hAnsi="宋体" w:cs="宋体"/>
                <w:sz w:val="24"/>
                <w:szCs w:val="24"/>
              </w:rPr>
              <w:t>（1）21.5英寸液晶显示屏；屏幕比例16:9</w:t>
            </w:r>
            <w:r>
              <w:rPr>
                <w:rFonts w:hint="eastAsia" w:ascii="宋体" w:hAnsi="宋体" w:cs="宋体"/>
                <w:sz w:val="24"/>
                <w:szCs w:val="24"/>
              </w:rPr>
              <w:br w:type="textWrapping"/>
            </w:r>
            <w:r>
              <w:rPr>
                <w:rFonts w:hint="eastAsia" w:ascii="宋体" w:hAnsi="宋体" w:cs="宋体"/>
                <w:sz w:val="24"/>
                <w:szCs w:val="24"/>
              </w:rPr>
              <w:t>（2）21.5英寸触摸屏</w:t>
            </w:r>
            <w:r>
              <w:rPr>
                <w:rFonts w:hint="eastAsia" w:ascii="宋体" w:hAnsi="宋体" w:cs="宋体"/>
                <w:sz w:val="24"/>
                <w:szCs w:val="24"/>
              </w:rPr>
              <w:br w:type="textWrapping"/>
            </w:r>
            <w:r>
              <w:rPr>
                <w:rFonts w:hint="eastAsia" w:ascii="宋体" w:hAnsi="宋体" w:cs="宋体"/>
                <w:sz w:val="24"/>
                <w:szCs w:val="24"/>
              </w:rPr>
              <w:t>（3）爱普生热敏打印机（纸宽80mm）：USB接口</w:t>
            </w:r>
            <w:r>
              <w:rPr>
                <w:rFonts w:hint="eastAsia" w:ascii="宋体" w:hAnsi="宋体" w:cs="宋体"/>
                <w:sz w:val="24"/>
                <w:szCs w:val="24"/>
              </w:rPr>
              <w:br w:type="textWrapping"/>
            </w:r>
            <w:r>
              <w:rPr>
                <w:rFonts w:hint="eastAsia" w:ascii="宋体" w:hAnsi="宋体" w:cs="宋体"/>
                <w:sz w:val="24"/>
                <w:szCs w:val="24"/>
              </w:rPr>
              <w:t>（4）主机配置：主板：信步SV1-19014P-C（赛扬处理器），</w:t>
            </w:r>
            <w:r>
              <w:rPr>
                <w:rFonts w:hint="eastAsia" w:ascii="宋体" w:hAnsi="宋体" w:cs="宋体"/>
                <w:sz w:val="24"/>
                <w:szCs w:val="24"/>
              </w:rPr>
              <w:br w:type="textWrapping"/>
            </w:r>
            <w:r>
              <w:rPr>
                <w:rFonts w:hint="eastAsia" w:ascii="宋体" w:hAnsi="宋体" w:cs="宋体"/>
                <w:sz w:val="24"/>
                <w:szCs w:val="24"/>
              </w:rPr>
              <w:t xml:space="preserve">CPU：英特尔SV1-19014P-C， 内存：4G，硬盘：120G固态   </w:t>
            </w:r>
            <w:r>
              <w:rPr>
                <w:rFonts w:hint="eastAsia" w:ascii="宋体" w:hAnsi="宋体" w:cs="宋体"/>
                <w:sz w:val="24"/>
                <w:szCs w:val="24"/>
              </w:rPr>
              <w:br w:type="textWrapping"/>
            </w:r>
            <w:r>
              <w:rPr>
                <w:rFonts w:hint="eastAsia" w:ascii="宋体" w:hAnsi="宋体" w:cs="宋体"/>
                <w:sz w:val="24"/>
                <w:szCs w:val="24"/>
              </w:rPr>
              <w:t>（5）内嵌 民德MP260 条码扫描仪（自动感应式触发）</w:t>
            </w:r>
            <w:r>
              <w:rPr>
                <w:rFonts w:hint="eastAsia" w:ascii="宋体" w:hAnsi="宋体" w:cs="宋体"/>
                <w:sz w:val="24"/>
                <w:szCs w:val="24"/>
              </w:rPr>
              <w:br w:type="textWrapping"/>
            </w:r>
            <w:r>
              <w:rPr>
                <w:rFonts w:hint="eastAsia" w:ascii="宋体" w:hAnsi="宋体" w:cs="宋体"/>
                <w:sz w:val="24"/>
                <w:szCs w:val="24"/>
              </w:rPr>
              <w:t>（6）机柜颜色：金卫信专属配色      系统： win7系统</w:t>
            </w:r>
          </w:p>
        </w:tc>
        <w:tc>
          <w:tcPr>
            <w:tcW w:w="1134" w:type="dxa"/>
            <w:vAlign w:val="center"/>
          </w:tcPr>
          <w:p>
            <w:pPr>
              <w:widowControl/>
              <w:jc w:val="center"/>
              <w:textAlignment w:val="center"/>
              <w:rPr>
                <w:rFonts w:ascii="宋体" w:hAnsi="宋体" w:cs="宋体"/>
                <w:sz w:val="24"/>
                <w:szCs w:val="24"/>
              </w:rPr>
            </w:pPr>
            <w:r>
              <w:rPr>
                <w:rFonts w:hint="eastAsia" w:ascii="宋体" w:hAnsi="宋体" w:cs="宋体"/>
                <w:sz w:val="24"/>
                <w:szCs w:val="24"/>
              </w:rPr>
              <w:t>jwx-86</w:t>
            </w: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spacing w:line="300" w:lineRule="exact"/>
              <w:jc w:val="center"/>
              <w:rPr>
                <w:rFonts w:ascii="宋体" w:hAnsi="宋体" w:cs="宋体"/>
                <w:color w:val="000000"/>
                <w:sz w:val="24"/>
                <w:szCs w:val="24"/>
              </w:rPr>
            </w:pPr>
          </w:p>
        </w:tc>
        <w:tc>
          <w:tcPr>
            <w:tcW w:w="1701" w:type="dxa"/>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自动终端机（留观机）</w:t>
            </w:r>
          </w:p>
        </w:tc>
        <w:tc>
          <w:tcPr>
            <w:tcW w:w="4678" w:type="dxa"/>
            <w:vAlign w:val="center"/>
          </w:tcPr>
          <w:p>
            <w:pPr>
              <w:spacing w:line="300" w:lineRule="exact"/>
              <w:rPr>
                <w:rFonts w:ascii="宋体" w:hAnsi="宋体" w:cs="宋体"/>
                <w:sz w:val="24"/>
                <w:szCs w:val="24"/>
              </w:rPr>
            </w:pPr>
            <w:r>
              <w:rPr>
                <w:rFonts w:hint="eastAsia" w:ascii="宋体" w:hAnsi="宋体" w:cs="宋体"/>
                <w:sz w:val="24"/>
                <w:szCs w:val="24"/>
              </w:rPr>
              <w:t>（1）21.5英寸液晶显示屏；屏幕比例16:9</w:t>
            </w:r>
            <w:r>
              <w:rPr>
                <w:rFonts w:hint="eastAsia" w:ascii="宋体" w:hAnsi="宋体" w:cs="宋体"/>
                <w:sz w:val="24"/>
                <w:szCs w:val="24"/>
              </w:rPr>
              <w:br w:type="textWrapping"/>
            </w:r>
            <w:r>
              <w:rPr>
                <w:rFonts w:hint="eastAsia" w:ascii="宋体" w:hAnsi="宋体" w:cs="宋体"/>
                <w:sz w:val="24"/>
                <w:szCs w:val="24"/>
              </w:rPr>
              <w:t>（2）21.5英寸触摸屏</w:t>
            </w:r>
            <w:r>
              <w:rPr>
                <w:rFonts w:hint="eastAsia" w:ascii="宋体" w:hAnsi="宋体" w:cs="宋体"/>
                <w:sz w:val="24"/>
                <w:szCs w:val="24"/>
              </w:rPr>
              <w:br w:type="textWrapping"/>
            </w:r>
            <w:r>
              <w:rPr>
                <w:rFonts w:hint="eastAsia" w:ascii="宋体" w:hAnsi="宋体" w:cs="宋体"/>
                <w:sz w:val="24"/>
                <w:szCs w:val="24"/>
              </w:rPr>
              <w:t>（3）爱普生热敏打印机（纸宽80mm）：USB接口</w:t>
            </w:r>
            <w:r>
              <w:rPr>
                <w:rFonts w:hint="eastAsia" w:ascii="宋体" w:hAnsi="宋体" w:cs="宋体"/>
                <w:sz w:val="24"/>
                <w:szCs w:val="24"/>
              </w:rPr>
              <w:br w:type="textWrapping"/>
            </w:r>
            <w:r>
              <w:rPr>
                <w:rFonts w:hint="eastAsia" w:ascii="宋体" w:hAnsi="宋体" w:cs="宋体"/>
                <w:sz w:val="24"/>
                <w:szCs w:val="24"/>
              </w:rPr>
              <w:t>（4）主机配置：主板：信步SV1-19014P-C（赛扬处理器），</w:t>
            </w:r>
            <w:r>
              <w:rPr>
                <w:rFonts w:hint="eastAsia" w:ascii="宋体" w:hAnsi="宋体" w:cs="宋体"/>
                <w:sz w:val="24"/>
                <w:szCs w:val="24"/>
              </w:rPr>
              <w:br w:type="textWrapping"/>
            </w:r>
            <w:r>
              <w:rPr>
                <w:rFonts w:hint="eastAsia" w:ascii="宋体" w:hAnsi="宋体" w:cs="宋体"/>
                <w:sz w:val="24"/>
                <w:szCs w:val="24"/>
              </w:rPr>
              <w:t xml:space="preserve">CPU：英特尔SV1-19014P-C， 内存：4G，硬盘：120G固态   </w:t>
            </w:r>
            <w:r>
              <w:rPr>
                <w:rFonts w:hint="eastAsia" w:ascii="宋体" w:hAnsi="宋体" w:cs="宋体"/>
                <w:sz w:val="24"/>
                <w:szCs w:val="24"/>
              </w:rPr>
              <w:br w:type="textWrapping"/>
            </w:r>
            <w:r>
              <w:rPr>
                <w:rFonts w:hint="eastAsia" w:ascii="宋体" w:hAnsi="宋体" w:cs="宋体"/>
                <w:sz w:val="24"/>
                <w:szCs w:val="24"/>
              </w:rPr>
              <w:t>（5）内嵌 民德MP260 条码扫描仪（自动感应式触发）</w:t>
            </w:r>
            <w:r>
              <w:rPr>
                <w:rFonts w:hint="eastAsia" w:ascii="宋体" w:hAnsi="宋体" w:cs="宋体"/>
                <w:sz w:val="24"/>
                <w:szCs w:val="24"/>
              </w:rPr>
              <w:br w:type="textWrapping"/>
            </w:r>
            <w:r>
              <w:rPr>
                <w:rFonts w:hint="eastAsia" w:ascii="宋体" w:hAnsi="宋体" w:cs="宋体"/>
                <w:sz w:val="24"/>
                <w:szCs w:val="24"/>
              </w:rPr>
              <w:t>（6）机柜颜色：金卫信专属配色      系统： win7系统</w:t>
            </w:r>
          </w:p>
        </w:tc>
        <w:tc>
          <w:tcPr>
            <w:tcW w:w="1134" w:type="dxa"/>
            <w:vAlign w:val="center"/>
          </w:tcPr>
          <w:p>
            <w:pPr>
              <w:widowControl/>
              <w:jc w:val="center"/>
              <w:textAlignment w:val="center"/>
              <w:rPr>
                <w:rFonts w:ascii="宋体" w:hAnsi="宋体" w:cs="宋体"/>
                <w:sz w:val="24"/>
                <w:szCs w:val="24"/>
              </w:rPr>
            </w:pPr>
            <w:r>
              <w:rPr>
                <w:rFonts w:hint="eastAsia" w:ascii="宋体" w:hAnsi="宋体" w:cs="宋体"/>
                <w:sz w:val="24"/>
                <w:szCs w:val="24"/>
              </w:rPr>
              <w:t>jwx-99</w:t>
            </w:r>
          </w:p>
        </w:tc>
        <w:tc>
          <w:tcPr>
            <w:tcW w:w="725" w:type="dxa"/>
            <w:vMerge w:val="continue"/>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widowControl/>
              <w:jc w:val="center"/>
              <w:textAlignment w:val="center"/>
              <w:rPr>
                <w:rFonts w:ascii="宋体" w:hAnsi="宋体" w:cs="宋体"/>
                <w:color w:val="000000"/>
                <w:sz w:val="24"/>
                <w:szCs w:val="24"/>
              </w:rPr>
            </w:pPr>
            <w:r>
              <w:rPr>
                <w:rFonts w:hint="eastAsia" w:ascii="宋体" w:hAnsi="宋体" w:cs="宋体"/>
                <w:sz w:val="24"/>
                <w:szCs w:val="24"/>
              </w:rPr>
              <w:t>安卓视频盒子</w:t>
            </w:r>
          </w:p>
        </w:tc>
        <w:tc>
          <w:tcPr>
            <w:tcW w:w="4678" w:type="dxa"/>
            <w:vAlign w:val="center"/>
          </w:tcPr>
          <w:p>
            <w:pPr>
              <w:spacing w:line="300" w:lineRule="exact"/>
              <w:rPr>
                <w:rFonts w:ascii="宋体" w:hAnsi="宋体" w:cs="宋体"/>
                <w:sz w:val="24"/>
                <w:szCs w:val="24"/>
              </w:rPr>
            </w:pPr>
            <w:r>
              <w:rPr>
                <w:rFonts w:hint="eastAsia" w:ascii="宋体" w:hAnsi="宋体" w:cs="宋体"/>
                <w:sz w:val="24"/>
                <w:szCs w:val="24"/>
              </w:rPr>
              <w:t>用户传输音频和视频数据（每个卫生院的台数都不样，每个屏幕对应一个盒子）</w:t>
            </w:r>
          </w:p>
        </w:tc>
        <w:tc>
          <w:tcPr>
            <w:tcW w:w="1134" w:type="dxa"/>
            <w:vAlign w:val="center"/>
          </w:tcPr>
          <w:p>
            <w:pPr>
              <w:widowControl/>
              <w:jc w:val="center"/>
              <w:textAlignment w:val="center"/>
              <w:rPr>
                <w:rFonts w:ascii="宋体" w:hAnsi="宋体" w:cs="宋体"/>
                <w:sz w:val="24"/>
                <w:szCs w:val="24"/>
              </w:rPr>
            </w:pPr>
            <w:r>
              <w:rPr>
                <w:rFonts w:hint="eastAsia" w:ascii="宋体" w:hAnsi="宋体" w:cs="宋体"/>
                <w:sz w:val="24"/>
                <w:szCs w:val="24"/>
              </w:rPr>
              <w:t>BF00HA</w:t>
            </w:r>
          </w:p>
        </w:tc>
        <w:tc>
          <w:tcPr>
            <w:tcW w:w="725" w:type="dxa"/>
            <w:vAlign w:val="center"/>
          </w:tcPr>
          <w:p>
            <w:pPr>
              <w:jc w:val="center"/>
              <w:rPr>
                <w:rFonts w:ascii="宋体" w:hAnsi="宋体" w:cs="宋体"/>
                <w:sz w:val="24"/>
                <w:szCs w:val="24"/>
              </w:rPr>
            </w:pPr>
            <w:r>
              <w:rPr>
                <w:rFonts w:hint="eastAsia" w:ascii="宋体" w:hAnsi="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Merge w:val="continue"/>
          </w:tcPr>
          <w:p>
            <w:pPr>
              <w:rPr>
                <w:rFonts w:ascii="宋体" w:hAnsi="宋体" w:cs="宋体"/>
                <w:sz w:val="24"/>
                <w:szCs w:val="24"/>
              </w:rPr>
            </w:pPr>
          </w:p>
        </w:tc>
        <w:tc>
          <w:tcPr>
            <w:tcW w:w="850" w:type="dxa"/>
            <w:vMerge w:val="continue"/>
          </w:tcPr>
          <w:p>
            <w:pPr>
              <w:rPr>
                <w:rFonts w:ascii="宋体" w:hAnsi="宋体" w:cs="宋体"/>
                <w:sz w:val="24"/>
                <w:szCs w:val="24"/>
              </w:rPr>
            </w:pPr>
          </w:p>
        </w:tc>
        <w:tc>
          <w:tcPr>
            <w:tcW w:w="1701" w:type="dxa"/>
            <w:vAlign w:val="center"/>
          </w:tcPr>
          <w:p>
            <w:pPr>
              <w:widowControl/>
              <w:jc w:val="center"/>
              <w:textAlignment w:val="center"/>
              <w:rPr>
                <w:rFonts w:ascii="宋体" w:hAnsi="宋体" w:cs="宋体"/>
                <w:color w:val="000000"/>
                <w:sz w:val="24"/>
                <w:szCs w:val="24"/>
              </w:rPr>
            </w:pPr>
            <w:r>
              <w:rPr>
                <w:rFonts w:hint="eastAsia" w:ascii="宋体" w:hAnsi="宋体" w:cs="宋体"/>
                <w:kern w:val="0"/>
                <w:sz w:val="24"/>
                <w:szCs w:val="24"/>
              </w:rPr>
              <w:t>核签机</w:t>
            </w:r>
          </w:p>
        </w:tc>
        <w:tc>
          <w:tcPr>
            <w:tcW w:w="4678" w:type="dxa"/>
            <w:vAlign w:val="center"/>
          </w:tcPr>
          <w:p>
            <w:pPr>
              <w:rPr>
                <w:rFonts w:ascii="宋体" w:hAnsi="宋体" w:cs="宋体"/>
                <w:sz w:val="24"/>
                <w:szCs w:val="24"/>
              </w:rPr>
            </w:pPr>
            <w:r>
              <w:rPr>
                <w:rFonts w:hint="eastAsia" w:ascii="宋体" w:hAnsi="宋体" w:cs="宋体"/>
                <w:sz w:val="24"/>
                <w:szCs w:val="24"/>
              </w:rPr>
              <w:t>用于登记台给接种者核对信息签字</w:t>
            </w:r>
          </w:p>
        </w:tc>
        <w:tc>
          <w:tcPr>
            <w:tcW w:w="1134"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核签机CBM-160</w:t>
            </w:r>
          </w:p>
        </w:tc>
        <w:tc>
          <w:tcPr>
            <w:tcW w:w="725" w:type="dxa"/>
            <w:vAlign w:val="center"/>
          </w:tcPr>
          <w:p>
            <w:pPr>
              <w:jc w:val="center"/>
              <w:rPr>
                <w:rFonts w:ascii="宋体" w:hAnsi="宋体" w:cs="宋体"/>
                <w:sz w:val="24"/>
                <w:szCs w:val="24"/>
              </w:rPr>
            </w:pPr>
            <w:r>
              <w:rPr>
                <w:rFonts w:hint="eastAsia" w:ascii="宋体" w:hAnsi="宋体" w:cs="宋体"/>
                <w:sz w:val="24"/>
                <w:szCs w:val="24"/>
              </w:rPr>
              <w:t>1</w:t>
            </w:r>
          </w:p>
        </w:tc>
      </w:tr>
    </w:tbl>
    <w:p>
      <w:pPr>
        <w:spacing w:beforeLines="50" w:afterLines="50" w:line="360" w:lineRule="auto"/>
        <w:jc w:val="both"/>
        <w:rPr>
          <w:rFonts w:ascii="宋体" w:hAnsi="宋体"/>
          <w:sz w:val="28"/>
          <w:szCs w:val="28"/>
        </w:rPr>
      </w:pPr>
      <w:r>
        <w:rPr>
          <w:rFonts w:hint="eastAsia" w:ascii="宋体" w:hAnsi="宋体"/>
          <w:b/>
          <w:sz w:val="28"/>
          <w:szCs w:val="28"/>
          <w:lang w:eastAsia="zh-CN"/>
        </w:rPr>
        <w:t>三</w:t>
      </w:r>
      <w:r>
        <w:rPr>
          <w:rFonts w:hint="eastAsia" w:ascii="宋体" w:hAnsi="宋体"/>
          <w:b/>
          <w:sz w:val="28"/>
          <w:szCs w:val="28"/>
        </w:rPr>
        <w:t>、商务要求</w:t>
      </w:r>
    </w:p>
    <w:tbl>
      <w:tblPr>
        <w:tblStyle w:val="12"/>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890" w:type="dxa"/>
            <w:tcBorders>
              <w:top w:val="single" w:color="auto" w:sz="4" w:space="0"/>
              <w:left w:val="single" w:color="auto" w:sz="4" w:space="0"/>
              <w:bottom w:val="single" w:color="auto" w:sz="4" w:space="0"/>
              <w:right w:val="single" w:color="auto" w:sz="4" w:space="0"/>
            </w:tcBorders>
            <w:vAlign w:val="center"/>
          </w:tcPr>
          <w:p>
            <w:pPr>
              <w:spacing w:line="350" w:lineRule="atLeast"/>
              <w:rPr>
                <w:rFonts w:cs="Arial" w:asciiTheme="minorEastAsia" w:hAnsiTheme="minorEastAsia" w:eastAsiaTheme="minorEastAsia"/>
                <w:color w:val="FF0000"/>
                <w:sz w:val="24"/>
                <w:szCs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b/>
                <w:sz w:val="24"/>
                <w:szCs w:val="24"/>
              </w:rPr>
              <w:t>一、投标报价要求：</w:t>
            </w:r>
          </w:p>
          <w:p>
            <w:pPr>
              <w:spacing w:line="350" w:lineRule="atLeast"/>
              <w:jc w:val="left"/>
              <w:rPr>
                <w:rFonts w:ascii="宋体" w:hAnsi="宋体"/>
                <w:sz w:val="24"/>
                <w:szCs w:val="24"/>
              </w:rPr>
            </w:pPr>
            <w:r>
              <w:rPr>
                <w:rFonts w:hint="eastAsia" w:ascii="宋体" w:hAnsi="宋体"/>
                <w:sz w:val="24"/>
                <w:szCs w:val="24"/>
              </w:rPr>
              <w:t>本项目为交钥匙项目，项目总报价包括货物采购、项目方案、运输、保管、设计、施工、安装、调试、验收、培训、相关检测部门测试验收等各种费用和售后服务、税金及其它所有成本费用的总和。</w:t>
            </w:r>
          </w:p>
          <w:p>
            <w:pPr>
              <w:spacing w:line="350" w:lineRule="atLeast"/>
              <w:rPr>
                <w:rFonts w:ascii="宋体" w:hAnsi="宋体"/>
                <w:sz w:val="24"/>
                <w:szCs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b/>
                <w:sz w:val="24"/>
                <w:szCs w:val="24"/>
              </w:rPr>
              <w:t>二、质保期：</w:t>
            </w:r>
            <w:r>
              <w:rPr>
                <w:rFonts w:hint="eastAsia" w:ascii="宋体" w:hAnsi="宋体"/>
                <w:sz w:val="24"/>
                <w:szCs w:val="24"/>
              </w:rPr>
              <w:t>本项目软硬件质保期从验收合格之日起计算不少于壹年。</w:t>
            </w:r>
          </w:p>
          <w:p>
            <w:pPr>
              <w:spacing w:line="350" w:lineRule="atLeast"/>
              <w:jc w:val="left"/>
              <w:rPr>
                <w:rFonts w:ascii="宋体" w:hAnsi="宋体"/>
                <w:b/>
                <w:sz w:val="24"/>
                <w:szCs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b/>
                <w:sz w:val="24"/>
                <w:szCs w:val="24"/>
              </w:rPr>
              <w:t>三、付款进度、交付使用期及地点：</w:t>
            </w:r>
          </w:p>
          <w:p>
            <w:pPr>
              <w:spacing w:line="350" w:lineRule="atLeast"/>
              <w:jc w:val="left"/>
              <w:rPr>
                <w:rFonts w:ascii="宋体" w:hAnsi="宋体"/>
                <w:sz w:val="24"/>
                <w:szCs w:val="24"/>
              </w:rPr>
            </w:pPr>
            <w:r>
              <w:rPr>
                <w:rFonts w:hint="eastAsia" w:ascii="宋体" w:hAnsi="宋体"/>
                <w:sz w:val="24"/>
                <w:szCs w:val="24"/>
              </w:rPr>
              <w:t>1、交付使用期：自签订合同之日起30个工作日内，完成设备的安装部署、调试和集成工作。</w:t>
            </w:r>
          </w:p>
          <w:p>
            <w:pPr>
              <w:spacing w:line="350" w:lineRule="atLeast"/>
              <w:jc w:val="left"/>
              <w:rPr>
                <w:rFonts w:ascii="宋体" w:hAnsi="宋体"/>
                <w:sz w:val="24"/>
                <w:szCs w:val="24"/>
              </w:rPr>
            </w:pPr>
            <w:r>
              <w:rPr>
                <w:rFonts w:hint="eastAsia" w:ascii="宋体" w:hAnsi="宋体"/>
                <w:sz w:val="24"/>
                <w:szCs w:val="24"/>
              </w:rPr>
              <w:t>2</w:t>
            </w:r>
            <w:r>
              <w:rPr>
                <w:rFonts w:hint="eastAsia" w:ascii="宋体" w:hAnsi="宋体"/>
                <w:color w:val="FF0000"/>
                <w:sz w:val="24"/>
                <w:szCs w:val="24"/>
              </w:rPr>
              <w:t>、付款进度：货物到达指定地点、安装调试正常运行并验收合格后，凭双方签署验收合格证明，中标人开具全额增值税发票及请款函给采购人，采购人走回款流程，支付项目款的100%。</w:t>
            </w:r>
          </w:p>
          <w:p>
            <w:pPr>
              <w:spacing w:line="350" w:lineRule="atLeast"/>
              <w:jc w:val="left"/>
              <w:rPr>
                <w:rFonts w:ascii="宋体" w:hAnsi="宋体"/>
                <w:sz w:val="24"/>
                <w:szCs w:val="24"/>
              </w:rPr>
            </w:pPr>
            <w:r>
              <w:rPr>
                <w:rFonts w:hint="eastAsia" w:ascii="宋体" w:hAnsi="宋体"/>
                <w:sz w:val="24"/>
                <w:szCs w:val="24"/>
              </w:rPr>
              <w:t>3、交货地点：采购人指定地点。</w:t>
            </w:r>
          </w:p>
          <w:p>
            <w:pPr>
              <w:spacing w:line="350" w:lineRule="atLeast"/>
              <w:jc w:val="left"/>
              <w:rPr>
                <w:rFonts w:ascii="宋体" w:hAnsi="宋体"/>
                <w:sz w:val="24"/>
                <w:szCs w:val="24"/>
              </w:rPr>
            </w:pPr>
            <w:r>
              <w:rPr>
                <w:rFonts w:ascii="宋体" w:hAnsi="宋体"/>
                <w:sz w:val="24"/>
                <w:szCs w:val="24"/>
              </w:rPr>
              <w:t>4</w:t>
            </w:r>
            <w:r>
              <w:rPr>
                <w:rFonts w:hint="eastAsia" w:ascii="宋体" w:hAnsi="宋体"/>
                <w:sz w:val="24"/>
                <w:szCs w:val="24"/>
              </w:rPr>
              <w:t>、交货方式：由采购人、中标人双方派代表当场开箱验货，方</w:t>
            </w:r>
            <w:r>
              <w:rPr>
                <w:rFonts w:hint="eastAsia" w:ascii="宋体" w:hAnsi="宋体"/>
                <w:sz w:val="24"/>
                <w:szCs w:val="24"/>
                <w:shd w:val="clear" w:color="auto" w:fill="FFFFFF"/>
              </w:rPr>
              <w:t>可</w:t>
            </w:r>
            <w:r>
              <w:rPr>
                <w:rFonts w:hint="eastAsia" w:ascii="宋体" w:hAnsi="宋体"/>
                <w:sz w:val="24"/>
                <w:szCs w:val="24"/>
              </w:rPr>
              <w:t>进行设备调试。</w:t>
            </w:r>
          </w:p>
          <w:p>
            <w:pPr>
              <w:spacing w:line="350" w:lineRule="atLeast"/>
              <w:rPr>
                <w:rFonts w:ascii="宋体" w:hAnsi="宋体"/>
                <w:b/>
                <w:sz w:val="24"/>
                <w:szCs w:val="24"/>
              </w:rPr>
            </w:pPr>
            <w:r>
              <w:rPr>
                <w:rFonts w:hint="eastAsia" w:ascii="宋体" w:hAnsi="宋体"/>
                <w:b/>
                <w:sz w:val="24"/>
                <w:szCs w:val="24"/>
              </w:rPr>
              <w:t>四、售后服务保障或维修响应时间要求：</w:t>
            </w:r>
          </w:p>
          <w:p>
            <w:pPr>
              <w:widowControl/>
              <w:spacing w:line="350" w:lineRule="atLeast"/>
              <w:jc w:val="left"/>
              <w:rPr>
                <w:rFonts w:ascii="宋体" w:hAnsi="宋体" w:cs="宋体"/>
                <w:kern w:val="1"/>
                <w:sz w:val="24"/>
                <w:szCs w:val="24"/>
              </w:rPr>
            </w:pPr>
            <w:r>
              <w:rPr>
                <w:rFonts w:hint="eastAsia" w:ascii="宋体" w:hAnsi="宋体"/>
                <w:sz w:val="24"/>
                <w:szCs w:val="24"/>
              </w:rPr>
              <w:t>1、</w:t>
            </w:r>
            <w:r>
              <w:rPr>
                <w:rFonts w:hint="eastAsia" w:ascii="宋体" w:hAnsi="宋体" w:cs="宋体"/>
                <w:kern w:val="1"/>
                <w:sz w:val="24"/>
                <w:szCs w:val="24"/>
              </w:rPr>
              <w:t>投标产品必须是全新且经由正规合法经销渠道的符合国家各项有关质量标准的合格产品。相关部件及服务须满足本表中各项要求。所有设备除满足上表要求的技术参数和配置外，其余均按国家标准及厂家出厂标准配置，若产品在运输过程中损坏须无偿调换同样产品。</w:t>
            </w:r>
          </w:p>
          <w:p>
            <w:pPr>
              <w:spacing w:line="350" w:lineRule="atLeast"/>
              <w:jc w:val="left"/>
              <w:rPr>
                <w:rFonts w:ascii="宋体" w:hAnsi="宋体"/>
                <w:sz w:val="24"/>
                <w:szCs w:val="24"/>
              </w:rPr>
            </w:pPr>
            <w:r>
              <w:rPr>
                <w:rFonts w:hint="eastAsia" w:ascii="宋体" w:hAnsi="宋体"/>
                <w:sz w:val="24"/>
                <w:szCs w:val="24"/>
              </w:rPr>
              <w:t>2、按国家有关规定或厂家承诺实行“三包”，质保期内全免费上门维修、免费更换零部件。</w:t>
            </w:r>
          </w:p>
          <w:p>
            <w:pPr>
              <w:spacing w:line="350" w:lineRule="atLeast"/>
              <w:jc w:val="left"/>
              <w:rPr>
                <w:rFonts w:ascii="宋体" w:hAnsi="宋体"/>
                <w:sz w:val="24"/>
                <w:szCs w:val="24"/>
              </w:rPr>
            </w:pPr>
            <w:r>
              <w:rPr>
                <w:rFonts w:hint="eastAsia" w:ascii="宋体" w:hAnsi="宋体"/>
                <w:sz w:val="24"/>
                <w:szCs w:val="24"/>
              </w:rPr>
              <w:t>3、</w:t>
            </w:r>
            <w:r>
              <w:rPr>
                <w:rFonts w:hint="eastAsia" w:ascii="宋体" w:hAnsi="宋体" w:cs="宋体"/>
                <w:color w:val="000000" w:themeColor="text1"/>
                <w:sz w:val="24"/>
                <w:szCs w:val="24"/>
                <w14:textFill>
                  <w14:solidFill>
                    <w14:schemeClr w14:val="tx1"/>
                  </w14:solidFill>
                </w14:textFill>
              </w:rPr>
              <w:t>★</w:t>
            </w:r>
            <w:r>
              <w:rPr>
                <w:rFonts w:hint="eastAsia" w:ascii="宋体" w:hAnsi="宋体"/>
                <w:sz w:val="24"/>
                <w:szCs w:val="24"/>
              </w:rPr>
              <w:t>设备发生故障时接到通知后1小时内响应， 4小时内到达现场维修并解决故障。</w:t>
            </w:r>
          </w:p>
          <w:p>
            <w:pPr>
              <w:spacing w:line="350" w:lineRule="atLeast"/>
              <w:jc w:val="left"/>
              <w:rPr>
                <w:rFonts w:ascii="宋体" w:hAnsi="宋体"/>
                <w:sz w:val="24"/>
                <w:szCs w:val="24"/>
              </w:rPr>
            </w:pPr>
            <w:r>
              <w:rPr>
                <w:rFonts w:hint="eastAsia" w:ascii="宋体" w:hAnsi="宋体"/>
                <w:sz w:val="24"/>
                <w:szCs w:val="24"/>
              </w:rPr>
              <w:t>4、</w:t>
            </w:r>
            <w:r>
              <w:rPr>
                <w:rFonts w:hint="eastAsia" w:ascii="宋体" w:hAnsi="宋体" w:cs="宋体"/>
                <w:color w:val="000000" w:themeColor="text1"/>
                <w:sz w:val="24"/>
                <w:szCs w:val="24"/>
                <w14:textFill>
                  <w14:solidFill>
                    <w14:schemeClr w14:val="tx1"/>
                  </w14:solidFill>
                </w14:textFill>
              </w:rPr>
              <w:t>★</w:t>
            </w:r>
            <w:r>
              <w:rPr>
                <w:rFonts w:hint="eastAsia" w:ascii="宋体" w:hAnsi="宋体"/>
                <w:sz w:val="24"/>
                <w:szCs w:val="24"/>
              </w:rPr>
              <w:t>中标人应负责设备的集成服务工作，由资深工程师和原厂工程师一同实施。</w:t>
            </w:r>
          </w:p>
          <w:p>
            <w:pPr>
              <w:spacing w:line="350" w:lineRule="atLeast"/>
              <w:jc w:val="left"/>
              <w:rPr>
                <w:rFonts w:ascii="宋体" w:hAnsi="宋体"/>
                <w:sz w:val="24"/>
                <w:szCs w:val="24"/>
              </w:rPr>
            </w:pPr>
            <w:r>
              <w:rPr>
                <w:rFonts w:hint="eastAsia" w:ascii="宋体" w:hAnsi="宋体"/>
                <w:sz w:val="24"/>
                <w:szCs w:val="24"/>
              </w:rPr>
              <w:t>5、其余按厂家标准执行。</w:t>
            </w:r>
          </w:p>
          <w:p>
            <w:pPr>
              <w:spacing w:line="350" w:lineRule="atLeast"/>
              <w:rPr>
                <w:rFonts w:ascii="宋体" w:hAnsi="宋体"/>
                <w:b/>
                <w:sz w:val="24"/>
                <w:szCs w:val="24"/>
              </w:rPr>
            </w:pPr>
            <w:r>
              <w:rPr>
                <w:rFonts w:hint="eastAsia" w:ascii="宋体" w:hAnsi="宋体"/>
                <w:b/>
                <w:sz w:val="24"/>
                <w:szCs w:val="24"/>
              </w:rPr>
              <w:t>五、其他要求：</w:t>
            </w:r>
          </w:p>
          <w:p>
            <w:pPr>
              <w:spacing w:line="350" w:lineRule="atLeast"/>
              <w:rPr>
                <w:rFonts w:ascii="宋体" w:hAnsi="宋体"/>
                <w:color w:val="FF0000"/>
                <w:sz w:val="24"/>
                <w:szCs w:val="24"/>
              </w:rPr>
            </w:pPr>
            <w:r>
              <w:rPr>
                <w:rFonts w:hint="eastAsia" w:ascii="宋体" w:hAnsi="宋体"/>
                <w:sz w:val="24"/>
                <w:szCs w:val="24"/>
              </w:rPr>
              <w:t>1、验收：</w:t>
            </w:r>
          </w:p>
          <w:p>
            <w:pPr>
              <w:spacing w:line="350" w:lineRule="atLeast"/>
              <w:rPr>
                <w:rFonts w:ascii="宋体" w:hAnsi="宋体"/>
                <w:sz w:val="24"/>
                <w:szCs w:val="24"/>
              </w:rPr>
            </w:pPr>
            <w:r>
              <w:rPr>
                <w:rFonts w:hint="eastAsia" w:ascii="宋体" w:hAnsi="宋体"/>
                <w:sz w:val="24"/>
                <w:szCs w:val="24"/>
              </w:rPr>
              <w:t>（1）中标供应商需承担供货时产品质量抽样检测的相关费用以及项目验收时发生的一切费用；验收标准应符合中国有关的国家、地方、行业标准。</w:t>
            </w:r>
          </w:p>
          <w:p>
            <w:pPr>
              <w:spacing w:line="350" w:lineRule="atLeast"/>
              <w:jc w:val="left"/>
              <w:rPr>
                <w:rFonts w:ascii="宋体" w:hAnsi="宋体"/>
                <w:sz w:val="24"/>
                <w:szCs w:val="24"/>
              </w:rPr>
            </w:pPr>
            <w:r>
              <w:rPr>
                <w:rFonts w:hint="eastAsia" w:ascii="宋体" w:hAnsi="宋体"/>
                <w:sz w:val="24"/>
                <w:szCs w:val="24"/>
              </w:rPr>
              <w:t>（2）当项目完成供货和竣工集成调试并正式运行2个月后，由中标人向采购人提出项目竣工验收申请，并于验收前向采购人提供一切有关技术文件、资料、图纸和相关记录等竣工材料，通知采购人及有关部门准备验收。拟竣工项目的实施总体功能、性能符合采购人认可的技术设计方案及合同规定的，予以验收，并作出验收结果报告。供需双方签署项目终验验收证书，并自正式交付使用之日起，整体项目才视为接受，并开始计算质保期。</w:t>
            </w:r>
          </w:p>
          <w:p>
            <w:pPr>
              <w:spacing w:line="350" w:lineRule="atLeast"/>
              <w:jc w:val="left"/>
              <w:rPr>
                <w:rFonts w:ascii="宋体" w:hAnsi="宋体"/>
                <w:sz w:val="24"/>
                <w:szCs w:val="24"/>
              </w:rPr>
            </w:pPr>
            <w:r>
              <w:rPr>
                <w:rFonts w:hint="eastAsia" w:ascii="宋体" w:hAnsi="宋体"/>
                <w:b/>
                <w:sz w:val="24"/>
                <w:szCs w:val="24"/>
              </w:rPr>
              <w:t>带“</w:t>
            </w:r>
            <w:r>
              <w:rPr>
                <w:rFonts w:hint="eastAsia" w:ascii="宋体" w:hAnsi="宋体" w:cs="宋体"/>
                <w:color w:val="000000" w:themeColor="text1"/>
                <w:sz w:val="24"/>
                <w:szCs w:val="24"/>
                <w14:textFill>
                  <w14:solidFill>
                    <w14:schemeClr w14:val="tx1"/>
                  </w14:solidFill>
                </w14:textFill>
              </w:rPr>
              <w:t>★</w:t>
            </w:r>
            <w:r>
              <w:rPr>
                <w:rFonts w:hint="eastAsia" w:ascii="宋体" w:hAnsi="宋体"/>
                <w:b/>
                <w:sz w:val="24"/>
                <w:szCs w:val="24"/>
              </w:rPr>
              <w:t>”参数为重要参数，投标人必须满足，否则投标无效。</w:t>
            </w:r>
          </w:p>
        </w:tc>
      </w:tr>
    </w:tbl>
    <w:p>
      <w:pPr>
        <w:pStyle w:val="16"/>
        <w:ind w:left="-708" w:leftChars="-337" w:firstLine="560" w:firstLineChars="200"/>
        <w:rPr>
          <w:sz w:val="28"/>
          <w:szCs w:val="28"/>
        </w:rPr>
      </w:pPr>
      <w:r>
        <w:rPr>
          <w:sz w:val="28"/>
          <w:szCs w:val="28"/>
        </w:rPr>
        <w:t xml:space="preserve">     </w:t>
      </w:r>
    </w:p>
    <w:p>
      <w:pPr>
        <w:widowControl/>
        <w:spacing w:line="360" w:lineRule="auto"/>
        <w:ind w:left="-708" w:leftChars="-338" w:hanging="2"/>
        <w:jc w:val="left"/>
        <w:rPr>
          <w:rFonts w:cs="宋体"/>
          <w:b/>
          <w:bCs/>
          <w:kern w:val="0"/>
          <w:sz w:val="28"/>
          <w:szCs w:val="28"/>
        </w:rPr>
      </w:pPr>
      <w:r>
        <w:rPr>
          <w:b/>
          <w:bCs/>
          <w:kern w:val="0"/>
          <w:sz w:val="28"/>
          <w:szCs w:val="28"/>
        </w:rPr>
        <w:t> </w:t>
      </w:r>
      <w:r>
        <w:rPr>
          <w:rFonts w:hint="eastAsia"/>
          <w:b/>
          <w:bCs/>
          <w:kern w:val="0"/>
          <w:sz w:val="28"/>
          <w:szCs w:val="28"/>
          <w:lang w:eastAsia="zh-CN"/>
        </w:rPr>
        <w:t>四</w:t>
      </w:r>
      <w:r>
        <w:rPr>
          <w:rFonts w:hint="eastAsia" w:cs="宋体"/>
          <w:b/>
          <w:bCs/>
          <w:kern w:val="0"/>
          <w:sz w:val="28"/>
          <w:szCs w:val="28"/>
        </w:rPr>
        <w:t>、合同签订</w:t>
      </w:r>
    </w:p>
    <w:p>
      <w:pPr>
        <w:widowControl/>
        <w:spacing w:line="360" w:lineRule="auto"/>
        <w:ind w:left="-708" w:leftChars="-338" w:hanging="2"/>
        <w:jc w:val="left"/>
        <w:rPr>
          <w:sz w:val="28"/>
          <w:szCs w:val="28"/>
        </w:rPr>
      </w:pPr>
      <w:r>
        <w:rPr>
          <w:rFonts w:hint="eastAsia" w:cs="宋体"/>
          <w:kern w:val="0"/>
          <w:sz w:val="28"/>
          <w:szCs w:val="28"/>
        </w:rPr>
        <w:t>招标人和中标人应当自公示结束后</w:t>
      </w:r>
      <w:sdt>
        <w:sdtPr>
          <w:rPr>
            <w:rFonts w:hint="eastAsia" w:cs="宋体"/>
            <w:kern w:val="0"/>
            <w:sz w:val="28"/>
            <w:szCs w:val="28"/>
          </w:rPr>
          <w:alias w:val="无特殊情况不建议修改"/>
          <w:tag w:val="无特殊情况不建议修改"/>
          <w:id w:val="-183904816"/>
          <w:placeholder>
            <w:docPart w:val="DefaultPlaceholder_-1854013440"/>
          </w:placeholder>
        </w:sdtPr>
        <w:sdtEndPr>
          <w:rPr>
            <w:rFonts w:hint="eastAsia" w:cs="宋体"/>
            <w:color w:val="FF0000"/>
            <w:kern w:val="0"/>
            <w:sz w:val="28"/>
            <w:szCs w:val="28"/>
            <w:u w:val="single"/>
          </w:rPr>
        </w:sdtEndPr>
        <w:sdtContent>
          <w:r>
            <w:rPr>
              <w:rFonts w:hint="eastAsia" w:cs="宋体"/>
              <w:color w:val="FF0000"/>
              <w:kern w:val="0"/>
              <w:sz w:val="28"/>
              <w:szCs w:val="28"/>
              <w:u w:val="single"/>
            </w:rPr>
            <w:t>7</w:t>
          </w:r>
          <w:r>
            <w:rPr>
              <w:rFonts w:hint="eastAsia" w:cs="宋体"/>
              <w:color w:val="FF0000"/>
              <w:kern w:val="0"/>
              <w:sz w:val="28"/>
              <w:szCs w:val="28"/>
              <w:u w:val="single"/>
              <w:lang w:eastAsia="zh-CN"/>
            </w:rPr>
            <w:t>个</w:t>
          </w:r>
        </w:sdtContent>
      </w:sdt>
      <w:r>
        <w:rPr>
          <w:rFonts w:hint="eastAsia" w:cs="宋体"/>
          <w:kern w:val="0"/>
          <w:sz w:val="28"/>
          <w:szCs w:val="28"/>
        </w:rPr>
        <w:t>工作日内签订采购合同。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eastAsia="zh-CN"/>
        </w:rPr>
        <w:t>五</w:t>
      </w:r>
      <w:r>
        <w:rPr>
          <w:rFonts w:hint="eastAsia" w:cs="宋体"/>
          <w:b/>
          <w:bCs/>
          <w:kern w:val="0"/>
          <w:sz w:val="28"/>
          <w:szCs w:val="28"/>
        </w:rPr>
        <w:t>、特别说明</w:t>
      </w:r>
    </w:p>
    <w:p>
      <w:pPr>
        <w:widowControl/>
        <w:spacing w:line="400" w:lineRule="exact"/>
        <w:ind w:left="-613" w:leftChars="-292" w:firstLine="481" w:firstLineChars="172"/>
        <w:jc w:val="left"/>
        <w:rPr>
          <w:rFonts w:cs="宋体"/>
          <w:kern w:val="0"/>
          <w:sz w:val="28"/>
          <w:szCs w:val="28"/>
        </w:rPr>
      </w:pPr>
      <w:r>
        <w:rPr>
          <w:rFonts w:hint="eastAsia" w:cs="宋体"/>
          <w:kern w:val="0"/>
          <w:sz w:val="28"/>
          <w:szCs w:val="28"/>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562" w:firstLineChars="200"/>
        <w:jc w:val="left"/>
        <w:rPr>
          <w:rFonts w:cs="宋体"/>
          <w:kern w:val="0"/>
          <w:sz w:val="28"/>
          <w:szCs w:val="28"/>
        </w:rPr>
      </w:pPr>
      <w:r>
        <w:rPr>
          <w:b/>
          <w:bCs/>
          <w:kern w:val="0"/>
          <w:sz w:val="28"/>
          <w:szCs w:val="28"/>
        </w:rPr>
        <w:br w:type="page"/>
      </w: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560" w:firstLineChars="200"/>
        <w:jc w:val="left"/>
        <w:rPr>
          <w:kern w:val="0"/>
          <w:sz w:val="28"/>
          <w:szCs w:val="28"/>
        </w:rPr>
      </w:pPr>
      <w:r>
        <w:rPr>
          <w:rFonts w:hint="eastAsia" w:cs="宋体"/>
          <w:kern w:val="0"/>
          <w:sz w:val="28"/>
          <w:szCs w:val="28"/>
        </w:rPr>
        <w:t>评委会将对确定为实质性响应招标文件要求的投标文件进行评价和比较，评标方法采用</w:t>
      </w:r>
      <w:r>
        <w:rPr>
          <w:rFonts w:hint="eastAsia" w:cs="宋体"/>
          <w:kern w:val="0"/>
          <w:sz w:val="28"/>
          <w:szCs w:val="28"/>
          <w:u w:val="single"/>
        </w:rPr>
        <w:t xml:space="preserve"> </w:t>
      </w:r>
      <w:sdt>
        <w:sdtPr>
          <w:rPr>
            <w:rFonts w:hint="eastAsia" w:cs="宋体"/>
            <w:kern w:val="0"/>
            <w:sz w:val="28"/>
            <w:szCs w:val="28"/>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b852781-3280-4809-add0-045060ef4cce}"/>
          </w:placeholder>
        </w:sdtPr>
        <w:sdtEndPr>
          <w:rPr>
            <w:rFonts w:hint="eastAsia" w:cs="宋体"/>
            <w:kern w:val="0"/>
            <w:sz w:val="28"/>
            <w:szCs w:val="28"/>
            <w:u w:val="single"/>
          </w:rPr>
        </w:sdtEndPr>
        <w:sdtContent>
          <w:r>
            <w:rPr>
              <w:rFonts w:hint="eastAsia" w:cs="宋体"/>
              <w:b/>
              <w:bCs/>
              <w:kern w:val="0"/>
              <w:sz w:val="28"/>
              <w:szCs w:val="28"/>
              <w:u w:val="single"/>
              <w:lang w:eastAsia="zh-CN"/>
            </w:rPr>
            <w:t>最低</w:t>
          </w:r>
          <w:r>
            <w:rPr>
              <w:rFonts w:hint="eastAsia" w:cs="宋体"/>
              <w:b/>
              <w:bCs/>
              <w:kern w:val="0"/>
              <w:sz w:val="28"/>
              <w:szCs w:val="28"/>
              <w:u w:val="single"/>
            </w:rPr>
            <w:t>评</w:t>
          </w:r>
          <w:r>
            <w:rPr>
              <w:rFonts w:hint="eastAsia" w:cs="宋体"/>
              <w:b/>
              <w:bCs/>
              <w:kern w:val="0"/>
              <w:sz w:val="28"/>
              <w:szCs w:val="28"/>
              <w:u w:val="single"/>
              <w:lang w:eastAsia="zh-CN"/>
            </w:rPr>
            <w:t>标价</w:t>
          </w:r>
          <w:r>
            <w:rPr>
              <w:rFonts w:hint="eastAsia" w:cs="宋体"/>
              <w:b/>
              <w:bCs/>
              <w:kern w:val="0"/>
              <w:sz w:val="28"/>
              <w:szCs w:val="28"/>
              <w:u w:val="single"/>
            </w:rPr>
            <w:t>法</w:t>
          </w:r>
        </w:sdtContent>
      </w:sdt>
      <w:r>
        <w:rPr>
          <w:rFonts w:cs="宋体"/>
          <w:kern w:val="0"/>
          <w:sz w:val="28"/>
          <w:szCs w:val="28"/>
          <w:u w:val="single"/>
        </w:rPr>
        <w:t xml:space="preserve"> </w:t>
      </w:r>
      <w:r>
        <w:rPr>
          <w:rFonts w:hint="eastAsia" w:cs="宋体"/>
          <w:kern w:val="0"/>
          <w:sz w:val="28"/>
          <w:szCs w:val="28"/>
        </w:rPr>
        <w:t>确定中标候选人。</w:t>
      </w:r>
    </w:p>
    <w:p>
      <w:pPr>
        <w:pStyle w:val="16"/>
      </w:pPr>
      <w:bookmarkStart w:id="0" w:name="_GoBack"/>
      <w:bookmarkEnd w:id="0"/>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66410"/>
    <w:rsid w:val="00080292"/>
    <w:rsid w:val="0008196D"/>
    <w:rsid w:val="00095D83"/>
    <w:rsid w:val="000A3BF1"/>
    <w:rsid w:val="000A6C18"/>
    <w:rsid w:val="000B7E2D"/>
    <w:rsid w:val="000E1AA6"/>
    <w:rsid w:val="000E43F2"/>
    <w:rsid w:val="000F6FAF"/>
    <w:rsid w:val="001227B3"/>
    <w:rsid w:val="00122D7F"/>
    <w:rsid w:val="00182B0D"/>
    <w:rsid w:val="001D28DE"/>
    <w:rsid w:val="001E31F2"/>
    <w:rsid w:val="001F0B73"/>
    <w:rsid w:val="001F3945"/>
    <w:rsid w:val="00204183"/>
    <w:rsid w:val="00227F50"/>
    <w:rsid w:val="00235D4A"/>
    <w:rsid w:val="00241CD6"/>
    <w:rsid w:val="00273025"/>
    <w:rsid w:val="002C7944"/>
    <w:rsid w:val="002D30EA"/>
    <w:rsid w:val="00345AF2"/>
    <w:rsid w:val="003C3AB5"/>
    <w:rsid w:val="003E2FE0"/>
    <w:rsid w:val="003E7DC1"/>
    <w:rsid w:val="004049E5"/>
    <w:rsid w:val="00474079"/>
    <w:rsid w:val="004C7EB2"/>
    <w:rsid w:val="004D08F5"/>
    <w:rsid w:val="004D2825"/>
    <w:rsid w:val="004F5A76"/>
    <w:rsid w:val="005007DD"/>
    <w:rsid w:val="005B049F"/>
    <w:rsid w:val="005B30C7"/>
    <w:rsid w:val="005D491D"/>
    <w:rsid w:val="00622354"/>
    <w:rsid w:val="006431C4"/>
    <w:rsid w:val="00654BC6"/>
    <w:rsid w:val="00684BD7"/>
    <w:rsid w:val="00694752"/>
    <w:rsid w:val="006A12DF"/>
    <w:rsid w:val="006A1C3F"/>
    <w:rsid w:val="006B2F74"/>
    <w:rsid w:val="006B5DA5"/>
    <w:rsid w:val="006C469B"/>
    <w:rsid w:val="006E5543"/>
    <w:rsid w:val="006F775C"/>
    <w:rsid w:val="00707A97"/>
    <w:rsid w:val="007814EA"/>
    <w:rsid w:val="00785CD1"/>
    <w:rsid w:val="007A5910"/>
    <w:rsid w:val="007D5769"/>
    <w:rsid w:val="007F6F70"/>
    <w:rsid w:val="00802253"/>
    <w:rsid w:val="008073E3"/>
    <w:rsid w:val="00825B15"/>
    <w:rsid w:val="008553F8"/>
    <w:rsid w:val="00871C48"/>
    <w:rsid w:val="00880ACF"/>
    <w:rsid w:val="008947BF"/>
    <w:rsid w:val="008A5DC5"/>
    <w:rsid w:val="008D3A6F"/>
    <w:rsid w:val="008F45D5"/>
    <w:rsid w:val="009530DC"/>
    <w:rsid w:val="009E1C35"/>
    <w:rsid w:val="009F69BD"/>
    <w:rsid w:val="00A2105C"/>
    <w:rsid w:val="00A32A4C"/>
    <w:rsid w:val="00A44D5C"/>
    <w:rsid w:val="00A72D1F"/>
    <w:rsid w:val="00A7441F"/>
    <w:rsid w:val="00A83F43"/>
    <w:rsid w:val="00AB2B0A"/>
    <w:rsid w:val="00AC0EA5"/>
    <w:rsid w:val="00AF123F"/>
    <w:rsid w:val="00B07FB2"/>
    <w:rsid w:val="00B8409A"/>
    <w:rsid w:val="00BA3521"/>
    <w:rsid w:val="00BB74B3"/>
    <w:rsid w:val="00BD2E0E"/>
    <w:rsid w:val="00BE1AC9"/>
    <w:rsid w:val="00C02BB9"/>
    <w:rsid w:val="00C20E88"/>
    <w:rsid w:val="00C33384"/>
    <w:rsid w:val="00C50E05"/>
    <w:rsid w:val="00C762C8"/>
    <w:rsid w:val="00C97AD7"/>
    <w:rsid w:val="00CC2DEE"/>
    <w:rsid w:val="00CD27A2"/>
    <w:rsid w:val="00D2336F"/>
    <w:rsid w:val="00D2685D"/>
    <w:rsid w:val="00D41CB5"/>
    <w:rsid w:val="00D57065"/>
    <w:rsid w:val="00D635CE"/>
    <w:rsid w:val="00DB5864"/>
    <w:rsid w:val="00E1137B"/>
    <w:rsid w:val="00E13FCC"/>
    <w:rsid w:val="00E14108"/>
    <w:rsid w:val="00E238E5"/>
    <w:rsid w:val="00E67DBF"/>
    <w:rsid w:val="00E72BBE"/>
    <w:rsid w:val="00E74D5B"/>
    <w:rsid w:val="00EA02CE"/>
    <w:rsid w:val="00EB1C9B"/>
    <w:rsid w:val="00ED5546"/>
    <w:rsid w:val="00EF6FEC"/>
    <w:rsid w:val="00F12B55"/>
    <w:rsid w:val="00F35BD9"/>
    <w:rsid w:val="00FB5B7F"/>
    <w:rsid w:val="00FB6C61"/>
    <w:rsid w:val="00FF2F38"/>
    <w:rsid w:val="020A5DD5"/>
    <w:rsid w:val="03D8458F"/>
    <w:rsid w:val="041C59DD"/>
    <w:rsid w:val="04A66578"/>
    <w:rsid w:val="04F07B21"/>
    <w:rsid w:val="05611025"/>
    <w:rsid w:val="0587295E"/>
    <w:rsid w:val="05B9677F"/>
    <w:rsid w:val="06A558C1"/>
    <w:rsid w:val="06D05B2E"/>
    <w:rsid w:val="072F63A4"/>
    <w:rsid w:val="07D63618"/>
    <w:rsid w:val="085A59A9"/>
    <w:rsid w:val="08646E76"/>
    <w:rsid w:val="09C53074"/>
    <w:rsid w:val="09C85F7A"/>
    <w:rsid w:val="0A0362F9"/>
    <w:rsid w:val="0A4F1460"/>
    <w:rsid w:val="0BC91684"/>
    <w:rsid w:val="0D5A0848"/>
    <w:rsid w:val="0DDF6528"/>
    <w:rsid w:val="0EAF35B4"/>
    <w:rsid w:val="0EFF73BA"/>
    <w:rsid w:val="0F410916"/>
    <w:rsid w:val="0F6B260C"/>
    <w:rsid w:val="0FBD18F4"/>
    <w:rsid w:val="0FC41FA8"/>
    <w:rsid w:val="10C44FE5"/>
    <w:rsid w:val="10C97A40"/>
    <w:rsid w:val="10D00951"/>
    <w:rsid w:val="11270A41"/>
    <w:rsid w:val="112C6057"/>
    <w:rsid w:val="122B15C9"/>
    <w:rsid w:val="127B7685"/>
    <w:rsid w:val="140D1AAC"/>
    <w:rsid w:val="144B713C"/>
    <w:rsid w:val="14A4200E"/>
    <w:rsid w:val="14BA18FD"/>
    <w:rsid w:val="16DE1BA1"/>
    <w:rsid w:val="175D42E5"/>
    <w:rsid w:val="17BE7C25"/>
    <w:rsid w:val="1A0861F4"/>
    <w:rsid w:val="1A5D5E77"/>
    <w:rsid w:val="1A8962C8"/>
    <w:rsid w:val="1ADD6755"/>
    <w:rsid w:val="1B9E58C2"/>
    <w:rsid w:val="1BD17F27"/>
    <w:rsid w:val="1C7A583D"/>
    <w:rsid w:val="1CDA5E97"/>
    <w:rsid w:val="1DF06DD9"/>
    <w:rsid w:val="1E075E82"/>
    <w:rsid w:val="1E7B30DA"/>
    <w:rsid w:val="1ECB216E"/>
    <w:rsid w:val="1F947BE9"/>
    <w:rsid w:val="1FB36A5F"/>
    <w:rsid w:val="1FDC1EA2"/>
    <w:rsid w:val="204E6A4B"/>
    <w:rsid w:val="214F4DED"/>
    <w:rsid w:val="21BC48F8"/>
    <w:rsid w:val="2218153E"/>
    <w:rsid w:val="228D2D2F"/>
    <w:rsid w:val="22BD2FB3"/>
    <w:rsid w:val="23F9728E"/>
    <w:rsid w:val="246A18D3"/>
    <w:rsid w:val="246B74DB"/>
    <w:rsid w:val="248D10AB"/>
    <w:rsid w:val="24942439"/>
    <w:rsid w:val="24E3352A"/>
    <w:rsid w:val="24FD4D83"/>
    <w:rsid w:val="250709CF"/>
    <w:rsid w:val="25130BC6"/>
    <w:rsid w:val="251A729B"/>
    <w:rsid w:val="252E3513"/>
    <w:rsid w:val="25E64306"/>
    <w:rsid w:val="26582593"/>
    <w:rsid w:val="266F2816"/>
    <w:rsid w:val="26A34BB6"/>
    <w:rsid w:val="26A36964"/>
    <w:rsid w:val="26D238DD"/>
    <w:rsid w:val="26ED7BDF"/>
    <w:rsid w:val="27A21081"/>
    <w:rsid w:val="2866687F"/>
    <w:rsid w:val="28AC5FA3"/>
    <w:rsid w:val="2A850E81"/>
    <w:rsid w:val="2A860F16"/>
    <w:rsid w:val="2B47070D"/>
    <w:rsid w:val="2B5C2C61"/>
    <w:rsid w:val="2D595FCE"/>
    <w:rsid w:val="2D68718B"/>
    <w:rsid w:val="2E44559E"/>
    <w:rsid w:val="2F0C5DA1"/>
    <w:rsid w:val="2FA71273"/>
    <w:rsid w:val="3194337D"/>
    <w:rsid w:val="32110C25"/>
    <w:rsid w:val="321879C0"/>
    <w:rsid w:val="326935B9"/>
    <w:rsid w:val="33501CEB"/>
    <w:rsid w:val="33754187"/>
    <w:rsid w:val="338113C5"/>
    <w:rsid w:val="34425A0E"/>
    <w:rsid w:val="34642367"/>
    <w:rsid w:val="34853AA5"/>
    <w:rsid w:val="34CC4FFC"/>
    <w:rsid w:val="352A3AB6"/>
    <w:rsid w:val="35A55B0F"/>
    <w:rsid w:val="3737378F"/>
    <w:rsid w:val="37585483"/>
    <w:rsid w:val="37A91900"/>
    <w:rsid w:val="3806606D"/>
    <w:rsid w:val="38C93665"/>
    <w:rsid w:val="38F605A0"/>
    <w:rsid w:val="392B3B87"/>
    <w:rsid w:val="397701BE"/>
    <w:rsid w:val="3A0D261A"/>
    <w:rsid w:val="3A4B1292"/>
    <w:rsid w:val="3AC76C6D"/>
    <w:rsid w:val="3ACC5F8D"/>
    <w:rsid w:val="3AD74F80"/>
    <w:rsid w:val="3B0752BB"/>
    <w:rsid w:val="3B363A0C"/>
    <w:rsid w:val="3B5B69F6"/>
    <w:rsid w:val="3C85293C"/>
    <w:rsid w:val="3CE60193"/>
    <w:rsid w:val="3D1B32A0"/>
    <w:rsid w:val="3D8E3A72"/>
    <w:rsid w:val="3DCE3E6E"/>
    <w:rsid w:val="3ED361A5"/>
    <w:rsid w:val="3F376133"/>
    <w:rsid w:val="3F5D12BF"/>
    <w:rsid w:val="40E85247"/>
    <w:rsid w:val="41366ED0"/>
    <w:rsid w:val="424E39A9"/>
    <w:rsid w:val="4286740D"/>
    <w:rsid w:val="42AE0157"/>
    <w:rsid w:val="42D10E7F"/>
    <w:rsid w:val="42F56341"/>
    <w:rsid w:val="448C6831"/>
    <w:rsid w:val="45800144"/>
    <w:rsid w:val="45883236"/>
    <w:rsid w:val="45EB3B06"/>
    <w:rsid w:val="46BA3873"/>
    <w:rsid w:val="480C5CBF"/>
    <w:rsid w:val="492E435B"/>
    <w:rsid w:val="492F5696"/>
    <w:rsid w:val="49675177"/>
    <w:rsid w:val="4A2A4B22"/>
    <w:rsid w:val="4AB10DA0"/>
    <w:rsid w:val="4AB35768"/>
    <w:rsid w:val="4BDC0E24"/>
    <w:rsid w:val="4C4243A5"/>
    <w:rsid w:val="4C7F2195"/>
    <w:rsid w:val="4E035DB6"/>
    <w:rsid w:val="4E77248F"/>
    <w:rsid w:val="4E7A2EF9"/>
    <w:rsid w:val="4EA77BEE"/>
    <w:rsid w:val="4F267FC7"/>
    <w:rsid w:val="4F6E78D6"/>
    <w:rsid w:val="4F787048"/>
    <w:rsid w:val="4FFE4E89"/>
    <w:rsid w:val="51976B19"/>
    <w:rsid w:val="52744CA6"/>
    <w:rsid w:val="52EA0FEF"/>
    <w:rsid w:val="52ED0DE3"/>
    <w:rsid w:val="534F6F67"/>
    <w:rsid w:val="53682217"/>
    <w:rsid w:val="539B006B"/>
    <w:rsid w:val="53D855EF"/>
    <w:rsid w:val="540208BE"/>
    <w:rsid w:val="54263430"/>
    <w:rsid w:val="55222FC6"/>
    <w:rsid w:val="56273962"/>
    <w:rsid w:val="56791B90"/>
    <w:rsid w:val="57BC2879"/>
    <w:rsid w:val="58AB32D2"/>
    <w:rsid w:val="58BA59F2"/>
    <w:rsid w:val="5A1B57E1"/>
    <w:rsid w:val="5B4517BC"/>
    <w:rsid w:val="5BCB48E6"/>
    <w:rsid w:val="5BD2436E"/>
    <w:rsid w:val="5CA22C3E"/>
    <w:rsid w:val="5CD96603"/>
    <w:rsid w:val="5D33143B"/>
    <w:rsid w:val="5D384191"/>
    <w:rsid w:val="5DEB0F45"/>
    <w:rsid w:val="5E116BDB"/>
    <w:rsid w:val="5EB915BA"/>
    <w:rsid w:val="5EC0115A"/>
    <w:rsid w:val="5FBF1411"/>
    <w:rsid w:val="5FBF74F7"/>
    <w:rsid w:val="601E082E"/>
    <w:rsid w:val="60433DF0"/>
    <w:rsid w:val="60A26D69"/>
    <w:rsid w:val="619A0388"/>
    <w:rsid w:val="61A86601"/>
    <w:rsid w:val="61DA42C9"/>
    <w:rsid w:val="620068EC"/>
    <w:rsid w:val="622562E9"/>
    <w:rsid w:val="62424D8A"/>
    <w:rsid w:val="62E53885"/>
    <w:rsid w:val="62FE6288"/>
    <w:rsid w:val="648F0FD0"/>
    <w:rsid w:val="65436640"/>
    <w:rsid w:val="65654D7E"/>
    <w:rsid w:val="659C46CE"/>
    <w:rsid w:val="66122DE8"/>
    <w:rsid w:val="667A54D2"/>
    <w:rsid w:val="66C8679B"/>
    <w:rsid w:val="67DF6AF4"/>
    <w:rsid w:val="68861BB7"/>
    <w:rsid w:val="68C10ACC"/>
    <w:rsid w:val="691F78D0"/>
    <w:rsid w:val="69333123"/>
    <w:rsid w:val="69584A15"/>
    <w:rsid w:val="69CD6553"/>
    <w:rsid w:val="6A1C1F4D"/>
    <w:rsid w:val="6A2C0BA0"/>
    <w:rsid w:val="6AAD6A36"/>
    <w:rsid w:val="6B74481F"/>
    <w:rsid w:val="6B7C465A"/>
    <w:rsid w:val="6B905A67"/>
    <w:rsid w:val="6C465394"/>
    <w:rsid w:val="6DAE1443"/>
    <w:rsid w:val="6DD0797D"/>
    <w:rsid w:val="6DDD59D0"/>
    <w:rsid w:val="6F0155A2"/>
    <w:rsid w:val="6F4F27B2"/>
    <w:rsid w:val="704234B9"/>
    <w:rsid w:val="71747D49"/>
    <w:rsid w:val="722A12B4"/>
    <w:rsid w:val="72933F95"/>
    <w:rsid w:val="73552881"/>
    <w:rsid w:val="74017DF2"/>
    <w:rsid w:val="744245F4"/>
    <w:rsid w:val="74B5471E"/>
    <w:rsid w:val="75661EAC"/>
    <w:rsid w:val="757F36C5"/>
    <w:rsid w:val="762B1157"/>
    <w:rsid w:val="765D0487"/>
    <w:rsid w:val="76D6141B"/>
    <w:rsid w:val="77412327"/>
    <w:rsid w:val="778C3E77"/>
    <w:rsid w:val="77C67389"/>
    <w:rsid w:val="787212BF"/>
    <w:rsid w:val="7923015C"/>
    <w:rsid w:val="79FC3536"/>
    <w:rsid w:val="7A716556"/>
    <w:rsid w:val="7AAD2A82"/>
    <w:rsid w:val="7AB72C56"/>
    <w:rsid w:val="7B8C2CD6"/>
    <w:rsid w:val="7B9808AF"/>
    <w:rsid w:val="7BD227A0"/>
    <w:rsid w:val="7BF429B9"/>
    <w:rsid w:val="7C7154A6"/>
    <w:rsid w:val="7CBA6985"/>
    <w:rsid w:val="7CC0084B"/>
    <w:rsid w:val="7DC97BD3"/>
    <w:rsid w:val="7E176B90"/>
    <w:rsid w:val="7E4A06B1"/>
    <w:rsid w:val="7E970FC6"/>
    <w:rsid w:val="7E9A0A8C"/>
    <w:rsid w:val="7EF706D4"/>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bCs/>
      <w:spacing w:val="10"/>
      <w:kern w:val="0"/>
      <w:sz w:val="24"/>
      <w:szCs w:val="20"/>
    </w:rPr>
  </w:style>
  <w:style w:type="paragraph" w:styleId="4">
    <w:name w:val="annotation text"/>
    <w:basedOn w:val="1"/>
    <w:link w:val="18"/>
    <w:qFormat/>
    <w:uiPriority w:val="99"/>
    <w:pPr>
      <w:jc w:val="left"/>
    </w:pPr>
  </w:style>
  <w:style w:type="paragraph" w:styleId="5">
    <w:name w:val="Body Text"/>
    <w:basedOn w:val="1"/>
    <w:next w:val="1"/>
    <w:unhideWhenUsed/>
    <w:qFormat/>
    <w:uiPriority w:val="0"/>
    <w:pPr>
      <w:spacing w:after="120"/>
    </w:pPr>
  </w:style>
  <w:style w:type="paragraph" w:styleId="6">
    <w:name w:val="Plain Text"/>
    <w:basedOn w:val="1"/>
    <w:link w:val="20"/>
    <w:qFormat/>
    <w:uiPriority w:val="0"/>
    <w:rPr>
      <w:rFonts w:ascii="宋体" w:hAnsi="Courier New"/>
    </w:rPr>
  </w:style>
  <w:style w:type="paragraph" w:styleId="7">
    <w:name w:val="Balloon Text"/>
    <w:basedOn w:val="1"/>
    <w:link w:val="30"/>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semiHidden/>
    <w:unhideWhenUsed/>
    <w:qFormat/>
    <w:uiPriority w:val="99"/>
    <w:rPr>
      <w:b/>
      <w:bCs/>
    </w:rPr>
  </w:style>
  <w:style w:type="paragraph" w:styleId="11">
    <w:name w:val="Body Text First Indent"/>
    <w:basedOn w:val="5"/>
    <w:unhideWhenUsed/>
    <w:qFormat/>
    <w:uiPriority w:val="99"/>
    <w:pPr>
      <w:ind w:firstLine="420" w:firstLineChars="100"/>
    </w:p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semiHidden/>
    <w:qFormat/>
    <w:uiPriority w:val="99"/>
    <w:rPr>
      <w:sz w:val="21"/>
      <w:szCs w:val="21"/>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批注文字 字符"/>
    <w:basedOn w:val="14"/>
    <w:qFormat/>
    <w:uiPriority w:val="99"/>
    <w:rPr>
      <w:rFonts w:ascii="Times New Roman" w:hAnsi="Times New Roman" w:eastAsia="宋体" w:cs="Times New Roman"/>
      <w:szCs w:val="21"/>
    </w:rPr>
  </w:style>
  <w:style w:type="character" w:customStyle="1" w:styleId="18">
    <w:name w:val="批注文字 Char"/>
    <w:link w:val="4"/>
    <w:semiHidden/>
    <w:qFormat/>
    <w:uiPriority w:val="99"/>
    <w:rPr>
      <w:rFonts w:ascii="Times New Roman" w:hAnsi="Times New Roman" w:eastAsia="宋体" w:cs="Times New Roman"/>
      <w:szCs w:val="21"/>
    </w:rPr>
  </w:style>
  <w:style w:type="character" w:customStyle="1" w:styleId="19">
    <w:name w:val="批注主题 Char"/>
    <w:basedOn w:val="18"/>
    <w:link w:val="10"/>
    <w:semiHidden/>
    <w:qFormat/>
    <w:uiPriority w:val="99"/>
    <w:rPr>
      <w:rFonts w:ascii="Times New Roman" w:hAnsi="Times New Roman" w:eastAsia="宋体" w:cs="Times New Roman"/>
      <w:b/>
      <w:bCs/>
      <w:szCs w:val="21"/>
    </w:rPr>
  </w:style>
  <w:style w:type="character" w:customStyle="1" w:styleId="20">
    <w:name w:val="纯文本 Char"/>
    <w:basedOn w:val="14"/>
    <w:link w:val="6"/>
    <w:qFormat/>
    <w:uiPriority w:val="0"/>
    <w:rPr>
      <w:rFonts w:ascii="宋体" w:hAnsi="Courier New" w:eastAsia="宋体" w:cs="Times New Roman"/>
      <w:szCs w:val="21"/>
    </w:rPr>
  </w:style>
  <w:style w:type="character" w:customStyle="1" w:styleId="21">
    <w:name w:val="fontstyle01"/>
    <w:qFormat/>
    <w:uiPriority w:val="0"/>
    <w:rPr>
      <w:rFonts w:hint="eastAsia" w:ascii="宋体" w:hAnsi="宋体" w:eastAsia="宋体"/>
      <w:color w:val="000000"/>
      <w:sz w:val="24"/>
      <w:szCs w:val="24"/>
    </w:rPr>
  </w:style>
  <w:style w:type="character" w:customStyle="1" w:styleId="22">
    <w:name w:val="页眉 Char"/>
    <w:basedOn w:val="14"/>
    <w:link w:val="9"/>
    <w:qFormat/>
    <w:uiPriority w:val="99"/>
    <w:rPr>
      <w:rFonts w:ascii="Times New Roman" w:hAnsi="Times New Roman" w:eastAsia="宋体" w:cs="Times New Roman"/>
      <w:sz w:val="18"/>
      <w:szCs w:val="18"/>
    </w:rPr>
  </w:style>
  <w:style w:type="character" w:customStyle="1" w:styleId="23">
    <w:name w:val="页脚 Char"/>
    <w:basedOn w:val="14"/>
    <w:link w:val="8"/>
    <w:qFormat/>
    <w:uiPriority w:val="99"/>
    <w:rPr>
      <w:rFonts w:ascii="Times New Roman" w:hAnsi="Times New Roman" w:eastAsia="宋体" w:cs="Times New Roman"/>
      <w:sz w:val="18"/>
      <w:szCs w:val="18"/>
    </w:rPr>
  </w:style>
  <w:style w:type="character" w:styleId="24">
    <w:name w:val="Placeholder Text"/>
    <w:basedOn w:val="14"/>
    <w:semiHidden/>
    <w:qFormat/>
    <w:uiPriority w:val="99"/>
    <w:rPr>
      <w:color w:val="808080"/>
    </w:rPr>
  </w:style>
  <w:style w:type="paragraph" w:customStyle="1" w:styleId="25">
    <w:name w:val="样式1"/>
    <w:basedOn w:val="1"/>
    <w:qFormat/>
    <w:uiPriority w:val="0"/>
  </w:style>
  <w:style w:type="paragraph" w:customStyle="1" w:styleId="26">
    <w:name w:val="列出段落1"/>
    <w:basedOn w:val="1"/>
    <w:qFormat/>
    <w:uiPriority w:val="34"/>
    <w:pPr>
      <w:ind w:firstLine="420"/>
    </w:pPr>
  </w:style>
  <w:style w:type="paragraph" w:styleId="27">
    <w:name w:val="List Paragraph"/>
    <w:basedOn w:val="1"/>
    <w:qFormat/>
    <w:uiPriority w:val="99"/>
    <w:pPr>
      <w:ind w:firstLine="420" w:firstLineChars="200"/>
    </w:pPr>
    <w:rPr>
      <w:rFonts w:ascii="Calibri" w:hAnsi="Calibri" w:cs="宋体"/>
      <w:szCs w:val="22"/>
    </w:rPr>
  </w:style>
  <w:style w:type="character" w:customStyle="1" w:styleId="28">
    <w:name w:val="font11"/>
    <w:basedOn w:val="14"/>
    <w:qFormat/>
    <w:uiPriority w:val="0"/>
    <w:rPr>
      <w:rFonts w:hint="eastAsia" w:ascii="宋体" w:hAnsi="宋体" w:eastAsia="宋体" w:cs="宋体"/>
      <w:color w:val="000000"/>
      <w:sz w:val="24"/>
      <w:szCs w:val="24"/>
      <w:u w:val="none"/>
    </w:rPr>
  </w:style>
  <w:style w:type="character" w:customStyle="1" w:styleId="29">
    <w:name w:val="font01"/>
    <w:basedOn w:val="14"/>
    <w:qFormat/>
    <w:uiPriority w:val="0"/>
    <w:rPr>
      <w:rFonts w:hint="default" w:ascii="Times New Roman" w:hAnsi="Times New Roman" w:cs="Times New Roman"/>
      <w:color w:val="000000"/>
      <w:sz w:val="24"/>
      <w:szCs w:val="24"/>
      <w:u w:val="none"/>
    </w:rPr>
  </w:style>
  <w:style w:type="character" w:customStyle="1" w:styleId="30">
    <w:name w:val="批注框文本 Char"/>
    <w:basedOn w:val="14"/>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b852781-3280-4809-add0-045060ef4cce}"/>
        <w:style w:val=""/>
        <w:category>
          <w:name w:val="常规"/>
          <w:gallery w:val="placeholder"/>
        </w:category>
        <w:types>
          <w:type w:val="bbPlcHdr"/>
        </w:types>
        <w:behaviors>
          <w:behavior w:val="content"/>
        </w:behaviors>
        <w:description w:val=""/>
        <w:guid w:val="{EB852781-3280-4809-ADD0-045060EF4CC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04141A"/>
    <w:rsid w:val="00093F0A"/>
    <w:rsid w:val="00102898"/>
    <w:rsid w:val="001B2DBA"/>
    <w:rsid w:val="0048475D"/>
    <w:rsid w:val="006C39DB"/>
    <w:rsid w:val="006F68E2"/>
    <w:rsid w:val="00701D3A"/>
    <w:rsid w:val="007311C2"/>
    <w:rsid w:val="00750563"/>
    <w:rsid w:val="0080285A"/>
    <w:rsid w:val="00A662F6"/>
    <w:rsid w:val="00A87B35"/>
    <w:rsid w:val="00AD2810"/>
    <w:rsid w:val="00B71BFC"/>
    <w:rsid w:val="00BD1809"/>
    <w:rsid w:val="00D661F9"/>
    <w:rsid w:val="00E11974"/>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D96B62644A14108B5165B0B3700337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038B-1374-445A-9772-F3F7B591B2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5256</Words>
  <Characters>6101</Characters>
  <Lines>41</Lines>
  <Paragraphs>11</Paragraphs>
  <TotalTime>4</TotalTime>
  <ScaleCrop>false</ScaleCrop>
  <LinksUpToDate>false</LinksUpToDate>
  <CharactersWithSpaces>6279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2022-07-25T15:11:00Z</dcterms:created>
  <dc:creator>c k</dc:creator>
  <cp:lastModifiedBy>Administrator</cp:lastModifiedBy>
  <cp:lastPrinted>2021-01-18T07:59:00Z</cp:lastPrinted>
  <dcterms:modified xsi:type="dcterms:W3CDTF">2022-08-03T02:34:44Z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530341C43AEF48B6BD2D245A82FEDE8F</vt:lpwstr>
  </property>
</Properties>
</file>