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b/>
          <w:bCs/>
        </w:rPr>
      </w:pPr>
      <w:r>
        <w:rPr>
          <w:rFonts w:hint="eastAsia"/>
          <w:b/>
          <w:bCs/>
        </w:rPr>
        <w:t xml:space="preserve">       </w:t>
      </w:r>
    </w:p>
    <w:tbl>
      <w:tblPr>
        <w:tblStyle w:val="12"/>
        <w:tblW w:w="955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625"/>
        <w:gridCol w:w="1380"/>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15" w:type="dxa"/>
          </w:tcPr>
          <w:p>
            <w:pPr>
              <w:pStyle w:val="2"/>
              <w:jc w:val="both"/>
            </w:pPr>
            <w:r>
              <w:rPr>
                <w:rFonts w:hint="eastAsia"/>
              </w:rPr>
              <w:t>序号</w:t>
            </w:r>
          </w:p>
        </w:tc>
        <w:tc>
          <w:tcPr>
            <w:tcW w:w="2625" w:type="dxa"/>
          </w:tcPr>
          <w:p>
            <w:pPr>
              <w:pStyle w:val="2"/>
              <w:ind w:firstLine="720" w:firstLineChars="300"/>
              <w:jc w:val="both"/>
            </w:pPr>
            <w:r>
              <w:rPr>
                <w:rFonts w:hint="eastAsia"/>
              </w:rPr>
              <w:t>名称</w:t>
            </w:r>
          </w:p>
        </w:tc>
        <w:tc>
          <w:tcPr>
            <w:tcW w:w="1380" w:type="dxa"/>
          </w:tcPr>
          <w:p>
            <w:pPr>
              <w:pStyle w:val="2"/>
              <w:jc w:val="both"/>
            </w:pPr>
            <w:r>
              <w:rPr>
                <w:rFonts w:hint="eastAsia"/>
              </w:rPr>
              <w:t>数量</w:t>
            </w:r>
          </w:p>
        </w:tc>
        <w:tc>
          <w:tcPr>
            <w:tcW w:w="4635" w:type="dxa"/>
          </w:tcPr>
          <w:p>
            <w:pPr>
              <w:pStyle w:val="2"/>
              <w:jc w:val="both"/>
            </w:pPr>
            <w:r>
              <w:rPr>
                <w:rFonts w:hint="eastAsia"/>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5" w:type="dxa"/>
          </w:tcPr>
          <w:p>
            <w:pPr>
              <w:pStyle w:val="2"/>
              <w:jc w:val="both"/>
            </w:pPr>
            <w:r>
              <w:rPr>
                <w:rFonts w:hint="eastAsia"/>
              </w:rPr>
              <w:t>1</w:t>
            </w:r>
          </w:p>
        </w:tc>
        <w:tc>
          <w:tcPr>
            <w:tcW w:w="2625" w:type="dxa"/>
          </w:tcPr>
          <w:p>
            <w:pPr>
              <w:pStyle w:val="2"/>
              <w:jc w:val="both"/>
              <w:rPr>
                <w:rFonts w:ascii="宋体" w:hAnsi="宋体" w:cs="宋体"/>
              </w:rPr>
            </w:pPr>
            <w:r>
              <w:rPr>
                <w:rFonts w:hint="eastAsia"/>
              </w:rPr>
              <w:t>组合式硬管镜</w:t>
            </w:r>
          </w:p>
        </w:tc>
        <w:tc>
          <w:tcPr>
            <w:tcW w:w="1380" w:type="dxa"/>
          </w:tcPr>
          <w:p>
            <w:pPr>
              <w:pStyle w:val="2"/>
              <w:jc w:val="both"/>
              <w:rPr>
                <w:rFonts w:ascii="宋体" w:hAnsi="宋体" w:cs="宋体"/>
              </w:rPr>
            </w:pPr>
            <w:r>
              <w:rPr>
                <w:rFonts w:hint="eastAsia" w:ascii="宋体" w:hAnsi="宋体" w:cs="宋体"/>
              </w:rPr>
              <w:t>1套</w:t>
            </w:r>
          </w:p>
        </w:tc>
        <w:tc>
          <w:tcPr>
            <w:tcW w:w="4635" w:type="dxa"/>
          </w:tcPr>
          <w:p>
            <w:pPr>
              <w:widowControl/>
              <w:spacing w:line="360" w:lineRule="auto"/>
              <w:jc w:val="left"/>
              <w:rPr>
                <w:rFonts w:ascii="宋体" w:hAnsi="宋体" w:cs="宋体"/>
                <w:b/>
                <w:bCs/>
                <w:sz w:val="24"/>
                <w:szCs w:val="24"/>
              </w:rPr>
            </w:pPr>
            <w:r>
              <w:rPr>
                <w:rFonts w:hint="eastAsia" w:ascii="宋体" w:hAnsi="宋体" w:cs="宋体"/>
                <w:sz w:val="24"/>
                <w:szCs w:val="24"/>
              </w:rPr>
              <w:t>详见</w:t>
            </w:r>
            <w:r>
              <w:rPr>
                <w:rFonts w:hint="eastAsia" w:cs="宋体"/>
                <w:kern w:val="0"/>
                <w:sz w:val="24"/>
                <w:szCs w:val="24"/>
              </w:rPr>
              <w:t>技术参数、性能（配置）及其他要求</w:t>
            </w:r>
          </w:p>
        </w:tc>
      </w:tr>
    </w:tbl>
    <w:p>
      <w:pPr>
        <w:pStyle w:val="2"/>
        <w:rPr>
          <w:b/>
          <w:bCs/>
        </w:rPr>
      </w:pPr>
    </w:p>
    <w:p>
      <w:pPr>
        <w:pStyle w:val="26"/>
        <w:numPr>
          <w:ilvl w:val="0"/>
          <w:numId w:val="1"/>
        </w:numPr>
        <w:spacing w:line="360" w:lineRule="exact"/>
        <w:ind w:firstLineChars="0"/>
        <w:rPr>
          <w:rFonts w:ascii="宋体" w:hAnsi="宋体"/>
          <w:sz w:val="24"/>
          <w:szCs w:val="24"/>
        </w:rPr>
      </w:pPr>
      <w:r>
        <w:rPr>
          <w:rFonts w:hint="eastAsia"/>
          <w:kern w:val="0"/>
          <w:sz w:val="24"/>
          <w:szCs w:val="24"/>
        </w:rPr>
        <w:t>技术参数、性能（配置）及其他要求</w:t>
      </w:r>
      <w:r>
        <w:rPr>
          <w:rFonts w:hint="eastAsia" w:ascii="宋体" w:hAnsi="宋体"/>
          <w:sz w:val="24"/>
          <w:szCs w:val="24"/>
        </w:rPr>
        <w:t>技术参数</w:t>
      </w:r>
    </w:p>
    <w:p>
      <w:pPr>
        <w:spacing w:line="360" w:lineRule="auto"/>
        <w:rPr>
          <w:sz w:val="24"/>
          <w:szCs w:val="24"/>
        </w:rPr>
      </w:pPr>
      <w:r>
        <w:rPr>
          <w:rFonts w:hint="eastAsia"/>
          <w:sz w:val="24"/>
          <w:szCs w:val="24"/>
        </w:rPr>
        <w:t>1.内窥镜镜体：</w:t>
      </w:r>
    </w:p>
    <w:p>
      <w:pPr>
        <w:spacing w:line="360" w:lineRule="auto"/>
        <w:rPr>
          <w:sz w:val="24"/>
          <w:szCs w:val="24"/>
        </w:rPr>
      </w:pPr>
      <w:r>
        <w:rPr>
          <w:rFonts w:hint="eastAsia"/>
          <w:sz w:val="24"/>
          <w:szCs w:val="24"/>
        </w:rPr>
        <w:t>1.1管径材料：优质医用不锈钢</w:t>
      </w:r>
    </w:p>
    <w:p>
      <w:pPr>
        <w:spacing w:line="360" w:lineRule="auto"/>
        <w:rPr>
          <w:sz w:val="24"/>
          <w:szCs w:val="24"/>
        </w:rPr>
      </w:pPr>
      <w:r>
        <w:rPr>
          <w:rFonts w:hint="eastAsia"/>
          <w:b/>
          <w:bCs/>
          <w:color w:val="FF0000"/>
        </w:rPr>
        <w:t>★</w:t>
      </w:r>
      <w:r>
        <w:rPr>
          <w:rFonts w:hint="eastAsia"/>
          <w:sz w:val="24"/>
          <w:szCs w:val="24"/>
        </w:rPr>
        <w:t>1.2视向角：0 度</w:t>
      </w:r>
    </w:p>
    <w:p>
      <w:pPr>
        <w:spacing w:line="360" w:lineRule="auto"/>
        <w:rPr>
          <w:sz w:val="24"/>
          <w:szCs w:val="24"/>
        </w:rPr>
      </w:pPr>
      <w:r>
        <w:rPr>
          <w:rFonts w:hint="eastAsia"/>
          <w:sz w:val="24"/>
          <w:szCs w:val="24"/>
        </w:rPr>
        <w:t>1.3视场角：90度≥FOV≥80度</w:t>
      </w:r>
    </w:p>
    <w:p>
      <w:pPr>
        <w:spacing w:line="360" w:lineRule="auto"/>
        <w:rPr>
          <w:sz w:val="24"/>
          <w:szCs w:val="24"/>
        </w:rPr>
      </w:pPr>
      <w:r>
        <w:rPr>
          <w:rFonts w:hint="eastAsia"/>
          <w:sz w:val="24"/>
          <w:szCs w:val="24"/>
        </w:rPr>
        <w:t>1.4 景深：5mm—10mm</w:t>
      </w:r>
    </w:p>
    <w:p>
      <w:pPr>
        <w:spacing w:line="360" w:lineRule="auto"/>
        <w:rPr>
          <w:sz w:val="24"/>
          <w:szCs w:val="24"/>
        </w:rPr>
      </w:pPr>
      <w:r>
        <w:rPr>
          <w:rFonts w:hint="eastAsia"/>
          <w:b/>
          <w:bCs/>
          <w:color w:val="FF0000"/>
        </w:rPr>
        <w:t>★</w:t>
      </w:r>
      <w:r>
        <w:rPr>
          <w:rFonts w:hint="eastAsia"/>
          <w:sz w:val="24"/>
          <w:szCs w:val="24"/>
        </w:rPr>
        <w:t>1.5工作长度：480mm≥L≥425 mm</w:t>
      </w:r>
    </w:p>
    <w:p>
      <w:pPr>
        <w:spacing w:line="360" w:lineRule="auto"/>
        <w:rPr>
          <w:sz w:val="24"/>
          <w:szCs w:val="24"/>
        </w:rPr>
      </w:pPr>
      <w:r>
        <w:rPr>
          <w:rFonts w:hint="eastAsia"/>
          <w:sz w:val="24"/>
          <w:szCs w:val="24"/>
        </w:rPr>
        <w:t>1.6外径：10.0/12.5Fr≥Φ≥5.5/8.0Fr</w:t>
      </w:r>
    </w:p>
    <w:p>
      <w:pPr>
        <w:spacing w:line="360" w:lineRule="auto"/>
        <w:rPr>
          <w:sz w:val="24"/>
          <w:szCs w:val="24"/>
        </w:rPr>
      </w:pPr>
      <w:r>
        <w:rPr>
          <w:rFonts w:hint="eastAsia"/>
          <w:sz w:val="24"/>
          <w:szCs w:val="24"/>
        </w:rPr>
        <w:t>1.7器械工作通道：5.5Fr≥工作通道≥2.8Fr</w:t>
      </w:r>
    </w:p>
    <w:p>
      <w:pPr>
        <w:spacing w:line="360" w:lineRule="auto"/>
        <w:rPr>
          <w:sz w:val="24"/>
          <w:szCs w:val="24"/>
        </w:rPr>
      </w:pPr>
      <w:r>
        <w:rPr>
          <w:rFonts w:hint="eastAsia"/>
          <w:sz w:val="24"/>
          <w:szCs w:val="24"/>
        </w:rPr>
        <w:t>1.8镜体采用管体等径设计，与鞘紧密配合使用。</w:t>
      </w:r>
    </w:p>
    <w:p>
      <w:pPr>
        <w:spacing w:line="360" w:lineRule="auto"/>
        <w:rPr>
          <w:sz w:val="24"/>
          <w:szCs w:val="24"/>
        </w:rPr>
      </w:pPr>
      <w:r>
        <w:rPr>
          <w:rFonts w:hint="eastAsia"/>
          <w:sz w:val="24"/>
          <w:szCs w:val="24"/>
        </w:rPr>
        <w:t>1.9导光纤接口采用卡扣式设计，配两个转换接头</w:t>
      </w:r>
    </w:p>
    <w:p>
      <w:pPr>
        <w:spacing w:line="360" w:lineRule="auto"/>
        <w:rPr>
          <w:sz w:val="24"/>
          <w:szCs w:val="24"/>
        </w:rPr>
      </w:pPr>
      <w:r>
        <w:rPr>
          <w:rFonts w:hint="eastAsia"/>
          <w:sz w:val="24"/>
          <w:szCs w:val="24"/>
        </w:rPr>
        <w:t>2.镜鞘</w:t>
      </w:r>
    </w:p>
    <w:p>
      <w:pPr>
        <w:spacing w:line="360" w:lineRule="auto"/>
        <w:rPr>
          <w:sz w:val="24"/>
          <w:szCs w:val="24"/>
        </w:rPr>
      </w:pPr>
      <w:r>
        <w:rPr>
          <w:rFonts w:hint="eastAsia"/>
          <w:sz w:val="24"/>
          <w:szCs w:val="24"/>
        </w:rPr>
        <w:t>2.1通过鞘上的锁定装置与内窥镜组合为一体</w:t>
      </w:r>
    </w:p>
    <w:p>
      <w:pPr>
        <w:spacing w:line="360" w:lineRule="auto"/>
        <w:rPr>
          <w:sz w:val="24"/>
          <w:szCs w:val="24"/>
        </w:rPr>
      </w:pPr>
      <w:r>
        <w:rPr>
          <w:rFonts w:hint="eastAsia"/>
          <w:sz w:val="24"/>
          <w:szCs w:val="24"/>
        </w:rPr>
        <w:t xml:space="preserve">2.2采用优质医用不锈钢材料制造                                     </w:t>
      </w:r>
    </w:p>
    <w:p>
      <w:pPr>
        <w:spacing w:line="360" w:lineRule="auto"/>
        <w:rPr>
          <w:sz w:val="24"/>
          <w:szCs w:val="24"/>
        </w:rPr>
      </w:pPr>
      <w:r>
        <w:rPr>
          <w:rFonts w:hint="eastAsia"/>
          <w:sz w:val="24"/>
          <w:szCs w:val="24"/>
        </w:rPr>
        <w:t>2.3插入部分最大外径：13.5Fr≥Φ≥11.5Fr</w:t>
      </w:r>
    </w:p>
    <w:p>
      <w:pPr>
        <w:spacing w:line="360" w:lineRule="auto"/>
        <w:rPr>
          <w:sz w:val="24"/>
          <w:szCs w:val="24"/>
        </w:rPr>
      </w:pPr>
      <w:r>
        <w:rPr>
          <w:rFonts w:hint="eastAsia"/>
          <w:sz w:val="24"/>
          <w:szCs w:val="24"/>
        </w:rPr>
        <w:t>2.4主通道最小宽度：11.5Fr≥Φ≥9.5Fr</w:t>
      </w:r>
    </w:p>
    <w:p>
      <w:pPr>
        <w:spacing w:line="360" w:lineRule="auto"/>
        <w:rPr>
          <w:sz w:val="24"/>
          <w:szCs w:val="24"/>
        </w:rPr>
      </w:pPr>
      <w:r>
        <w:rPr>
          <w:rFonts w:hint="eastAsia"/>
          <w:sz w:val="24"/>
          <w:szCs w:val="24"/>
        </w:rPr>
        <w:t>2.5工作长度：460mm≥L≥380 mm</w:t>
      </w:r>
    </w:p>
    <w:p>
      <w:pPr>
        <w:spacing w:line="360" w:lineRule="auto"/>
        <w:rPr>
          <w:sz w:val="24"/>
          <w:szCs w:val="24"/>
        </w:rPr>
      </w:pPr>
      <w:r>
        <w:rPr>
          <w:rFonts w:hint="eastAsia"/>
          <w:sz w:val="24"/>
          <w:szCs w:val="24"/>
        </w:rPr>
        <w:t>2.6镜鞘旋转锁紧结构（旋转角度≦60），手柄上带有标识方向的定位销。</w:t>
      </w:r>
    </w:p>
    <w:p>
      <w:pPr>
        <w:spacing w:line="360" w:lineRule="auto"/>
        <w:rPr>
          <w:sz w:val="24"/>
          <w:szCs w:val="24"/>
        </w:rPr>
      </w:pPr>
      <w:r>
        <w:rPr>
          <w:rFonts w:hint="eastAsia"/>
          <w:sz w:val="24"/>
          <w:szCs w:val="24"/>
        </w:rPr>
        <w:t>2.7与固定器配合使用可单手调节固定器腔内的负压大小。</w:t>
      </w:r>
    </w:p>
    <w:p>
      <w:pPr>
        <w:spacing w:line="360" w:lineRule="auto"/>
        <w:rPr>
          <w:sz w:val="24"/>
          <w:szCs w:val="24"/>
        </w:rPr>
      </w:pPr>
      <w:r>
        <w:rPr>
          <w:rFonts w:hint="eastAsia"/>
          <w:sz w:val="24"/>
          <w:szCs w:val="24"/>
        </w:rPr>
        <w:t>3.固定器</w:t>
      </w:r>
    </w:p>
    <w:p>
      <w:pPr>
        <w:spacing w:line="360" w:lineRule="auto"/>
        <w:rPr>
          <w:sz w:val="24"/>
          <w:szCs w:val="24"/>
        </w:rPr>
      </w:pPr>
      <w:r>
        <w:rPr>
          <w:rFonts w:hint="eastAsia"/>
          <w:sz w:val="24"/>
          <w:szCs w:val="24"/>
        </w:rPr>
        <w:t>3.1与负压吸引装置连接构成负压吸引系统，可术中无极调节负压。</w:t>
      </w:r>
    </w:p>
    <w:p>
      <w:pPr>
        <w:spacing w:line="360" w:lineRule="auto"/>
        <w:rPr>
          <w:sz w:val="24"/>
          <w:szCs w:val="24"/>
        </w:rPr>
      </w:pPr>
      <w:r>
        <w:rPr>
          <w:rFonts w:hint="eastAsia"/>
          <w:sz w:val="24"/>
          <w:szCs w:val="24"/>
        </w:rPr>
        <w:t>3.2相对压强 50Kpa 的水压下，1500mL/min≥流量≥1000mL/min。</w:t>
      </w:r>
    </w:p>
    <w:p>
      <w:pPr>
        <w:spacing w:line="360" w:lineRule="auto"/>
        <w:rPr>
          <w:sz w:val="24"/>
          <w:szCs w:val="24"/>
        </w:rPr>
      </w:pPr>
      <w:r>
        <w:rPr>
          <w:rFonts w:hint="eastAsia"/>
          <w:sz w:val="24"/>
          <w:szCs w:val="24"/>
        </w:rPr>
        <w:t>3.3有连通镜鞘的连接口，与镜鞘锁紧部相配合锁紧或松脱。</w:t>
      </w:r>
    </w:p>
    <w:p>
      <w:pPr>
        <w:spacing w:line="360" w:lineRule="auto"/>
        <w:rPr>
          <w:sz w:val="24"/>
          <w:szCs w:val="24"/>
        </w:rPr>
      </w:pPr>
      <w:r>
        <w:rPr>
          <w:rFonts w:hint="eastAsia"/>
          <w:sz w:val="24"/>
          <w:szCs w:val="24"/>
        </w:rPr>
        <w:t>3.4供内窥镜穿入的镜体接入口</w:t>
      </w:r>
    </w:p>
    <w:p>
      <w:pPr>
        <w:spacing w:line="360" w:lineRule="auto"/>
        <w:rPr>
          <w:sz w:val="24"/>
          <w:szCs w:val="24"/>
        </w:rPr>
      </w:pPr>
      <w:r>
        <w:rPr>
          <w:rFonts w:hint="eastAsia"/>
          <w:sz w:val="24"/>
          <w:szCs w:val="24"/>
        </w:rPr>
        <w:t>3.5结石收集器滤网面积大，孔径小，可收集直径 0.075mm 以上的结石粉末。</w:t>
      </w:r>
    </w:p>
    <w:p>
      <w:pPr>
        <w:spacing w:line="360" w:lineRule="auto"/>
        <w:rPr>
          <w:sz w:val="24"/>
          <w:szCs w:val="24"/>
        </w:rPr>
      </w:pPr>
      <w:r>
        <w:rPr>
          <w:rFonts w:hint="eastAsia"/>
          <w:sz w:val="24"/>
          <w:szCs w:val="24"/>
        </w:rPr>
        <w:t>4.内窥镜冲洗吸引器</w:t>
      </w:r>
    </w:p>
    <w:p>
      <w:pPr>
        <w:spacing w:line="360" w:lineRule="auto"/>
        <w:rPr>
          <w:sz w:val="24"/>
          <w:szCs w:val="24"/>
        </w:rPr>
      </w:pPr>
      <w:r>
        <w:rPr>
          <w:rFonts w:hint="eastAsia"/>
          <w:sz w:val="24"/>
          <w:szCs w:val="24"/>
        </w:rPr>
        <w:t xml:space="preserve">4.1负压调节范围应为 4kpa～25kpa </w:t>
      </w:r>
    </w:p>
    <w:p>
      <w:pPr>
        <w:spacing w:line="360" w:lineRule="auto"/>
        <w:rPr>
          <w:sz w:val="24"/>
          <w:szCs w:val="24"/>
        </w:rPr>
      </w:pPr>
      <w:r>
        <w:rPr>
          <w:rFonts w:hint="eastAsia"/>
          <w:sz w:val="24"/>
          <w:szCs w:val="24"/>
        </w:rPr>
        <w:t>4.2负压流量在 8L/min～23L/min 范围</w:t>
      </w:r>
    </w:p>
    <w:p>
      <w:pPr>
        <w:spacing w:line="360" w:lineRule="auto"/>
        <w:rPr>
          <w:sz w:val="24"/>
          <w:szCs w:val="24"/>
        </w:rPr>
      </w:pPr>
      <w:r>
        <w:rPr>
          <w:rFonts w:hint="eastAsia"/>
          <w:sz w:val="24"/>
          <w:szCs w:val="24"/>
        </w:rPr>
        <w:t xml:space="preserve">4.3大灌注流量 200 ml/min～610 ml/min </w:t>
      </w:r>
    </w:p>
    <w:p>
      <w:pPr>
        <w:spacing w:line="360" w:lineRule="auto"/>
        <w:rPr>
          <w:sz w:val="24"/>
          <w:szCs w:val="24"/>
        </w:rPr>
      </w:pPr>
      <w:r>
        <w:rPr>
          <w:rFonts w:hint="eastAsia"/>
          <w:sz w:val="24"/>
          <w:szCs w:val="24"/>
        </w:rPr>
        <w:t>4.4负压显示精度（步进）0.5kpa。</w:t>
      </w:r>
    </w:p>
    <w:p>
      <w:pPr>
        <w:spacing w:line="360" w:lineRule="auto"/>
        <w:rPr>
          <w:sz w:val="24"/>
          <w:szCs w:val="24"/>
        </w:rPr>
      </w:pPr>
      <w:r>
        <w:rPr>
          <w:rFonts w:hint="eastAsia"/>
          <w:sz w:val="24"/>
          <w:szCs w:val="24"/>
        </w:rPr>
        <w:t>4.5灌注调节方式为预设档位调节，共预设了五个调节档位，分别为“1”、“2”、“3”、“4”、 “5”档。</w:t>
      </w:r>
    </w:p>
    <w:p>
      <w:pPr>
        <w:spacing w:line="360" w:lineRule="auto"/>
        <w:rPr>
          <w:sz w:val="24"/>
          <w:szCs w:val="24"/>
        </w:rPr>
      </w:pPr>
      <w:r>
        <w:rPr>
          <w:rFonts w:hint="eastAsia"/>
          <w:sz w:val="24"/>
          <w:szCs w:val="24"/>
        </w:rPr>
        <w:t>4.6负压值单位选择：mmhg 与kpa 自由转换。</w:t>
      </w:r>
    </w:p>
    <w:p>
      <w:pPr>
        <w:spacing w:line="360" w:lineRule="auto"/>
        <w:rPr>
          <w:sz w:val="24"/>
          <w:szCs w:val="24"/>
        </w:rPr>
      </w:pPr>
      <w:r>
        <w:rPr>
          <w:rFonts w:hint="eastAsia"/>
          <w:sz w:val="24"/>
          <w:szCs w:val="24"/>
        </w:rPr>
        <w:t>4.7显示类型：绿色高亮数码管显示，大字体高 25mm，可视角度 180 度，3 米内可视。</w:t>
      </w:r>
    </w:p>
    <w:p>
      <w:pPr>
        <w:spacing w:line="360" w:lineRule="auto"/>
      </w:pPr>
      <w:r>
        <w:rPr>
          <w:rFonts w:hint="eastAsia"/>
          <w:sz w:val="24"/>
          <w:szCs w:val="24"/>
        </w:rPr>
        <w:t>4.8机身有快速指引灌注档位值标识。</w:t>
      </w:r>
    </w:p>
    <w:p>
      <w:r>
        <w:rPr>
          <w:rFonts w:hint="eastAsia"/>
          <w:sz w:val="24"/>
          <w:szCs w:val="24"/>
        </w:rPr>
        <w:t>5.配置清单要求</w:t>
      </w:r>
    </w:p>
    <w:tbl>
      <w:tblPr>
        <w:tblStyle w:val="12"/>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595"/>
        <w:gridCol w:w="124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序号</w:t>
            </w:r>
          </w:p>
        </w:tc>
        <w:tc>
          <w:tcPr>
            <w:tcW w:w="2595" w:type="dxa"/>
            <w:vAlign w:val="center"/>
          </w:tcPr>
          <w:p>
            <w:pPr>
              <w:jc w:val="center"/>
              <w:rPr>
                <w:sz w:val="24"/>
                <w:szCs w:val="24"/>
              </w:rPr>
            </w:pPr>
            <w:r>
              <w:rPr>
                <w:rFonts w:hint="eastAsia"/>
                <w:sz w:val="24"/>
                <w:szCs w:val="24"/>
              </w:rPr>
              <w:t>产品名称</w:t>
            </w:r>
          </w:p>
        </w:tc>
        <w:tc>
          <w:tcPr>
            <w:tcW w:w="1245" w:type="dxa"/>
            <w:vAlign w:val="center"/>
          </w:tcPr>
          <w:p>
            <w:pPr>
              <w:jc w:val="center"/>
              <w:rPr>
                <w:sz w:val="24"/>
                <w:szCs w:val="24"/>
              </w:rPr>
            </w:pPr>
            <w:r>
              <w:rPr>
                <w:rFonts w:hint="eastAsia"/>
                <w:sz w:val="24"/>
                <w:szCs w:val="24"/>
              </w:rPr>
              <w:t>数量</w:t>
            </w:r>
          </w:p>
        </w:tc>
        <w:tc>
          <w:tcPr>
            <w:tcW w:w="3675" w:type="dxa"/>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一</w:t>
            </w:r>
          </w:p>
        </w:tc>
        <w:tc>
          <w:tcPr>
            <w:tcW w:w="2595" w:type="dxa"/>
            <w:vAlign w:val="center"/>
          </w:tcPr>
          <w:p>
            <w:pPr>
              <w:jc w:val="center"/>
              <w:rPr>
                <w:sz w:val="24"/>
                <w:szCs w:val="24"/>
              </w:rPr>
            </w:pPr>
            <w:r>
              <w:rPr>
                <w:rFonts w:hint="eastAsia"/>
                <w:sz w:val="24"/>
                <w:szCs w:val="24"/>
              </w:rPr>
              <w:t>组合式硬管镜</w:t>
            </w:r>
          </w:p>
        </w:tc>
        <w:tc>
          <w:tcPr>
            <w:tcW w:w="4920" w:type="dxa"/>
            <w:gridSpan w:val="2"/>
            <w:vAlign w:val="center"/>
          </w:tcPr>
          <w:p>
            <w:pPr>
              <w:jc w:val="center"/>
              <w:rPr>
                <w:sz w:val="24"/>
                <w:szCs w:val="24"/>
              </w:rPr>
            </w:pPr>
            <w:r>
              <w:rPr>
                <w:rFonts w:hint="eastAsia"/>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1</w:t>
            </w:r>
          </w:p>
        </w:tc>
        <w:tc>
          <w:tcPr>
            <w:tcW w:w="2595" w:type="dxa"/>
            <w:vAlign w:val="center"/>
          </w:tcPr>
          <w:p>
            <w:pPr>
              <w:jc w:val="center"/>
              <w:rPr>
                <w:sz w:val="24"/>
                <w:szCs w:val="24"/>
              </w:rPr>
            </w:pPr>
            <w:r>
              <w:rPr>
                <w:rFonts w:hint="eastAsia"/>
                <w:sz w:val="24"/>
                <w:szCs w:val="24"/>
              </w:rPr>
              <w:t>内窥镜</w:t>
            </w:r>
          </w:p>
        </w:tc>
        <w:tc>
          <w:tcPr>
            <w:tcW w:w="1245" w:type="dxa"/>
            <w:vAlign w:val="center"/>
          </w:tcPr>
          <w:p>
            <w:pPr>
              <w:jc w:val="center"/>
              <w:rPr>
                <w:sz w:val="24"/>
                <w:szCs w:val="24"/>
              </w:rPr>
            </w:pPr>
            <w:r>
              <w:rPr>
                <w:rFonts w:hint="eastAsia"/>
                <w:sz w:val="24"/>
                <w:szCs w:val="24"/>
              </w:rPr>
              <w:t>1支</w:t>
            </w:r>
          </w:p>
        </w:tc>
        <w:tc>
          <w:tcPr>
            <w:tcW w:w="367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2</w:t>
            </w:r>
          </w:p>
        </w:tc>
        <w:tc>
          <w:tcPr>
            <w:tcW w:w="2595" w:type="dxa"/>
            <w:vAlign w:val="center"/>
          </w:tcPr>
          <w:p>
            <w:pPr>
              <w:jc w:val="center"/>
              <w:rPr>
                <w:rFonts w:ascii="Calibri" w:hAnsi="Calibri"/>
                <w:sz w:val="24"/>
                <w:szCs w:val="24"/>
              </w:rPr>
            </w:pPr>
            <w:r>
              <w:rPr>
                <w:rFonts w:hint="eastAsia" w:ascii="Calibri" w:hAnsi="Calibri"/>
                <w:sz w:val="24"/>
                <w:szCs w:val="24"/>
              </w:rPr>
              <w:t>外鞘</w:t>
            </w:r>
          </w:p>
        </w:tc>
        <w:tc>
          <w:tcPr>
            <w:tcW w:w="1245" w:type="dxa"/>
            <w:vAlign w:val="center"/>
          </w:tcPr>
          <w:p>
            <w:pPr>
              <w:jc w:val="center"/>
              <w:rPr>
                <w:rFonts w:ascii="Calibri" w:hAnsi="Calibri"/>
                <w:sz w:val="24"/>
                <w:szCs w:val="24"/>
              </w:rPr>
            </w:pPr>
            <w:r>
              <w:rPr>
                <w:rFonts w:hint="eastAsia"/>
                <w:sz w:val="24"/>
                <w:szCs w:val="24"/>
              </w:rPr>
              <w:t>1支</w:t>
            </w:r>
          </w:p>
        </w:tc>
        <w:tc>
          <w:tcPr>
            <w:tcW w:w="3675" w:type="dxa"/>
            <w:vAlign w:val="center"/>
          </w:tcPr>
          <w:p>
            <w:pPr>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3</w:t>
            </w:r>
          </w:p>
        </w:tc>
        <w:tc>
          <w:tcPr>
            <w:tcW w:w="2595" w:type="dxa"/>
            <w:vAlign w:val="center"/>
          </w:tcPr>
          <w:p>
            <w:pPr>
              <w:jc w:val="center"/>
              <w:rPr>
                <w:rFonts w:ascii="Calibri" w:hAnsi="Calibri"/>
                <w:sz w:val="24"/>
                <w:szCs w:val="24"/>
              </w:rPr>
            </w:pPr>
            <w:r>
              <w:rPr>
                <w:rFonts w:hint="eastAsia" w:ascii="Calibri" w:hAnsi="Calibri"/>
                <w:sz w:val="24"/>
                <w:szCs w:val="24"/>
              </w:rPr>
              <w:t>内鞘</w:t>
            </w:r>
          </w:p>
        </w:tc>
        <w:tc>
          <w:tcPr>
            <w:tcW w:w="1245" w:type="dxa"/>
            <w:vAlign w:val="center"/>
          </w:tcPr>
          <w:p>
            <w:pPr>
              <w:jc w:val="center"/>
              <w:rPr>
                <w:rFonts w:ascii="Calibri" w:hAnsi="Calibri"/>
                <w:sz w:val="24"/>
                <w:szCs w:val="24"/>
              </w:rPr>
            </w:pPr>
            <w:r>
              <w:rPr>
                <w:rFonts w:hint="eastAsia"/>
                <w:sz w:val="24"/>
                <w:szCs w:val="24"/>
              </w:rPr>
              <w:t>1支</w:t>
            </w:r>
          </w:p>
        </w:tc>
        <w:tc>
          <w:tcPr>
            <w:tcW w:w="3675" w:type="dxa"/>
            <w:vAlign w:val="center"/>
          </w:tcPr>
          <w:p>
            <w:pPr>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rFonts w:ascii="Calibri" w:hAnsi="Calibri" w:cs="宋体"/>
                <w:sz w:val="24"/>
                <w:szCs w:val="24"/>
              </w:rPr>
            </w:pPr>
            <w:r>
              <w:rPr>
                <w:rFonts w:hint="eastAsia"/>
                <w:sz w:val="24"/>
                <w:szCs w:val="24"/>
              </w:rPr>
              <w:t>4</w:t>
            </w:r>
          </w:p>
        </w:tc>
        <w:tc>
          <w:tcPr>
            <w:tcW w:w="2595" w:type="dxa"/>
            <w:vAlign w:val="center"/>
          </w:tcPr>
          <w:p>
            <w:pPr>
              <w:jc w:val="center"/>
              <w:rPr>
                <w:rFonts w:ascii="Calibri" w:hAnsi="Calibri"/>
                <w:sz w:val="24"/>
                <w:szCs w:val="24"/>
              </w:rPr>
            </w:pPr>
            <w:r>
              <w:rPr>
                <w:rFonts w:hint="eastAsia" w:ascii="Calibri" w:hAnsi="Calibri"/>
                <w:sz w:val="24"/>
                <w:szCs w:val="24"/>
              </w:rPr>
              <w:t>外鞘</w:t>
            </w:r>
          </w:p>
        </w:tc>
        <w:tc>
          <w:tcPr>
            <w:tcW w:w="1245" w:type="dxa"/>
            <w:vAlign w:val="center"/>
          </w:tcPr>
          <w:p>
            <w:pPr>
              <w:jc w:val="center"/>
              <w:rPr>
                <w:rFonts w:ascii="Calibri" w:hAnsi="Calibri"/>
                <w:sz w:val="24"/>
                <w:szCs w:val="24"/>
              </w:rPr>
            </w:pPr>
            <w:r>
              <w:rPr>
                <w:rFonts w:hint="eastAsia"/>
                <w:sz w:val="24"/>
                <w:szCs w:val="24"/>
              </w:rPr>
              <w:t>1支</w:t>
            </w:r>
          </w:p>
        </w:tc>
        <w:tc>
          <w:tcPr>
            <w:tcW w:w="3675" w:type="dxa"/>
            <w:vAlign w:val="center"/>
          </w:tcPr>
          <w:p>
            <w:pPr>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rFonts w:ascii="Calibri" w:hAnsi="Calibri" w:cs="宋体"/>
                <w:sz w:val="24"/>
                <w:szCs w:val="24"/>
              </w:rPr>
            </w:pPr>
            <w:r>
              <w:rPr>
                <w:rFonts w:hint="eastAsia"/>
                <w:sz w:val="24"/>
                <w:szCs w:val="24"/>
              </w:rPr>
              <w:t>5</w:t>
            </w:r>
          </w:p>
        </w:tc>
        <w:tc>
          <w:tcPr>
            <w:tcW w:w="2595" w:type="dxa"/>
            <w:vAlign w:val="center"/>
          </w:tcPr>
          <w:p>
            <w:pPr>
              <w:jc w:val="center"/>
              <w:rPr>
                <w:rFonts w:ascii="Calibri" w:hAnsi="Calibri"/>
                <w:sz w:val="24"/>
                <w:szCs w:val="24"/>
              </w:rPr>
            </w:pPr>
            <w:r>
              <w:rPr>
                <w:rFonts w:hint="eastAsia" w:ascii="Calibri" w:hAnsi="Calibri"/>
                <w:sz w:val="24"/>
                <w:szCs w:val="24"/>
              </w:rPr>
              <w:t>内鞘</w:t>
            </w:r>
          </w:p>
        </w:tc>
        <w:tc>
          <w:tcPr>
            <w:tcW w:w="1245" w:type="dxa"/>
            <w:vAlign w:val="center"/>
          </w:tcPr>
          <w:p>
            <w:pPr>
              <w:jc w:val="center"/>
              <w:rPr>
                <w:rFonts w:ascii="Calibri" w:hAnsi="Calibri"/>
                <w:sz w:val="24"/>
                <w:szCs w:val="24"/>
              </w:rPr>
            </w:pPr>
            <w:r>
              <w:rPr>
                <w:rFonts w:hint="eastAsia"/>
                <w:sz w:val="24"/>
                <w:szCs w:val="24"/>
              </w:rPr>
              <w:t>1支</w:t>
            </w:r>
          </w:p>
        </w:tc>
        <w:tc>
          <w:tcPr>
            <w:tcW w:w="367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6</w:t>
            </w:r>
          </w:p>
        </w:tc>
        <w:tc>
          <w:tcPr>
            <w:tcW w:w="2595" w:type="dxa"/>
            <w:vAlign w:val="center"/>
          </w:tcPr>
          <w:p>
            <w:pPr>
              <w:jc w:val="center"/>
              <w:rPr>
                <w:rFonts w:ascii="Calibri" w:hAnsi="Calibri"/>
                <w:sz w:val="24"/>
                <w:szCs w:val="24"/>
              </w:rPr>
            </w:pPr>
            <w:r>
              <w:rPr>
                <w:rFonts w:hint="eastAsia"/>
                <w:sz w:val="24"/>
                <w:szCs w:val="24"/>
              </w:rPr>
              <w:t>圆头鞘</w:t>
            </w:r>
          </w:p>
        </w:tc>
        <w:tc>
          <w:tcPr>
            <w:tcW w:w="1245" w:type="dxa"/>
            <w:vAlign w:val="center"/>
          </w:tcPr>
          <w:p>
            <w:pPr>
              <w:jc w:val="center"/>
              <w:rPr>
                <w:sz w:val="24"/>
                <w:szCs w:val="24"/>
              </w:rPr>
            </w:pPr>
            <w:r>
              <w:rPr>
                <w:rFonts w:hint="eastAsia"/>
                <w:sz w:val="24"/>
                <w:szCs w:val="24"/>
              </w:rPr>
              <w:t>1支</w:t>
            </w:r>
          </w:p>
        </w:tc>
        <w:tc>
          <w:tcPr>
            <w:tcW w:w="367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7</w:t>
            </w:r>
          </w:p>
        </w:tc>
        <w:tc>
          <w:tcPr>
            <w:tcW w:w="2595" w:type="dxa"/>
            <w:vAlign w:val="center"/>
          </w:tcPr>
          <w:p>
            <w:pPr>
              <w:jc w:val="center"/>
              <w:rPr>
                <w:rFonts w:ascii="Calibri" w:hAnsi="Calibri"/>
                <w:sz w:val="24"/>
                <w:szCs w:val="24"/>
              </w:rPr>
            </w:pPr>
            <w:r>
              <w:rPr>
                <w:rFonts w:hint="eastAsia"/>
                <w:sz w:val="24"/>
                <w:szCs w:val="24"/>
              </w:rPr>
              <w:t>固定器</w:t>
            </w:r>
          </w:p>
        </w:tc>
        <w:tc>
          <w:tcPr>
            <w:tcW w:w="1245" w:type="dxa"/>
            <w:vAlign w:val="center"/>
          </w:tcPr>
          <w:p>
            <w:pPr>
              <w:jc w:val="center"/>
              <w:rPr>
                <w:rFonts w:ascii="Calibri" w:hAnsi="Calibri"/>
                <w:sz w:val="24"/>
                <w:szCs w:val="24"/>
              </w:rPr>
            </w:pPr>
            <w:r>
              <w:rPr>
                <w:rFonts w:hint="eastAsia"/>
                <w:sz w:val="24"/>
                <w:szCs w:val="24"/>
              </w:rPr>
              <w:t>1个</w:t>
            </w:r>
          </w:p>
        </w:tc>
        <w:tc>
          <w:tcPr>
            <w:tcW w:w="3675" w:type="dxa"/>
            <w:vAlign w:val="center"/>
          </w:tcPr>
          <w:p>
            <w:pPr>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8</w:t>
            </w:r>
          </w:p>
        </w:tc>
        <w:tc>
          <w:tcPr>
            <w:tcW w:w="2595" w:type="dxa"/>
            <w:vAlign w:val="center"/>
          </w:tcPr>
          <w:p>
            <w:pPr>
              <w:jc w:val="center"/>
              <w:rPr>
                <w:sz w:val="24"/>
                <w:szCs w:val="24"/>
              </w:rPr>
            </w:pPr>
            <w:r>
              <w:rPr>
                <w:rFonts w:hint="eastAsia"/>
                <w:sz w:val="24"/>
                <w:szCs w:val="24"/>
              </w:rPr>
              <w:t>光纤紧锁垫片</w:t>
            </w:r>
          </w:p>
        </w:tc>
        <w:tc>
          <w:tcPr>
            <w:tcW w:w="1245" w:type="dxa"/>
            <w:vAlign w:val="center"/>
          </w:tcPr>
          <w:p>
            <w:pPr>
              <w:jc w:val="center"/>
              <w:rPr>
                <w:sz w:val="24"/>
                <w:szCs w:val="24"/>
              </w:rPr>
            </w:pPr>
            <w:r>
              <w:rPr>
                <w:rFonts w:hint="eastAsia"/>
                <w:sz w:val="24"/>
                <w:szCs w:val="24"/>
              </w:rPr>
              <w:t>2个</w:t>
            </w:r>
          </w:p>
        </w:tc>
        <w:tc>
          <w:tcPr>
            <w:tcW w:w="3675" w:type="dxa"/>
            <w:vAlign w:val="center"/>
          </w:tcPr>
          <w:p>
            <w:pPr>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二</w:t>
            </w:r>
          </w:p>
        </w:tc>
        <w:tc>
          <w:tcPr>
            <w:tcW w:w="2595" w:type="dxa"/>
            <w:vAlign w:val="center"/>
          </w:tcPr>
          <w:p>
            <w:pPr>
              <w:jc w:val="center"/>
              <w:rPr>
                <w:sz w:val="24"/>
                <w:szCs w:val="24"/>
              </w:rPr>
            </w:pPr>
            <w:r>
              <w:rPr>
                <w:rFonts w:hint="eastAsia"/>
                <w:sz w:val="24"/>
                <w:szCs w:val="24"/>
              </w:rPr>
              <w:t>内窥镜冲洗吸引器</w:t>
            </w:r>
          </w:p>
        </w:tc>
        <w:tc>
          <w:tcPr>
            <w:tcW w:w="4920" w:type="dxa"/>
            <w:gridSpan w:val="2"/>
            <w:vAlign w:val="center"/>
          </w:tcPr>
          <w:p>
            <w:pPr>
              <w:jc w:val="center"/>
              <w:rPr>
                <w:rFonts w:ascii="Calibri" w:hAnsi="Calibri"/>
                <w:sz w:val="24"/>
                <w:szCs w:val="24"/>
              </w:rPr>
            </w:pPr>
            <w:r>
              <w:rPr>
                <w:rFonts w:hint="eastAsia"/>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1</w:t>
            </w:r>
          </w:p>
        </w:tc>
        <w:tc>
          <w:tcPr>
            <w:tcW w:w="2595" w:type="dxa"/>
            <w:vAlign w:val="center"/>
          </w:tcPr>
          <w:p>
            <w:pPr>
              <w:jc w:val="center"/>
              <w:rPr>
                <w:sz w:val="24"/>
                <w:szCs w:val="24"/>
              </w:rPr>
            </w:pPr>
            <w:r>
              <w:rPr>
                <w:rFonts w:hint="eastAsia"/>
                <w:sz w:val="24"/>
                <w:szCs w:val="24"/>
              </w:rPr>
              <w:t>主机</w:t>
            </w:r>
          </w:p>
        </w:tc>
        <w:tc>
          <w:tcPr>
            <w:tcW w:w="1245" w:type="dxa"/>
            <w:vAlign w:val="center"/>
          </w:tcPr>
          <w:p>
            <w:pPr>
              <w:jc w:val="center"/>
              <w:rPr>
                <w:sz w:val="24"/>
                <w:szCs w:val="24"/>
              </w:rPr>
            </w:pPr>
            <w:r>
              <w:rPr>
                <w:rFonts w:hint="eastAsia"/>
                <w:sz w:val="24"/>
                <w:szCs w:val="24"/>
              </w:rPr>
              <w:t>1台</w:t>
            </w:r>
          </w:p>
        </w:tc>
        <w:tc>
          <w:tcPr>
            <w:tcW w:w="367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2</w:t>
            </w:r>
          </w:p>
        </w:tc>
        <w:tc>
          <w:tcPr>
            <w:tcW w:w="2595" w:type="dxa"/>
            <w:vAlign w:val="center"/>
          </w:tcPr>
          <w:p>
            <w:pPr>
              <w:jc w:val="center"/>
              <w:rPr>
                <w:sz w:val="24"/>
                <w:szCs w:val="24"/>
              </w:rPr>
            </w:pPr>
            <w:r>
              <w:rPr>
                <w:rFonts w:hint="eastAsia"/>
                <w:sz w:val="24"/>
                <w:szCs w:val="24"/>
              </w:rPr>
              <w:t>冲洗吸引管</w:t>
            </w:r>
          </w:p>
        </w:tc>
        <w:tc>
          <w:tcPr>
            <w:tcW w:w="1245" w:type="dxa"/>
            <w:vAlign w:val="center"/>
          </w:tcPr>
          <w:p>
            <w:pPr>
              <w:jc w:val="center"/>
              <w:rPr>
                <w:sz w:val="24"/>
                <w:szCs w:val="24"/>
              </w:rPr>
            </w:pPr>
            <w:r>
              <w:rPr>
                <w:rFonts w:hint="eastAsia"/>
                <w:sz w:val="24"/>
                <w:szCs w:val="24"/>
              </w:rPr>
              <w:t>1根</w:t>
            </w:r>
          </w:p>
        </w:tc>
        <w:tc>
          <w:tcPr>
            <w:tcW w:w="367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3</w:t>
            </w:r>
          </w:p>
        </w:tc>
        <w:tc>
          <w:tcPr>
            <w:tcW w:w="2595" w:type="dxa"/>
            <w:vAlign w:val="center"/>
          </w:tcPr>
          <w:p>
            <w:pPr>
              <w:jc w:val="center"/>
              <w:rPr>
                <w:sz w:val="24"/>
                <w:szCs w:val="24"/>
              </w:rPr>
            </w:pPr>
            <w:r>
              <w:rPr>
                <w:rFonts w:hint="eastAsia"/>
                <w:sz w:val="24"/>
                <w:szCs w:val="24"/>
              </w:rPr>
              <w:t>防溢流瓶</w:t>
            </w:r>
          </w:p>
        </w:tc>
        <w:tc>
          <w:tcPr>
            <w:tcW w:w="1245" w:type="dxa"/>
            <w:vAlign w:val="center"/>
          </w:tcPr>
          <w:p>
            <w:pPr>
              <w:jc w:val="center"/>
              <w:rPr>
                <w:sz w:val="24"/>
                <w:szCs w:val="24"/>
              </w:rPr>
            </w:pPr>
            <w:r>
              <w:rPr>
                <w:rFonts w:hint="eastAsia"/>
                <w:sz w:val="24"/>
                <w:szCs w:val="24"/>
              </w:rPr>
              <w:t>1个</w:t>
            </w:r>
          </w:p>
        </w:tc>
        <w:tc>
          <w:tcPr>
            <w:tcW w:w="367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4</w:t>
            </w:r>
          </w:p>
        </w:tc>
        <w:tc>
          <w:tcPr>
            <w:tcW w:w="2595" w:type="dxa"/>
            <w:vAlign w:val="center"/>
          </w:tcPr>
          <w:p>
            <w:pPr>
              <w:jc w:val="center"/>
              <w:rPr>
                <w:sz w:val="24"/>
                <w:szCs w:val="24"/>
              </w:rPr>
            </w:pPr>
            <w:r>
              <w:rPr>
                <w:rFonts w:hint="eastAsia"/>
                <w:sz w:val="24"/>
                <w:szCs w:val="24"/>
              </w:rPr>
              <w:t>灌注垫片</w:t>
            </w:r>
          </w:p>
        </w:tc>
        <w:tc>
          <w:tcPr>
            <w:tcW w:w="1245" w:type="dxa"/>
            <w:vAlign w:val="center"/>
          </w:tcPr>
          <w:p>
            <w:pPr>
              <w:jc w:val="center"/>
              <w:rPr>
                <w:sz w:val="24"/>
                <w:szCs w:val="24"/>
              </w:rPr>
            </w:pPr>
            <w:r>
              <w:rPr>
                <w:rFonts w:hint="eastAsia"/>
                <w:sz w:val="24"/>
                <w:szCs w:val="24"/>
              </w:rPr>
              <w:t>2个</w:t>
            </w:r>
          </w:p>
        </w:tc>
        <w:tc>
          <w:tcPr>
            <w:tcW w:w="367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vAlign w:val="center"/>
          </w:tcPr>
          <w:p>
            <w:pPr>
              <w:jc w:val="center"/>
              <w:rPr>
                <w:sz w:val="24"/>
                <w:szCs w:val="24"/>
              </w:rPr>
            </w:pPr>
            <w:r>
              <w:rPr>
                <w:rFonts w:hint="eastAsia"/>
                <w:sz w:val="24"/>
                <w:szCs w:val="24"/>
              </w:rPr>
              <w:t>5</w:t>
            </w:r>
          </w:p>
        </w:tc>
        <w:tc>
          <w:tcPr>
            <w:tcW w:w="2595" w:type="dxa"/>
            <w:vAlign w:val="center"/>
          </w:tcPr>
          <w:p>
            <w:pPr>
              <w:jc w:val="center"/>
              <w:rPr>
                <w:sz w:val="24"/>
                <w:szCs w:val="24"/>
              </w:rPr>
            </w:pPr>
            <w:r>
              <w:rPr>
                <w:rFonts w:hint="eastAsia"/>
                <w:sz w:val="24"/>
                <w:szCs w:val="24"/>
              </w:rPr>
              <w:t>消毒蓝</w:t>
            </w:r>
          </w:p>
        </w:tc>
        <w:tc>
          <w:tcPr>
            <w:tcW w:w="1245" w:type="dxa"/>
            <w:vAlign w:val="center"/>
          </w:tcPr>
          <w:p>
            <w:pPr>
              <w:jc w:val="center"/>
              <w:rPr>
                <w:sz w:val="24"/>
                <w:szCs w:val="24"/>
              </w:rPr>
            </w:pPr>
            <w:r>
              <w:rPr>
                <w:rFonts w:hint="eastAsia"/>
                <w:sz w:val="24"/>
                <w:szCs w:val="24"/>
              </w:rPr>
              <w:t>1个</w:t>
            </w:r>
          </w:p>
        </w:tc>
        <w:tc>
          <w:tcPr>
            <w:tcW w:w="3675" w:type="dxa"/>
            <w:vAlign w:val="center"/>
          </w:tcPr>
          <w:p>
            <w:pPr>
              <w:jc w:val="center"/>
              <w:rPr>
                <w:sz w:val="24"/>
                <w:szCs w:val="24"/>
              </w:rPr>
            </w:pPr>
          </w:p>
        </w:tc>
      </w:tr>
    </w:tbl>
    <w:p/>
    <w:p/>
    <w:p>
      <w:pPr>
        <w:widowControl/>
        <w:spacing w:line="360" w:lineRule="auto"/>
        <w:jc w:val="left"/>
        <w:rPr>
          <w:rFonts w:cs="宋体"/>
          <w:b/>
          <w:bCs/>
          <w:color w:val="000000"/>
          <w:kern w:val="0"/>
          <w:sz w:val="24"/>
          <w:szCs w:val="24"/>
        </w:rPr>
      </w:pPr>
    </w:p>
    <w:p>
      <w:pPr>
        <w:widowControl/>
        <w:spacing w:line="360" w:lineRule="auto"/>
        <w:jc w:val="left"/>
        <w:rPr>
          <w:rFonts w:cs="宋体"/>
          <w:b/>
          <w:bCs/>
          <w:color w:val="000000"/>
          <w:kern w:val="0"/>
          <w:sz w:val="24"/>
          <w:szCs w:val="24"/>
        </w:rPr>
      </w:pPr>
    </w:p>
    <w:p>
      <w:pPr>
        <w:widowControl/>
        <w:spacing w:line="360" w:lineRule="auto"/>
        <w:jc w:val="left"/>
        <w:rPr>
          <w:rFonts w:cs="宋体"/>
          <w:b/>
          <w:bCs/>
          <w:color w:val="000000"/>
          <w:kern w:val="0"/>
          <w:sz w:val="24"/>
          <w:szCs w:val="24"/>
        </w:rPr>
      </w:pPr>
      <w:r>
        <w:rPr>
          <w:rFonts w:hint="eastAsia" w:cs="宋体"/>
          <w:b/>
          <w:bCs/>
          <w:color w:val="000000"/>
          <w:kern w:val="0"/>
          <w:sz w:val="24"/>
          <w:szCs w:val="24"/>
        </w:rPr>
        <w:t>（三）项目产品基本要求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color w:val="auto"/>
        </w:rPr>
      </w:pPr>
      <w:r>
        <w:rPr>
          <w:rFonts w:hint="eastAsia"/>
          <w:color w:val="auto"/>
        </w:rPr>
        <w:t>5.投标</w:t>
      </w:r>
      <w:r>
        <w:rPr>
          <w:rFonts w:hint="eastAsia"/>
        </w:rPr>
        <w:t>人在竞价文件中必须提交设备配置清单，如设备有配套试剂及定期更换的配件请投标时必须与设备一起报价</w:t>
      </w:r>
      <w:r>
        <w:rPr>
          <w:rFonts w:hint="eastAsia"/>
          <w:color w:val="auto"/>
        </w:rPr>
        <w:t>。</w:t>
      </w:r>
    </w:p>
    <w:p>
      <w:pPr>
        <w:pStyle w:val="2"/>
        <w:ind w:left="-708" w:leftChars="-337" w:firstLine="480" w:firstLineChars="200"/>
        <w:rPr>
          <w:color w:val="auto"/>
        </w:rPr>
      </w:pPr>
      <w:r>
        <w:rPr>
          <w:rFonts w:hint="eastAsia"/>
          <w:color w:val="auto"/>
        </w:rPr>
        <w:t>6.投标人所投产品必须提供产品“三包”服务；定期安排相关人员回访进行质量跟踪；保证提供临床应用和售后技术服务支持方式；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rPr>
      </w:pPr>
      <w:r>
        <w:rPr>
          <w:rFonts w:hint="eastAsia" w:cs="宋体"/>
        </w:rPr>
        <w:t>3）被列入我院投标人黑名单（在我院招投标活动中存在2次违规行为）未满3年的投标人将被拒绝其参与本次招投标活动。</w:t>
      </w:r>
    </w:p>
    <w:p>
      <w:pPr>
        <w:pStyle w:val="2"/>
        <w:ind w:left="-708" w:leftChars="-337" w:firstLine="480" w:firstLineChars="200"/>
        <w:rPr>
          <w:rFonts w:cs="宋体"/>
          <w:color w:val="auto"/>
        </w:rPr>
      </w:pPr>
      <w:r>
        <w:rPr>
          <w:rFonts w:hint="eastAsia" w:cs="宋体"/>
        </w:rPr>
        <w:t>4）</w:t>
      </w:r>
      <w:r>
        <w:rPr>
          <w:rFonts w:hint="eastAsia" w:cs="宋体"/>
          <w:color w:val="auto"/>
        </w:rPr>
        <w:t>本项目不接收联合体投标。</w:t>
      </w:r>
    </w:p>
    <w:p>
      <w:pPr>
        <w:pStyle w:val="2"/>
        <w:ind w:left="-708" w:leftChars="-337" w:firstLine="480" w:firstLineChars="200"/>
        <w:rPr>
          <w:rFonts w:cs="宋体"/>
          <w:color w:val="auto"/>
        </w:rPr>
      </w:pPr>
      <w:r>
        <w:rPr>
          <w:rFonts w:cs="宋体"/>
        </w:rPr>
        <w:t>5</w:t>
      </w:r>
      <w:r>
        <w:rPr>
          <w:rFonts w:hint="eastAsia" w:cs="宋体"/>
        </w:rPr>
        <w:t>）</w:t>
      </w:r>
      <w:r>
        <w:rPr>
          <w:rFonts w:hint="eastAsia"/>
        </w:rPr>
        <w:t>为保证服务和产品质量, 必须提供产品制造商的授权书原件及售后服务原件，否则投标无效。</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480" w:firstLineChars="200"/>
        <w:rPr>
          <w:rFonts w:cs="宋体"/>
        </w:rPr>
      </w:pPr>
      <w:r>
        <w:rPr>
          <w:rFonts w:hint="eastAsia" w:cs="宋体"/>
        </w:rPr>
        <w:t>1）本项目支持创新产品、节能优化产品、环境标识产品、中小企业发展等政府采购政策。</w:t>
      </w:r>
    </w:p>
    <w:p>
      <w:pPr>
        <w:pStyle w:val="2"/>
        <w:ind w:left="-708" w:leftChars="-337" w:firstLine="211" w:firstLineChars="100"/>
      </w:pPr>
      <w:r>
        <w:rPr>
          <w:rFonts w:hint="eastAsia"/>
          <w:b/>
          <w:bCs/>
          <w:color w:val="FF0000"/>
          <w:sz w:val="21"/>
          <w:szCs w:val="21"/>
        </w:rPr>
        <w:t xml:space="preserve"> </w:t>
      </w:r>
      <w:r>
        <w:rPr>
          <w:rFonts w:hint="eastAsia"/>
          <w:b/>
          <w:bCs/>
          <w:color w:val="FF0000"/>
          <w:sz w:val="21"/>
          <w:szCs w:val="21"/>
          <w:lang w:val="en-US" w:eastAsia="zh-CN"/>
        </w:rPr>
        <w:t xml:space="preserve"> </w:t>
      </w:r>
      <w:r>
        <w:rPr>
          <w:rFonts w:hint="eastAsia"/>
        </w:rPr>
        <w:t>2）投标人所投产品要求</w:t>
      </w:r>
      <w:r>
        <w:rPr>
          <w:rFonts w:hint="eastAsia"/>
          <w:lang w:eastAsia="zh-CN"/>
        </w:rPr>
        <w:t>提供</w:t>
      </w:r>
      <w:r>
        <w:rPr>
          <w:rFonts w:hint="eastAsia"/>
        </w:rPr>
        <w:t>包含以下相关证件：</w:t>
      </w:r>
      <w:r>
        <w:rPr>
          <w:rFonts w:hint="eastAsia"/>
          <w:highlight w:val="yellow"/>
        </w:rPr>
        <w:t>投标公司的《医疗器械经营许可证》、生产厂家的《医疗器械生产许可证》、设备的《医疗器械注册证》</w:t>
      </w:r>
    </w:p>
    <w:p>
      <w:pPr>
        <w:pStyle w:val="2"/>
        <w:ind w:left="-708" w:leftChars="-337" w:firstLine="482" w:firstLineChars="200"/>
      </w:pP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rPr>
        <w:t>（2）质保期：设备安装完毕通过验收投入使用之日起整机免费保修至少一年,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hint="eastAsia" w:ascii="宋体" w:hAnsi="宋体" w:cs="宋体"/>
          <w:color w:val="000000" w:themeColor="text1"/>
          <w:szCs w:val="21"/>
          <w14:textFill>
            <w14:solidFill>
              <w14:schemeClr w14:val="tx1"/>
            </w14:solidFill>
          </w14:textFill>
        </w:rPr>
        <w:t>。</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pStyle w:val="2"/>
        <w:ind w:left="-708" w:leftChars="-337" w:firstLine="480" w:firstLineChars="200"/>
        <w:rPr>
          <w:rFonts w:ascii="宋体" w:hAnsi="宋体" w:cs="宋体"/>
        </w:rPr>
      </w:pPr>
      <w:r>
        <w:rPr>
          <w:rFonts w:hint="eastAsia" w:ascii="宋体" w:hAnsi="宋体"/>
          <w:color w:val="auto"/>
          <w:kern w:val="2"/>
        </w:rPr>
        <w:t>（4）定期回访：在保修期内要求每季度至少回访一次，有问题做到及时处理。每半年到现场做一次设备运行状况安全检查。</w:t>
      </w:r>
    </w:p>
    <w:p>
      <w:pPr>
        <w:pStyle w:val="2"/>
        <w:ind w:left="-708" w:leftChars="-337" w:firstLine="480" w:firstLineChars="200"/>
        <w:rPr>
          <w:rFonts w:ascii="宋体" w:hAnsi="宋体" w:cs="宋体"/>
          <w:color w:val="000000" w:themeColor="text1"/>
          <w14:textFill>
            <w14:solidFill>
              <w14:schemeClr w14:val="tx1"/>
            </w14:solidFill>
          </w14:textFill>
        </w:rPr>
      </w:pPr>
      <w:r>
        <w:rPr>
          <w:rFonts w:hint="eastAsia" w:ascii="宋体" w:hAnsi="宋体" w:cs="宋体"/>
        </w:rPr>
        <w:t>（</w:t>
      </w:r>
      <w:r>
        <w:rPr>
          <w:rFonts w:ascii="宋体" w:hAnsi="宋体" w:cs="宋体"/>
        </w:rPr>
        <w:t>5</w:t>
      </w:r>
      <w:r>
        <w:rPr>
          <w:rFonts w:hint="eastAsia" w:ascii="宋体" w:hAnsi="宋体" w:cs="宋体"/>
        </w:rPr>
        <w:t>）签订合同后，30天内仪器设备安装调试结束并交付使用，要求</w:t>
      </w:r>
      <w:r>
        <w:rPr>
          <w:rFonts w:hint="eastAsia" w:ascii="宋体" w:hAnsi="宋体" w:cs="宋体"/>
          <w:color w:val="000000" w:themeColor="text1"/>
          <w14:textFill>
            <w14:solidFill>
              <w14:schemeClr w14:val="tx1"/>
            </w14:solidFill>
          </w14:textFill>
        </w:rPr>
        <w:t>免费送货上门，免费安装调试（仪器到货后1周内到用户处安装调试），免费培训1～2名操作人员至能完全独立操作及日常维护。</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p>
    <w:p>
      <w:pPr>
        <w:pStyle w:val="2"/>
        <w:ind w:left="-708" w:leftChars="-337" w:firstLine="480" w:firstLineChars="200"/>
      </w:pPr>
      <w:r>
        <w:t>5</w:t>
      </w:r>
      <w:r>
        <w:rPr>
          <w:rFonts w:hint="eastAsia"/>
        </w:rPr>
        <w:t>.付款方式：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rPr>
        <w:t>90%</w:t>
      </w:r>
      <w:r>
        <w:rPr>
          <w:rFonts w:hint="eastAsia" w:cs="宋体"/>
          <w:kern w:val="0"/>
          <w:sz w:val="24"/>
          <w:szCs w:val="24"/>
        </w:rPr>
        <w:t xml:space="preserve"> ，其余 </w:t>
      </w:r>
      <w:r>
        <w:rPr>
          <w:rFonts w:hint="eastAsia" w:cs="宋体"/>
          <w:kern w:val="0"/>
          <w:sz w:val="24"/>
          <w:szCs w:val="24"/>
          <w:highlight w:val="yellow"/>
        </w:rPr>
        <w:t>10%</w:t>
      </w:r>
      <w:r>
        <w:rPr>
          <w:rFonts w:hint="eastAsia" w:cs="宋体"/>
          <w:kern w:val="0"/>
          <w:sz w:val="24"/>
          <w:szCs w:val="24"/>
        </w:rPr>
        <w:t xml:space="preserve"> 作为质保金，质保期满后无质量问题付清（无息）。如验收不合格以及发现伪劣产品等，招标人将视情形采取退货、拒付款、终止合同、索赔等措施，直至通过有关部门，依法维权。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15个历</w:t>
          </w:r>
        </w:sdtContent>
      </w:sdt>
      <w:r>
        <w:rPr>
          <w:rFonts w:hint="eastAsia" w:cs="宋体"/>
          <w:color w:val="FF0000"/>
          <w:kern w:val="0"/>
          <w:sz w:val="24"/>
          <w:szCs w:val="24"/>
          <w:u w:val="single"/>
        </w:rPr>
        <w:t>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sdtPr>
        <w:sdtEndPr>
          <w:rPr>
            <w:rFonts w:hint="eastAsia" w:cs="宋体"/>
            <w:b/>
            <w:bCs/>
            <w:kern w:val="0"/>
            <w:sz w:val="24"/>
            <w:szCs w:val="24"/>
            <w:u w:val="single"/>
          </w:rPr>
        </w:sdtEndPr>
        <w:sdtContent>
          <w:r>
            <w:rPr>
              <w:rFonts w:hint="eastAsia" w:cs="宋体"/>
              <w:b/>
              <w:bCs/>
              <w:kern w:val="0"/>
              <w:sz w:val="24"/>
              <w:szCs w:val="24"/>
              <w:u w:val="single"/>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B4BDE"/>
    <w:multiLevelType w:val="multilevel"/>
    <w:tmpl w:val="0DCB4BD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66410"/>
    <w:rsid w:val="00080292"/>
    <w:rsid w:val="0008196D"/>
    <w:rsid w:val="00095D83"/>
    <w:rsid w:val="000A6C18"/>
    <w:rsid w:val="000B7E2D"/>
    <w:rsid w:val="000E1AA6"/>
    <w:rsid w:val="000F6FAF"/>
    <w:rsid w:val="001227B3"/>
    <w:rsid w:val="00182B0D"/>
    <w:rsid w:val="00204183"/>
    <w:rsid w:val="00235D4A"/>
    <w:rsid w:val="00241CD6"/>
    <w:rsid w:val="00273025"/>
    <w:rsid w:val="002C7944"/>
    <w:rsid w:val="00345AF2"/>
    <w:rsid w:val="003C3AB5"/>
    <w:rsid w:val="003E2FE0"/>
    <w:rsid w:val="003E7DC1"/>
    <w:rsid w:val="00474079"/>
    <w:rsid w:val="004C7EB2"/>
    <w:rsid w:val="004D08F5"/>
    <w:rsid w:val="004D2825"/>
    <w:rsid w:val="004F5A76"/>
    <w:rsid w:val="005007DD"/>
    <w:rsid w:val="00557C11"/>
    <w:rsid w:val="005B049F"/>
    <w:rsid w:val="005B30C7"/>
    <w:rsid w:val="005D491D"/>
    <w:rsid w:val="00622354"/>
    <w:rsid w:val="006431C4"/>
    <w:rsid w:val="00654BC6"/>
    <w:rsid w:val="00684BD7"/>
    <w:rsid w:val="006A12DF"/>
    <w:rsid w:val="006B2F74"/>
    <w:rsid w:val="006E5543"/>
    <w:rsid w:val="006F775C"/>
    <w:rsid w:val="00707A97"/>
    <w:rsid w:val="007814EA"/>
    <w:rsid w:val="007A5910"/>
    <w:rsid w:val="007F6F70"/>
    <w:rsid w:val="008073E3"/>
    <w:rsid w:val="00825B15"/>
    <w:rsid w:val="008553F8"/>
    <w:rsid w:val="00871C48"/>
    <w:rsid w:val="008A5DC5"/>
    <w:rsid w:val="008D3A6F"/>
    <w:rsid w:val="009530DC"/>
    <w:rsid w:val="009E1C35"/>
    <w:rsid w:val="00A2105C"/>
    <w:rsid w:val="00A32A4C"/>
    <w:rsid w:val="00A44D5C"/>
    <w:rsid w:val="00A7441F"/>
    <w:rsid w:val="00A83F43"/>
    <w:rsid w:val="00AB2B0A"/>
    <w:rsid w:val="00AC0EA5"/>
    <w:rsid w:val="00AF123F"/>
    <w:rsid w:val="00B07FB2"/>
    <w:rsid w:val="00B8409A"/>
    <w:rsid w:val="00BA3521"/>
    <w:rsid w:val="00BB74B3"/>
    <w:rsid w:val="00BD2E0E"/>
    <w:rsid w:val="00BE1AC9"/>
    <w:rsid w:val="00C20E88"/>
    <w:rsid w:val="00C33384"/>
    <w:rsid w:val="00C50E05"/>
    <w:rsid w:val="00C762C8"/>
    <w:rsid w:val="00C97AD7"/>
    <w:rsid w:val="00CC2DEE"/>
    <w:rsid w:val="00CD27A2"/>
    <w:rsid w:val="00D2336F"/>
    <w:rsid w:val="00D2685D"/>
    <w:rsid w:val="00D41CB5"/>
    <w:rsid w:val="00D57065"/>
    <w:rsid w:val="00D635CE"/>
    <w:rsid w:val="00DB5864"/>
    <w:rsid w:val="00E13FCC"/>
    <w:rsid w:val="00E14108"/>
    <w:rsid w:val="00E23B2A"/>
    <w:rsid w:val="00E67DBF"/>
    <w:rsid w:val="00E72BBE"/>
    <w:rsid w:val="00E74D5B"/>
    <w:rsid w:val="00E859B1"/>
    <w:rsid w:val="00EB1C9B"/>
    <w:rsid w:val="00ED5546"/>
    <w:rsid w:val="00EF6FEC"/>
    <w:rsid w:val="00F12B55"/>
    <w:rsid w:val="0147153B"/>
    <w:rsid w:val="04A66578"/>
    <w:rsid w:val="04F07B21"/>
    <w:rsid w:val="06D05B2E"/>
    <w:rsid w:val="07D63618"/>
    <w:rsid w:val="08646E76"/>
    <w:rsid w:val="09C53074"/>
    <w:rsid w:val="09C85F7A"/>
    <w:rsid w:val="0A0362F9"/>
    <w:rsid w:val="0B051173"/>
    <w:rsid w:val="0BC91684"/>
    <w:rsid w:val="0DA7654A"/>
    <w:rsid w:val="0DDF6528"/>
    <w:rsid w:val="0EAF35B4"/>
    <w:rsid w:val="0FBD18F4"/>
    <w:rsid w:val="10C44FE5"/>
    <w:rsid w:val="10C97A40"/>
    <w:rsid w:val="10D00951"/>
    <w:rsid w:val="112C6057"/>
    <w:rsid w:val="122B15C9"/>
    <w:rsid w:val="140D1AAC"/>
    <w:rsid w:val="144B713C"/>
    <w:rsid w:val="14A4200E"/>
    <w:rsid w:val="14BA18FD"/>
    <w:rsid w:val="158C3568"/>
    <w:rsid w:val="16DE1BA1"/>
    <w:rsid w:val="175D42E5"/>
    <w:rsid w:val="17685054"/>
    <w:rsid w:val="17BE7C25"/>
    <w:rsid w:val="1A5D5E77"/>
    <w:rsid w:val="1ADD6755"/>
    <w:rsid w:val="1BD17F27"/>
    <w:rsid w:val="1C7A583D"/>
    <w:rsid w:val="1CDA5E97"/>
    <w:rsid w:val="1E7B30DA"/>
    <w:rsid w:val="1F947BE9"/>
    <w:rsid w:val="1FB36A5F"/>
    <w:rsid w:val="204E6A4B"/>
    <w:rsid w:val="214F4DED"/>
    <w:rsid w:val="2218153E"/>
    <w:rsid w:val="22BD2FB3"/>
    <w:rsid w:val="22F369D5"/>
    <w:rsid w:val="23344977"/>
    <w:rsid w:val="23F9728E"/>
    <w:rsid w:val="246B74DB"/>
    <w:rsid w:val="24FD4D83"/>
    <w:rsid w:val="250709CF"/>
    <w:rsid w:val="251A729B"/>
    <w:rsid w:val="252E3513"/>
    <w:rsid w:val="26582593"/>
    <w:rsid w:val="26A34BB6"/>
    <w:rsid w:val="26A36964"/>
    <w:rsid w:val="26ED7BDF"/>
    <w:rsid w:val="2D68718B"/>
    <w:rsid w:val="2E44559E"/>
    <w:rsid w:val="2F582D3D"/>
    <w:rsid w:val="2FA71273"/>
    <w:rsid w:val="3194337D"/>
    <w:rsid w:val="32110C25"/>
    <w:rsid w:val="34207E38"/>
    <w:rsid w:val="34425A0E"/>
    <w:rsid w:val="34642367"/>
    <w:rsid w:val="34853AA5"/>
    <w:rsid w:val="34CC4FFC"/>
    <w:rsid w:val="35646D34"/>
    <w:rsid w:val="3737378F"/>
    <w:rsid w:val="37585483"/>
    <w:rsid w:val="3806606D"/>
    <w:rsid w:val="38C93665"/>
    <w:rsid w:val="38F605A0"/>
    <w:rsid w:val="38FF3ECD"/>
    <w:rsid w:val="397701BE"/>
    <w:rsid w:val="39893797"/>
    <w:rsid w:val="3A0D261A"/>
    <w:rsid w:val="3ACC5F8D"/>
    <w:rsid w:val="3B0752BB"/>
    <w:rsid w:val="3B5B69F6"/>
    <w:rsid w:val="3CE60193"/>
    <w:rsid w:val="3D1B32A0"/>
    <w:rsid w:val="3D966E98"/>
    <w:rsid w:val="3F376133"/>
    <w:rsid w:val="3F5D12BF"/>
    <w:rsid w:val="403A1C8F"/>
    <w:rsid w:val="41366ED0"/>
    <w:rsid w:val="41673C2D"/>
    <w:rsid w:val="4286740D"/>
    <w:rsid w:val="42D10E7F"/>
    <w:rsid w:val="42F56341"/>
    <w:rsid w:val="45883236"/>
    <w:rsid w:val="45EB3B06"/>
    <w:rsid w:val="46BA3873"/>
    <w:rsid w:val="475C698F"/>
    <w:rsid w:val="480C5CBF"/>
    <w:rsid w:val="48A45267"/>
    <w:rsid w:val="492E435B"/>
    <w:rsid w:val="492F5696"/>
    <w:rsid w:val="493B60C3"/>
    <w:rsid w:val="4AB10DA0"/>
    <w:rsid w:val="4AB35768"/>
    <w:rsid w:val="4C7F2195"/>
    <w:rsid w:val="4E7A2EF9"/>
    <w:rsid w:val="4EA77BEE"/>
    <w:rsid w:val="517606B0"/>
    <w:rsid w:val="51976B19"/>
    <w:rsid w:val="52744CA6"/>
    <w:rsid w:val="52A01EDE"/>
    <w:rsid w:val="52EA0FEF"/>
    <w:rsid w:val="539B006B"/>
    <w:rsid w:val="53D855EF"/>
    <w:rsid w:val="54263430"/>
    <w:rsid w:val="56791B90"/>
    <w:rsid w:val="56A96DCF"/>
    <w:rsid w:val="577706F9"/>
    <w:rsid w:val="57BC2879"/>
    <w:rsid w:val="584865CE"/>
    <w:rsid w:val="58AB32D2"/>
    <w:rsid w:val="58BA59F2"/>
    <w:rsid w:val="5B4517BC"/>
    <w:rsid w:val="5BCB48E6"/>
    <w:rsid w:val="5BD2436E"/>
    <w:rsid w:val="5CA22C3E"/>
    <w:rsid w:val="5CD96603"/>
    <w:rsid w:val="5DEB0F45"/>
    <w:rsid w:val="5E116BDB"/>
    <w:rsid w:val="5EC0115A"/>
    <w:rsid w:val="5FBF1411"/>
    <w:rsid w:val="5FBF74F7"/>
    <w:rsid w:val="601E082E"/>
    <w:rsid w:val="60433DF0"/>
    <w:rsid w:val="60A26D69"/>
    <w:rsid w:val="619A0388"/>
    <w:rsid w:val="61DA42C9"/>
    <w:rsid w:val="622562E9"/>
    <w:rsid w:val="62424D8A"/>
    <w:rsid w:val="62FE6288"/>
    <w:rsid w:val="64103A36"/>
    <w:rsid w:val="648F0FD0"/>
    <w:rsid w:val="65167D25"/>
    <w:rsid w:val="659C46CE"/>
    <w:rsid w:val="66122DE8"/>
    <w:rsid w:val="66C8679B"/>
    <w:rsid w:val="67DF6AF4"/>
    <w:rsid w:val="68861BB7"/>
    <w:rsid w:val="68C10ACC"/>
    <w:rsid w:val="691F78D0"/>
    <w:rsid w:val="69333123"/>
    <w:rsid w:val="6AAD6A36"/>
    <w:rsid w:val="6AC63F9C"/>
    <w:rsid w:val="6B7C465A"/>
    <w:rsid w:val="6C465394"/>
    <w:rsid w:val="6DD0797D"/>
    <w:rsid w:val="71747D49"/>
    <w:rsid w:val="71881FAB"/>
    <w:rsid w:val="722A12B4"/>
    <w:rsid w:val="72933F95"/>
    <w:rsid w:val="74017DF2"/>
    <w:rsid w:val="74B5471E"/>
    <w:rsid w:val="75661EAC"/>
    <w:rsid w:val="76D6141B"/>
    <w:rsid w:val="778C3E77"/>
    <w:rsid w:val="77C67389"/>
    <w:rsid w:val="787212BF"/>
    <w:rsid w:val="7923015C"/>
    <w:rsid w:val="797E4DEC"/>
    <w:rsid w:val="79FC3536"/>
    <w:rsid w:val="7AB72C56"/>
    <w:rsid w:val="7BF429B9"/>
    <w:rsid w:val="7CBA6985"/>
    <w:rsid w:val="7E176B90"/>
    <w:rsid w:val="7F3861B1"/>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6"/>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8"/>
    <w:qFormat/>
    <w:uiPriority w:val="0"/>
    <w:rPr>
      <w:rFonts w:ascii="宋体" w:hAnsi="Courier New"/>
    </w:rPr>
  </w:style>
  <w:style w:type="paragraph" w:styleId="6">
    <w:name w:val="Balloon Text"/>
    <w:basedOn w:val="1"/>
    <w:link w:val="27"/>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semiHidden/>
    <w:unhideWhenUsed/>
    <w:qFormat/>
    <w:uiPriority w:val="99"/>
    <w:rPr>
      <w:b/>
      <w:bCs/>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semiHidden/>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Char"/>
    <w:link w:val="3"/>
    <w:semiHidden/>
    <w:qFormat/>
    <w:uiPriority w:val="99"/>
    <w:rPr>
      <w:rFonts w:ascii="Times New Roman" w:hAnsi="Times New Roman" w:eastAsia="宋体" w:cs="Times New Roman"/>
      <w:szCs w:val="21"/>
    </w:rPr>
  </w:style>
  <w:style w:type="character" w:customStyle="1" w:styleId="17">
    <w:name w:val="批注主题 Char"/>
    <w:basedOn w:val="16"/>
    <w:link w:val="9"/>
    <w:semiHidden/>
    <w:qFormat/>
    <w:uiPriority w:val="99"/>
    <w:rPr>
      <w:rFonts w:ascii="Times New Roman" w:hAnsi="Times New Roman" w:eastAsia="宋体" w:cs="Times New Roman"/>
      <w:b/>
      <w:bCs/>
      <w:szCs w:val="21"/>
    </w:rPr>
  </w:style>
  <w:style w:type="character" w:customStyle="1" w:styleId="18">
    <w:name w:val="纯文本 Char"/>
    <w:basedOn w:val="13"/>
    <w:link w:val="5"/>
    <w:qFormat/>
    <w:uiPriority w:val="0"/>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Char"/>
    <w:basedOn w:val="13"/>
    <w:link w:val="8"/>
    <w:qFormat/>
    <w:uiPriority w:val="99"/>
    <w:rPr>
      <w:rFonts w:ascii="Times New Roman" w:hAnsi="Times New Roman" w:eastAsia="宋体" w:cs="Times New Roman"/>
      <w:sz w:val="18"/>
      <w:szCs w:val="18"/>
    </w:rPr>
  </w:style>
  <w:style w:type="character" w:customStyle="1" w:styleId="22">
    <w:name w:val="页脚 Char"/>
    <w:basedOn w:val="13"/>
    <w:link w:val="7"/>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customStyle="1" w:styleId="24">
    <w:name w:val="样式1"/>
    <w:basedOn w:val="1"/>
    <w:qFormat/>
    <w:uiPriority w:val="0"/>
  </w:style>
  <w:style w:type="paragraph" w:customStyle="1" w:styleId="25">
    <w:name w:val="列出段落1"/>
    <w:basedOn w:val="1"/>
    <w:qFormat/>
    <w:uiPriority w:val="34"/>
    <w:pPr>
      <w:ind w:firstLine="420"/>
    </w:pPr>
  </w:style>
  <w:style w:type="paragraph" w:styleId="26">
    <w:name w:val="List Paragraph"/>
    <w:basedOn w:val="1"/>
    <w:qFormat/>
    <w:uiPriority w:val="99"/>
    <w:pPr>
      <w:ind w:firstLine="420" w:firstLineChars="200"/>
    </w:pPr>
    <w:rPr>
      <w:rFonts w:ascii="Calibri" w:hAnsi="Calibri" w:cs="宋体"/>
      <w:szCs w:val="22"/>
    </w:rPr>
  </w:style>
  <w:style w:type="character" w:customStyle="1" w:styleId="27">
    <w:name w:val="批注框文本 Char"/>
    <w:basedOn w:val="13"/>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102898"/>
    <w:rsid w:val="001B2DBA"/>
    <w:rsid w:val="001C61FC"/>
    <w:rsid w:val="002419D1"/>
    <w:rsid w:val="0048475D"/>
    <w:rsid w:val="006F68E2"/>
    <w:rsid w:val="00701D3A"/>
    <w:rsid w:val="007311C2"/>
    <w:rsid w:val="0080285A"/>
    <w:rsid w:val="00A87B35"/>
    <w:rsid w:val="00D661F9"/>
    <w:rsid w:val="00F11811"/>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D96B62644A14108B5165B0B3700337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2BC6-7C63-4A43-8E66-867A32EEF59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3802</Words>
  <Characters>4158</Characters>
  <Lines>32</Lines>
  <Paragraphs>9</Paragraphs>
  <TotalTime>10</TotalTime>
  <ScaleCrop>false</ScaleCrop>
  <LinksUpToDate>false</LinksUpToDate>
  <CharactersWithSpaces>4258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2022-06-29T06:33:00Z</dcterms:created>
  <dc:creator>c k</dc:creator>
  <cp:lastModifiedBy>Administrator</cp:lastModifiedBy>
  <cp:lastPrinted>2021-01-18T07:59:00Z</cp:lastPrinted>
  <dcterms:modified xsi:type="dcterms:W3CDTF">2022-08-23T07:56:39Z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530341C43AEF48B6BD2D245A82FEDE8F</vt:lpwstr>
  </property>
</Properties>
</file>