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60" w:lineRule="exact"/>
        <w:ind w:firstLine="723" w:firstLineChars="200"/>
        <w:jc w:val="center"/>
        <w:textAlignment w:val="auto"/>
        <w:rPr>
          <w:rFonts w:hint="eastAsia" w:ascii="宋体" w:hAnsi="宋体" w:eastAsia="宋体" w:cs="宋体"/>
          <w:b/>
          <w:bCs/>
          <w:kern w:val="0"/>
          <w:sz w:val="36"/>
          <w:szCs w:val="36"/>
        </w:rPr>
      </w:pPr>
      <w:bookmarkStart w:id="0" w:name="_Hlk63092398"/>
      <w:r>
        <w:rPr>
          <w:rFonts w:hint="eastAsia" w:ascii="宋体" w:hAnsi="宋体" w:eastAsia="宋体" w:cs="宋体"/>
          <w:b/>
          <w:bCs/>
          <w:kern w:val="0"/>
          <w:sz w:val="36"/>
          <w:szCs w:val="36"/>
        </w:rPr>
        <w:t>第二章  投标人须知</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一、总则</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1. 适用范围：</w:t>
      </w:r>
    </w:p>
    <w:p>
      <w:pPr>
        <w:pStyle w:val="2"/>
        <w:keepNext w:val="0"/>
        <w:keepLines w:val="0"/>
        <w:pageBreakBefore w:val="0"/>
        <w:kinsoku/>
        <w:wordWrap/>
        <w:overflowPunct/>
        <w:topLinePunct w:val="0"/>
        <w:bidi w:val="0"/>
        <w:snapToGrid/>
        <w:spacing w:line="460" w:lineRule="exact"/>
        <w:ind w:firstLine="560" w:firstLineChars="200"/>
        <w:textAlignment w:val="auto"/>
        <w:rPr>
          <w:rStyle w:val="11"/>
          <w:rFonts w:hint="eastAsia" w:ascii="宋体" w:hAnsi="宋体" w:eastAsia="宋体" w:cs="宋体"/>
          <w:b/>
          <w:bCs/>
          <w:sz w:val="28"/>
          <w:szCs w:val="28"/>
          <w:highlight w:val="none"/>
          <w:u w:val="single"/>
          <w:lang w:eastAsia="zh-CN"/>
        </w:rPr>
      </w:pPr>
      <w:r>
        <w:rPr>
          <w:rFonts w:hint="eastAsia" w:ascii="宋体" w:hAnsi="宋体" w:eastAsia="宋体" w:cs="宋体"/>
          <w:sz w:val="28"/>
          <w:szCs w:val="28"/>
          <w:highlight w:val="none"/>
        </w:rPr>
        <w:t>1.1.项目名称：</w:t>
      </w:r>
      <w:r>
        <w:rPr>
          <w:rStyle w:val="11"/>
          <w:rFonts w:hint="eastAsia" w:ascii="宋体" w:hAnsi="宋体" w:eastAsia="宋体" w:cs="宋体"/>
          <w:b/>
          <w:bCs/>
          <w:sz w:val="28"/>
          <w:szCs w:val="28"/>
          <w:highlight w:val="none"/>
          <w:u w:val="single"/>
          <w:lang w:eastAsia="zh-CN"/>
        </w:rPr>
        <w:t xml:space="preserve">中药配方颗粒生产企业遴选 </w:t>
      </w: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highlight w:val="none"/>
          <w:lang w:val="en-US"/>
        </w:rPr>
      </w:pPr>
      <w:r>
        <w:rPr>
          <w:rFonts w:hint="eastAsia" w:ascii="宋体" w:hAnsi="宋体" w:eastAsia="宋体" w:cs="宋体"/>
          <w:sz w:val="28"/>
          <w:szCs w:val="28"/>
          <w:highlight w:val="none"/>
        </w:rPr>
        <w:t>1.2.项目编号：</w:t>
      </w:r>
      <w:r>
        <w:rPr>
          <w:rStyle w:val="11"/>
          <w:rFonts w:hint="eastAsia" w:ascii="宋体" w:hAnsi="宋体" w:eastAsia="宋体" w:cs="宋体"/>
          <w:b/>
          <w:bCs/>
          <w:sz w:val="28"/>
          <w:szCs w:val="28"/>
          <w:highlight w:val="none"/>
          <w:u w:val="single"/>
          <w:lang w:eastAsia="zh-CN"/>
        </w:rPr>
        <w:t>桂东招20220</w:t>
      </w:r>
      <w:r>
        <w:rPr>
          <w:rStyle w:val="11"/>
          <w:rFonts w:hint="eastAsia" w:ascii="宋体" w:hAnsi="宋体" w:eastAsia="宋体" w:cs="宋体"/>
          <w:b/>
          <w:bCs/>
          <w:sz w:val="28"/>
          <w:szCs w:val="28"/>
          <w:highlight w:val="none"/>
          <w:u w:val="single"/>
          <w:lang w:val="en-US" w:eastAsia="zh-CN"/>
        </w:rPr>
        <w:t>52</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 合格的投标人</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 满足招标公告中“投标人资格要求”的规定。</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2.2 满足招标文件实质性条款的规定。</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3. 投标费用</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投标人应自行承担与投标有关的所有费用。招标人在任何情况下均无义务和责任承担这些费用。</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4. 招标文件的约束力</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投标人一旦下载了本招标文件并决定参加投标，即被认为接受了本招标文件的规定和约束，并视为自招标公告发布之日起已经知道或应当知道自身权益是否受到了损害。</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5</w:t>
      </w:r>
      <w:r>
        <w:rPr>
          <w:rFonts w:hint="eastAsia" w:ascii="宋体" w:hAnsi="宋体" w:eastAsia="宋体" w:cs="宋体"/>
          <w:b/>
          <w:bCs/>
          <w:kern w:val="0"/>
          <w:sz w:val="28"/>
          <w:szCs w:val="28"/>
          <w:lang w:val="en-US"/>
        </w:rPr>
        <w:t>.</w:t>
      </w:r>
      <w:r>
        <w:rPr>
          <w:rFonts w:hint="eastAsia" w:ascii="宋体" w:hAnsi="宋体" w:eastAsia="宋体" w:cs="宋体"/>
          <w:b/>
          <w:bCs/>
          <w:kern w:val="0"/>
          <w:sz w:val="28"/>
          <w:szCs w:val="28"/>
        </w:rPr>
        <w:t xml:space="preserve"> 招标文件澄清与修改</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bookmarkStart w:id="1" w:name="_Toc16938527"/>
      <w:bookmarkEnd w:id="1"/>
      <w:bookmarkStart w:id="2" w:name="_Toc20823283"/>
      <w:bookmarkEnd w:id="2"/>
      <w:bookmarkStart w:id="3" w:name="_Toc513029211"/>
      <w:bookmarkEnd w:id="3"/>
      <w:bookmarkStart w:id="4" w:name="_Toc462564070"/>
      <w:r>
        <w:rPr>
          <w:rFonts w:hint="eastAsia" w:ascii="宋体" w:hAnsi="宋体" w:eastAsia="宋体" w:cs="宋体"/>
          <w:kern w:val="0"/>
          <w:sz w:val="28"/>
          <w:szCs w:val="28"/>
        </w:rPr>
        <w:t xml:space="preserve">5.1 </w:t>
      </w:r>
      <w:bookmarkEnd w:id="4"/>
      <w:r>
        <w:rPr>
          <w:rFonts w:hint="eastAsia" w:ascii="宋体" w:hAnsi="宋体" w:eastAsia="宋体" w:cs="宋体"/>
          <w:kern w:val="0"/>
          <w:sz w:val="28"/>
          <w:szCs w:val="28"/>
        </w:rPr>
        <w:t>招标文件的澄清</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任何要求对招标文件进行澄清的投标人，均应在投标截止时间</w:t>
      </w:r>
      <w:r>
        <w:rPr>
          <w:rFonts w:hint="eastAsia" w:ascii="宋体" w:hAnsi="宋体" w:eastAsia="宋体" w:cs="宋体"/>
          <w:kern w:val="0"/>
          <w:sz w:val="28"/>
          <w:szCs w:val="28"/>
          <w:lang w:val="en-US" w:eastAsia="zh-CN"/>
        </w:rPr>
        <w:t>3个工作</w:t>
      </w:r>
      <w:r>
        <w:rPr>
          <w:rFonts w:hint="eastAsia" w:ascii="宋体" w:hAnsi="宋体" w:eastAsia="宋体" w:cs="宋体"/>
          <w:kern w:val="0"/>
          <w:sz w:val="28"/>
          <w:szCs w:val="28"/>
        </w:rPr>
        <w:t>日前按招标公告中的通讯地址，以书面形式通知广西壮族自治区桂东人民医院。广西壮族自治区桂东人民医院认为已发布的招标文件确有必要澄清的，将在广西壮族自治区桂东人民医院网站（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"http://www.gxgdyy.com" </w:instrText>
      </w:r>
      <w:r>
        <w:rPr>
          <w:rFonts w:hint="eastAsia" w:ascii="宋体" w:hAnsi="宋体" w:eastAsia="宋体" w:cs="宋体"/>
          <w:sz w:val="28"/>
          <w:szCs w:val="28"/>
        </w:rPr>
        <w:fldChar w:fldCharType="separate"/>
      </w:r>
      <w:r>
        <w:rPr>
          <w:rStyle w:val="10"/>
          <w:rFonts w:hint="eastAsia" w:ascii="宋体" w:hAnsi="宋体" w:eastAsia="宋体" w:cs="宋体"/>
          <w:kern w:val="0"/>
          <w:sz w:val="28"/>
          <w:szCs w:val="28"/>
        </w:rPr>
        <w:t>http://www.gxgdyy.com</w:t>
      </w:r>
      <w:r>
        <w:rPr>
          <w:rStyle w:val="10"/>
          <w:rFonts w:hint="eastAsia" w:ascii="宋体" w:hAnsi="宋体" w:eastAsia="宋体" w:cs="宋体"/>
          <w:kern w:val="0"/>
          <w:sz w:val="28"/>
          <w:szCs w:val="28"/>
        </w:rPr>
        <w:fldChar w:fldCharType="end"/>
      </w:r>
      <w:r>
        <w:rPr>
          <w:rFonts w:hint="eastAsia" w:ascii="宋体" w:hAnsi="宋体" w:eastAsia="宋体" w:cs="宋体"/>
          <w:kern w:val="0"/>
          <w:sz w:val="28"/>
          <w:szCs w:val="28"/>
        </w:rPr>
        <w:t>）发布公告，答复所提问题（但不包括问题的来源）。</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bookmarkStart w:id="5" w:name="_Toc513029212"/>
      <w:bookmarkEnd w:id="5"/>
      <w:bookmarkStart w:id="6" w:name="_Toc20823284"/>
      <w:bookmarkEnd w:id="6"/>
      <w:bookmarkStart w:id="7" w:name="_Toc16938528"/>
      <w:bookmarkEnd w:id="7"/>
      <w:bookmarkStart w:id="8" w:name="_Toc462564071"/>
      <w:r>
        <w:rPr>
          <w:rFonts w:hint="eastAsia" w:ascii="宋体" w:hAnsi="宋体" w:eastAsia="宋体" w:cs="宋体"/>
          <w:kern w:val="0"/>
          <w:sz w:val="28"/>
          <w:szCs w:val="28"/>
        </w:rPr>
        <w:t xml:space="preserve">5.2 </w:t>
      </w:r>
      <w:bookmarkEnd w:id="8"/>
      <w:r>
        <w:rPr>
          <w:rFonts w:hint="eastAsia" w:ascii="宋体" w:hAnsi="宋体" w:eastAsia="宋体" w:cs="宋体"/>
          <w:kern w:val="0"/>
          <w:sz w:val="28"/>
          <w:szCs w:val="28"/>
        </w:rPr>
        <w:t>招标文件的修改</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5.2.1在投标截止时间前，</w:t>
      </w:r>
      <w:bookmarkStart w:id="9" w:name="_Hlk60842639"/>
      <w:r>
        <w:rPr>
          <w:rFonts w:hint="eastAsia" w:ascii="宋体" w:hAnsi="宋体" w:eastAsia="宋体" w:cs="宋体"/>
          <w:kern w:val="0"/>
          <w:sz w:val="28"/>
          <w:szCs w:val="28"/>
        </w:rPr>
        <w:t>广西壮族自治区桂东人民医院</w:t>
      </w:r>
      <w:bookmarkEnd w:id="9"/>
      <w:r>
        <w:rPr>
          <w:rFonts w:hint="eastAsia" w:ascii="宋体" w:hAnsi="宋体" w:eastAsia="宋体" w:cs="宋体"/>
          <w:kern w:val="0"/>
          <w:sz w:val="28"/>
          <w:szCs w:val="28"/>
        </w:rPr>
        <w:t>均可以以补充文件的方式，在广西壮族自治区桂东人民医院网站对招标文件进行修改。</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5.2.2广西壮族自治区桂东人民医院有权按照法定的权限推迟投标截止日期和开标日期。</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5.2.3修改、补充文件作为招标文件的组成部分，对投标人具有同等约束力。</w:t>
      </w:r>
    </w:p>
    <w:p>
      <w:pPr>
        <w:keepNext w:val="0"/>
        <w:keepLines w:val="0"/>
        <w:pageBreakBefore w:val="0"/>
        <w:widowControl/>
        <w:kinsoku/>
        <w:wordWrap/>
        <w:overflowPunct/>
        <w:topLinePunct w:val="0"/>
        <w:bidi w:val="0"/>
        <w:snapToGrid/>
        <w:spacing w:line="460" w:lineRule="exact"/>
        <w:ind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二、投标文件的编制</w:t>
      </w:r>
      <w:bookmarkStart w:id="10" w:name="_Toc16938530"/>
      <w:bookmarkEnd w:id="10"/>
      <w:bookmarkStart w:id="11" w:name="_Toc20823286"/>
      <w:bookmarkEnd w:id="11"/>
      <w:bookmarkStart w:id="12" w:name="_Toc462564073"/>
      <w:bookmarkEnd w:id="12"/>
      <w:bookmarkStart w:id="13" w:name="_Toc513029214"/>
      <w:bookmarkEnd w:id="13"/>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6. 投标文件的语言及度量衡单位</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6.1 投标人提交的投标文件以及投标人与招标人就有关投标的所有来往通知、函件和文件均应使用简体中文。</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6.2 除技术性能另有规定外，投标文件所使用的度量衡单位，均须采用国家法定计量单位。</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 xml:space="preserve">7. 投标文件的构成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投标文件至少应提交以下投标材料：</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7.1投标函</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7.2法定代表人授权书</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7.3 投标人资格声明</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7.4 开标一览表</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7.5 投标配置与分项明细报价表</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7.6技术参数响应及偏离表</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7.7 资信证明文件技术支持性文件</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7.8服务承诺</w:t>
      </w:r>
    </w:p>
    <w:p>
      <w:pPr>
        <w:pStyle w:val="2"/>
        <w:rPr>
          <w:rFonts w:hint="default" w:eastAsia="宋体"/>
          <w:highlight w:val="yellow"/>
          <w:lang w:val="en-US" w:eastAsia="zh-CN"/>
        </w:rPr>
      </w:pPr>
      <w:r>
        <w:rPr>
          <w:rFonts w:hint="eastAsia" w:ascii="宋体" w:hAnsi="宋体" w:cs="宋体"/>
          <w:kern w:val="0"/>
          <w:sz w:val="28"/>
          <w:szCs w:val="28"/>
          <w:highlight w:val="yellow"/>
          <w:lang w:val="en-US" w:eastAsia="zh-CN"/>
        </w:rPr>
        <w:t xml:space="preserve">    7.9 符合国家标准的颗粒剂品种报价表（药品名称按字母A-Z顺序排序）。</w:t>
      </w:r>
    </w:p>
    <w:p>
      <w:pPr>
        <w:keepNext w:val="0"/>
        <w:keepLines w:val="0"/>
        <w:pageBreakBefore w:val="0"/>
        <w:widowControl/>
        <w:kinsoku/>
        <w:wordWrap/>
        <w:overflowPunct/>
        <w:topLinePunct w:val="0"/>
        <w:bidi w:val="0"/>
        <w:snapToGrid/>
        <w:spacing w:line="460" w:lineRule="exact"/>
        <w:ind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8. 投标文件的编制</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8.1 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8.2 投标人应按招标文件规定的格式（参照附件模板）认真如实填写投标文件的所有栏目和内容，不得缺项、漏项</w:t>
      </w:r>
      <w:r>
        <w:rPr>
          <w:rFonts w:hint="eastAsia" w:ascii="宋体" w:hAnsi="宋体" w:eastAsia="宋体" w:cs="宋体"/>
          <w:kern w:val="0"/>
          <w:sz w:val="28"/>
          <w:szCs w:val="28"/>
          <w:lang w:val="en-US" w:eastAsia="zh-CN"/>
        </w:rPr>
        <w:t>。</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8.3 投标文件应符合投标截止时间前招标人可能发出的澄清、修改或补充文件的要求。</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b/>
          <w:bCs/>
          <w:kern w:val="0"/>
          <w:sz w:val="28"/>
          <w:szCs w:val="28"/>
          <w:highlight w:val="none"/>
        </w:rPr>
        <w:t>9. 投标报价</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9.1 投标报价的货币单位：人民币元。</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9.2</w:t>
      </w:r>
      <w:bookmarkStart w:id="14" w:name="_Toc49090508"/>
      <w:bookmarkEnd w:id="14"/>
      <w:bookmarkStart w:id="15" w:name="_Toc14577355"/>
      <w:bookmarkEnd w:id="15"/>
      <w:r>
        <w:rPr>
          <w:rFonts w:hint="eastAsia" w:ascii="宋体" w:hAnsi="宋体" w:eastAsia="宋体" w:cs="宋体"/>
          <w:kern w:val="0"/>
          <w:sz w:val="28"/>
          <w:szCs w:val="28"/>
          <w:highlight w:val="none"/>
        </w:rPr>
        <w:t>开标一览表和投标配置与分项报价</w:t>
      </w:r>
      <w:bookmarkStart w:id="16" w:name="_Hlt26670373"/>
      <w:bookmarkEnd w:id="16"/>
      <w:r>
        <w:rPr>
          <w:rFonts w:hint="eastAsia" w:ascii="宋体" w:hAnsi="宋体" w:eastAsia="宋体" w:cs="宋体"/>
          <w:kern w:val="0"/>
          <w:sz w:val="28"/>
          <w:szCs w:val="28"/>
          <w:highlight w:val="none"/>
        </w:rPr>
        <w:t>表。</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9.2.1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如有备选配件，备选配件的报价不属有选择的报价，但不计入投标报价总价)。</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9.2.2采购人需求的产品供应、安装、调试及有关技术服务等。</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9.2.3有关费用处理</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招标报价采用总包方式，因此投标人的报价应包括所投产品费用、安装调试费、测试验收费、培训费、运行维护费用、税金、国际国内运输保险、为完成本项目发生的所有费用，招标文件中另有规定的除外。</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9.2.4招标文件未列明，而投标人认为必需的费用也应列入报价。</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9.3 投标人根据招标内容的要求，准确报价，不得随意修改。</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9.4 开标时，当投标文件中开标一览表内容与投标配置与分项明细报价表内容不一致时，以开标一览表为准。</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rPr>
        <w:t>投标文件的大写金额和小写金额不一致时，以大写金额为准；对不同文字文本投标的解释发生异议的，以中文文本为准。</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10. 开标一览表</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投标人必须按表中规定格式完整、清晰、正确填写，装入投标文件。</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11. 投标人的资信证明文件</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投标人必须按照招标文件的要求提供有关资信证明文件，以证明其有资格进行投标和有能力履行合同。或按照招标公告中投标人资格条件的要求提供所需的证明文件。</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12. 技术及售后服务承诺</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投标人的服务承诺应按等于或高于招标文件中关于售后服务要求提出的标准做出响应。</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13. 投标保证金、履约保证金</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13.1 投标保证金是为了保护广西壮族自治区桂东人民医院免遭因投标人的不当行为而蒙受的损失，招标人在因投标人的行为遭受损失时，可根据第“13.4”条的规定没收投标保证金。</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对于未按要求提交投标保证金的投标，将被视为非响应性投标而予以拒绝。</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13.2 若中标，投标保证金自动转为履约保证金。</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13.3 投标保证金凭据须在提交投标文件时直接交给工作人员，不可封在投标材料中。</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 下列任何情况发生时，投标保证金将被没收：</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13.4.1投标人在投标有效期内撤回其投标；</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13.4.2投标人提供的有关资料、资格证书被确认是不真实的；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13.4.3投标人被证明有妨碍其他人公平竞争、损害招标人或者其他投标人合法权益的；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13.4.4中标人在规定期限内未签订合同；</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13.4.5投标人在本次采购活动中有其它任何违法行为的。</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14. 投标有效期</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14.1 投标有效期为招标人规定的开标之日后三十（30）日历天。</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14.2 在特殊情况下，招标人于原投标有效期期满之前,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15. 投标文件份数和签署</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15.1 投标人应准备投标文件正本1份（正反打印）。</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15.2 投标文件必须打印，编制投标（响应）文件资料目录，并按顺序装订成册。</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15.3 投标人应严格按照招标文件的要求制作投标文件，并按“投标文件的组成及格式”中规定的要求进行签字和盖章。</w:t>
      </w:r>
    </w:p>
    <w:p>
      <w:pPr>
        <w:keepNext w:val="0"/>
        <w:keepLines w:val="0"/>
        <w:pageBreakBefore w:val="0"/>
        <w:widowControl/>
        <w:kinsoku/>
        <w:wordWrap/>
        <w:overflowPunct/>
        <w:topLinePunct w:val="0"/>
        <w:bidi w:val="0"/>
        <w:snapToGrid/>
        <w:spacing w:line="460" w:lineRule="exact"/>
        <w:ind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三、投标文件的密封与递交</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16. 投标截止时间</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16.1 投标截止时间为招标公告中规定的时间</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如够资质投标人不够三家，可适当顺延</w:t>
      </w:r>
      <w:r>
        <w:rPr>
          <w:rFonts w:hint="eastAsia" w:ascii="宋体" w:hAnsi="宋体" w:eastAsia="宋体" w:cs="宋体"/>
          <w:kern w:val="0"/>
          <w:sz w:val="28"/>
          <w:szCs w:val="28"/>
        </w:rPr>
        <w:t>。</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16.2因修改补充招标文件，招标人可以按照规定酌情延长投标截止日期。</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17. 投标文件的密封与标记</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17.1 投标人应将投标文件封装完好。不论投标人中标与否，投标文件均不退回。</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17.1.1注明投标人名称，并在封袋（盒）骑缝处加盖投标人公章（暗标除外）。</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17.1.2注明投标项目名称、项目编号、标书编号。</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17.2 如果封袋（盒）未按上述要求密封、加写标记或标注不清，招标人对误投或过早启封概不负责。标记标注不清或提前开封的投标文件，招标人将拒收。</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17.3 投标截止时间后递交的投标文件招标人将拒收。</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18. 投标文件的修改和撤回</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18.1投标文件中出现漏页、缺页、字迹模糊难以辨认，出现任何行间插字、涂改和增删等情况，投标无效；由此产生的一切后果由投标人自行承担。</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18.2投标人一旦递交投标文件后，不应再对投标文件进行修改，招标人有权拒绝。投标截止时间前如撤回投标，需投标人书面申请并签字。</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18.3在投标截止时间至招标文件中规定的投标有效期期满之间的这段时间内，投标人不得撤回其投标文件，否则其投标保证金将被没收。</w:t>
      </w:r>
    </w:p>
    <w:p>
      <w:pPr>
        <w:keepNext w:val="0"/>
        <w:keepLines w:val="0"/>
        <w:pageBreakBefore w:val="0"/>
        <w:widowControl/>
        <w:kinsoku/>
        <w:wordWrap/>
        <w:overflowPunct/>
        <w:topLinePunct w:val="0"/>
        <w:bidi w:val="0"/>
        <w:snapToGrid/>
        <w:spacing w:line="460" w:lineRule="exact"/>
        <w:ind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四、开标与评标</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19. 开标</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19.1 招标人在规定的时间参与开标，期间保持电话畅通，不必到达开标现场。如电话不通无法进行投标内容解释或二次报价，以投标文件内标注内容为准，由此造成的后果由投标人自行承担。</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19.2 开标仪式由广西壮族自治区桂东人民医院招标管理办公室指定工作人员主持，监督代表、评标专家组以及相关工作人员参加。</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19.3 同意撤回的投标将不予开封。</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19.4 开标时，请监督人员查验投标文件密封情况，确认无误后，由专家组成员对标书内容进行评比，好开标记录并存档备查。</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19.5 投标人在报价时不允许采用选择性报价，否则将被视为无效投标。</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20. 评标</w:t>
      </w:r>
      <w:bookmarkStart w:id="17" w:name="_Toc16938547"/>
      <w:bookmarkEnd w:id="17"/>
      <w:bookmarkStart w:id="18" w:name="_Toc20823303"/>
      <w:bookmarkEnd w:id="18"/>
      <w:bookmarkStart w:id="19" w:name="_Toc513029231"/>
      <w:bookmarkEnd w:id="19"/>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开标后，招标人立即组织评标专家组（以下简称专家组）进行评标。</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21. 评标过程的保密</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21.1 开标后，直至向中标的投标人授予合同时止，凡是与审查、澄清、评价和比较的有关资料以及授标建议等，均不得泄露。凡涉及投标人商业秘密的事项，所有当事人无论何时均应严守和维护。</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21.2 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22. 投标文件的澄清</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22.1 评标期间，为有助于对投标文件的审查、评价和比较，维护公平竞争，专家组有权要求投标人对其投标文件进行澄清，但并非对每个投标人都作澄清要求。</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22.2 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22.3 接到澄清要求的投标人如未按规定做出澄清，其风险由投标人自行承担。</w:t>
      </w:r>
      <w:bookmarkStart w:id="23" w:name="_Toc513029233"/>
      <w:bookmarkEnd w:id="23"/>
      <w:bookmarkStart w:id="24" w:name="_Toc16938549"/>
      <w:bookmarkEnd w:id="24"/>
      <w:bookmarkStart w:id="25" w:name="_Toc20823305"/>
      <w:bookmarkEnd w:id="25"/>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23.对投标文件的初审</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23.1 投标文件初审分为资格性检查和符合性检查。</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资格性检查：依据法律法规和招标文件的规定，对投标人的资格、信誉、投标保证金等进行审查，以确定投标供应商是否具备投标资格。</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符合性检查：依据招标文件的规定，从投标文件的有效性、完整性和对招标文件的响应度进行审查，以确定是否对招标文件的实质性要求作出响应。</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rPr>
        <w:t>23.2实质性响应的投标应该是与招标文件要求的全部条款相符，没有重大偏离或保留的投标。</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23.3 如果投标文件实质上没有响应招标文件的要求，专家组将予以拒绝其参与投标，投标人不得通过修改或撤销不合要求的偏离而使其投标成为实质性响应的投标。</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23.4 评标时，当投标文件中“开标一览表”内容与“投标配置与分项明细报价表”内容不一致时，以开标一览表为准。专家组有权要求投标人对投标配置与分项报价作出修正，调整后的价格应对投标人具有约束力。如果投标人不接受修正后的价格，则其投标将被拒绝，其投标保证金将被没收。</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23.5 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24. 无效投标条款和有关说明</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bookmarkStart w:id="29" w:name="_Toc20823307"/>
      <w:bookmarkEnd w:id="29"/>
      <w:bookmarkStart w:id="30" w:name="_Toc16938551"/>
      <w:bookmarkEnd w:id="30"/>
      <w:bookmarkStart w:id="31" w:name="_Toc513029235"/>
      <w:r>
        <w:rPr>
          <w:rFonts w:hint="eastAsia" w:ascii="宋体" w:hAnsi="宋体" w:eastAsia="宋体" w:cs="宋体"/>
          <w:kern w:val="0"/>
          <w:sz w:val="28"/>
          <w:szCs w:val="28"/>
        </w:rPr>
        <w:t xml:space="preserve">24.1 </w:t>
      </w:r>
      <w:bookmarkEnd w:id="31"/>
      <w:r>
        <w:rPr>
          <w:rFonts w:hint="eastAsia" w:ascii="宋体" w:hAnsi="宋体" w:eastAsia="宋体" w:cs="宋体"/>
          <w:kern w:val="0"/>
          <w:sz w:val="28"/>
          <w:szCs w:val="28"/>
        </w:rPr>
        <w:t>无效投标条款</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24.1.1 未按要求交纳投标保证金的；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24.1.2 未按照招标文件规定要求密封、签署、盖章的；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24.1.3 投标人在报价时采用选择性报价；</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24.1.4 投标人不具备招标文件中规定资格要求的；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24.1.5 不符合法律、法规和招标文件中规定的其他实质性要求的；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24.1.6其他法律、法规及本招标文件规定的评委会认定属无效投标的情形。</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24.2 不予评审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24.2.1 符合专业条件的供应商或者对招标文件作实质响应的供应商不足三家的；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24.2.2 出现影响采购公正的违法、违规行为的；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24.2.3 </w:t>
      </w:r>
      <w:r>
        <w:rPr>
          <w:rFonts w:hint="eastAsia" w:ascii="宋体" w:hAnsi="宋体" w:eastAsia="宋体" w:cs="宋体"/>
          <w:kern w:val="0"/>
          <w:sz w:val="28"/>
          <w:szCs w:val="28"/>
          <w:lang w:val="en-US" w:eastAsia="zh-CN"/>
        </w:rPr>
        <w:t>招标公告中有招标上控价，</w:t>
      </w:r>
      <w:r>
        <w:rPr>
          <w:rFonts w:hint="eastAsia" w:ascii="宋体" w:hAnsi="宋体" w:eastAsia="宋体" w:cs="宋体"/>
          <w:kern w:val="0"/>
          <w:sz w:val="28"/>
          <w:szCs w:val="28"/>
        </w:rPr>
        <w:t>投标人的报价均超过了采购预算，采购人不能支付的；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24.2.4 因重大变故，采购任务取消的。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w:t>
      </w:r>
      <w:bookmarkStart w:id="32" w:name="_Toc120614219"/>
      <w:r>
        <w:rPr>
          <w:rFonts w:hint="eastAsia" w:ascii="宋体" w:hAnsi="宋体" w:eastAsia="宋体" w:cs="宋体"/>
          <w:kern w:val="0"/>
          <w:sz w:val="28"/>
          <w:szCs w:val="28"/>
        </w:rPr>
        <w:t xml:space="preserve">3 </w:t>
      </w:r>
      <w:bookmarkEnd w:id="32"/>
      <w:r>
        <w:rPr>
          <w:rFonts w:hint="eastAsia" w:ascii="宋体" w:hAnsi="宋体" w:eastAsia="宋体" w:cs="宋体"/>
          <w:kern w:val="0"/>
          <w:sz w:val="28"/>
          <w:szCs w:val="28"/>
        </w:rPr>
        <w:t>有关说明：有效投标或单项投标内容低于三家时，招标人根据有关规定保留改用其他方式进行采购或重新招标的权利。</w:t>
      </w:r>
    </w:p>
    <w:p>
      <w:pPr>
        <w:keepNext w:val="0"/>
        <w:keepLines w:val="0"/>
        <w:pageBreakBefore w:val="0"/>
        <w:widowControl/>
        <w:kinsoku/>
        <w:wordWrap/>
        <w:overflowPunct/>
        <w:topLinePunct w:val="0"/>
        <w:bidi w:val="0"/>
        <w:snapToGrid/>
        <w:spacing w:line="460" w:lineRule="exact"/>
        <w:ind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ascii="宋体" w:hAnsi="宋体" w:eastAsia="宋体" w:cs="宋体"/>
          <w:b/>
          <w:bCs/>
          <w:kern w:val="0"/>
          <w:sz w:val="28"/>
          <w:szCs w:val="28"/>
        </w:rPr>
        <w:t>和质疑处理</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25.确定中标单位</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25.1 专家组根据本招标文件规定的评标办法与评分标准向广西壮族自治区桂东人民医院招投标领导小组推荐中标候选人。</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25.2招标人根据专家组推荐的中标候选人确定中标人。</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25.3 评审结束后</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个工作日内，中标候选人名单将在广西壮族自治区桂东人民医院网站（http://www.gxgdyy.com）进行公示。</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 若有充分证据证明，中标候选人出现下列情况之一的，一经查实，将被取消中标资格：</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25.4.1 提供虚假材料谋取中标的；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25.4.2 与评审专家、采购人、其他供应商或者与招标人工作人员恶意串通的；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25.4.3 向评审专家、采购人或工作人员行贿或者提供其它不正当利益的；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25.4.4 不满足本招标文件规定的实质性要求，但在评标过程中又未被评委会发现的；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25.4.5 不符合法律、法规约定的其它情形</w:t>
      </w:r>
      <w:bookmarkStart w:id="36" w:name="_Toc200451960"/>
      <w:bookmarkEnd w:id="36"/>
      <w:r>
        <w:rPr>
          <w:rFonts w:hint="eastAsia" w:ascii="宋体" w:hAnsi="宋体" w:eastAsia="宋体" w:cs="宋体"/>
          <w:kern w:val="0"/>
          <w:sz w:val="28"/>
          <w:szCs w:val="28"/>
        </w:rPr>
        <w:t>一经认定，招标人有权重新组织采购。</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26. 质疑处理</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26.1 .1参加投标供应商对中标或者成交结果提出质疑的，应从中标结果公示之日起3日内，以书面形式向招标人提出质疑。非书面形式、3日之外提交以及匿名的质疑将不予受理。</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26.1.2对招标文件提出质疑的，为投标截止时间</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日前。</w:t>
      </w: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26.1.3对采购过程提出质疑的，为各采购程序环节结束之日。</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26.2 质疑必须有参加投标供应商法定代表人或授权代表（投标文件中所确定的）签字, 并加盖单位公章，以书面送达的方式提交。未按上述要求提交的质疑函招标人有权不予受理。</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26.3 未参加投标的供应商生产商或在投标活动中本身权益未受到损害或从投标活动中受益的供应商生产商所提出的质疑不予受理。</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26.4  质疑函应当包括下列内容：</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26.4.1质疑投标人的名称、地址、邮编、联系人、联系电话；</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26.4.2具体的质疑事项及明确的请求；</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26.4.3认为自己合法权益受到损害或可能受到损害的相关证据材料。</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26.5 招标人收到质疑函后，将对质疑的形式和内容进行审查，如质疑函内容、格式不符合规定，招标人将告知质疑人进行补正。</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26.6 质疑人应当在质疑期限内进行补正并重新提交质疑函，拒不补正或者在期限内未重新提交质疑函的，为无效质疑，招标人有权不予受理。</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26.7 对于内容、格式符合规定的质疑函，招标人将在收到投标供应商的书面质疑后3个工作日内作出答复，并以书面形式（包括电子邮件）通知质疑供应商和其他有关供应商，但答复的内容不得涉及商业秘密。</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26.8 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27.中标通知</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中标结果公告期满后，招标人将通知中标人签订合同。</w:t>
      </w:r>
      <w:bookmarkStart w:id="37" w:name="_Toc513029236"/>
      <w:bookmarkEnd w:id="37"/>
      <w:bookmarkStart w:id="38" w:name="_Toc20823308"/>
      <w:bookmarkEnd w:id="38"/>
      <w:bookmarkStart w:id="39" w:name="_Toc120614220"/>
      <w:bookmarkEnd w:id="39"/>
      <w:bookmarkStart w:id="40" w:name="_Toc16938552"/>
      <w:bookmarkEnd w:id="40"/>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六、签订合同</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28.l中标人应按照招标文件规定的时间、地点及确定的相关事项与采购人签订合同，否则投标保证金将不予退还，由此给采购人造成损失的，中标人还应承担赔偿责任。</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28.2招标文件、中标人的投标文件及招标过程中有关澄清、承诺文件均应作为合同附件。</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28.3签订合同后，中标人不得转包。未经采购人同意，中标人也不得采用分包的形式履行合同，否则采购人有权终止合同，中标人的履约保证金将不予退还。转包或分包造成采购人损失的，中标人要承担相应赔偿责任。</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七</w:t>
      </w:r>
      <w:r>
        <w:rPr>
          <w:rFonts w:hint="eastAsia" w:ascii="宋体" w:hAnsi="宋体" w:eastAsia="宋体" w:cs="宋体"/>
          <w:b/>
          <w:bCs/>
          <w:kern w:val="0"/>
          <w:sz w:val="28"/>
          <w:szCs w:val="28"/>
        </w:rPr>
        <w:t>、</w:t>
      </w:r>
      <w:r>
        <w:rPr>
          <w:rFonts w:hint="eastAsia" w:ascii="宋体" w:hAnsi="宋体" w:eastAsia="宋体" w:cs="宋体"/>
          <w:b/>
          <w:bCs/>
          <w:kern w:val="0"/>
          <w:sz w:val="28"/>
          <w:szCs w:val="28"/>
          <w:lang w:eastAsia="zh-CN"/>
        </w:rPr>
        <w:t>其他</w:t>
      </w: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p>
    <w:bookmarkEnd w:id="0"/>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附：投标文件的组成及格式模板</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bookmarkStart w:id="41" w:name="_Hlk63092524"/>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投 标 文 件</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项目名称： </w:t>
      </w:r>
    </w:p>
    <w:p>
      <w:pPr>
        <w:keepNext w:val="0"/>
        <w:keepLines w:val="0"/>
        <w:pageBreakBefore w:val="0"/>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项目编号：</w:t>
      </w: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投标人：（公章）</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年  月  日</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60" w:lineRule="exact"/>
        <w:ind w:firstLine="560" w:firstLineChars="200"/>
        <w:jc w:val="center"/>
        <w:textAlignment w:val="auto"/>
        <w:rPr>
          <w:rFonts w:hint="eastAsia" w:ascii="宋体" w:hAnsi="宋体" w:eastAsia="宋体" w:cs="宋体"/>
          <w:b/>
          <w:bCs/>
          <w:kern w:val="0"/>
          <w:sz w:val="28"/>
          <w:szCs w:val="28"/>
        </w:rPr>
      </w:pPr>
      <w:r>
        <w:rPr>
          <w:rFonts w:hint="eastAsia" w:ascii="宋体" w:hAnsi="宋体" w:eastAsia="宋体" w:cs="宋体"/>
          <w:kern w:val="0"/>
          <w:sz w:val="28"/>
          <w:szCs w:val="28"/>
        </w:rPr>
        <w:br w:type="page"/>
      </w:r>
      <w:r>
        <w:rPr>
          <w:rFonts w:hint="eastAsia" w:ascii="宋体" w:hAnsi="宋体" w:eastAsia="宋体" w:cs="宋体"/>
          <w:b/>
          <w:bCs/>
          <w:kern w:val="0"/>
          <w:sz w:val="28"/>
          <w:szCs w:val="28"/>
        </w:rPr>
        <w:t>投标主要文件目录</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一、投标函</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二、法定代表人授权书</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四、开标一览表</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五、投标配置与分项明细报价表</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六、技术参数响应及偏离表</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七、资信证明文件技术支持性文件</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八、服务承诺</w:t>
      </w:r>
    </w:p>
    <w:p>
      <w:pPr>
        <w:keepNext w:val="0"/>
        <w:keepLines w:val="0"/>
        <w:pageBreakBefore w:val="0"/>
        <w:widowControl/>
        <w:kinsoku/>
        <w:wordWrap/>
        <w:overflowPunct/>
        <w:topLinePunct w:val="0"/>
        <w:bidi w:val="0"/>
        <w:snapToGrid/>
        <w:spacing w:line="460" w:lineRule="exact"/>
        <w:ind w:firstLine="560" w:firstLineChars="200"/>
        <w:jc w:val="center"/>
        <w:textAlignment w:val="auto"/>
        <w:rPr>
          <w:rFonts w:hint="eastAsia" w:ascii="宋体" w:hAnsi="宋体" w:eastAsia="宋体" w:cs="宋体"/>
          <w:b/>
          <w:bCs/>
          <w:kern w:val="0"/>
          <w:sz w:val="28"/>
          <w:szCs w:val="28"/>
        </w:rPr>
      </w:pPr>
      <w:r>
        <w:rPr>
          <w:rFonts w:hint="eastAsia" w:ascii="宋体" w:hAnsi="宋体" w:eastAsia="宋体" w:cs="宋体"/>
          <w:kern w:val="0"/>
          <w:sz w:val="28"/>
          <w:szCs w:val="28"/>
        </w:rPr>
        <w:br w:type="page"/>
      </w:r>
      <w:r>
        <w:rPr>
          <w:rFonts w:hint="eastAsia" w:ascii="宋体" w:hAnsi="宋体" w:eastAsia="宋体" w:cs="宋体"/>
          <w:b/>
          <w:bCs/>
          <w:kern w:val="0"/>
          <w:sz w:val="28"/>
          <w:szCs w:val="28"/>
        </w:rPr>
        <w:t>一、投标函</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致：广西壮族自治区桂东人民医院</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根据贵方的</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（项目）招标文件，正式授权_____________(姓名和职务)代表我方___________（投标人的名称），全权处理本次项目投标的有关事宜。兹宣布同意如下：</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1.按招标文件规定的各项要求，向贵方提供所需货物与服务。</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2.我们完全理解贵方不一定将合同授予最低报价的投标人。</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3.我们已详细阅读全部招标文件及其澄清、修改、补充文件，我们知道必须放弃提出含糊不清或误解问题的权利。</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4.我们同意从规定的开标日期起遵循本投标文件，并在规定的投标有效期期满之前均具有约束力。</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5.如果在开标后规定的投标有效期内撤回投标，或中标后拒绝签订合同，或在项目的实施全过程中由于我们的违法违规，我们同意投标保证金被贵方没收。</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6.同意向贵方提供可能另外要求的与投标有关的任何证据或资料，并保证我方已提供和将要提供的文件是真实的、准确的。</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7.一旦我方中标,我方将根据招标文件、投标文件的规定，严格履行合同的责任和义务,并保证在规定的时间完成项目，交付贵方验收、使用。</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8.与本投标有关的正式通讯地址为：</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地       址：</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邮       编：</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电       话：</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传       真：</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投标人开户行：</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账       户：</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投标人（单位公章）：</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投标人授权代表姓名（签字）：                     手机：</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日期：_______年____月____日</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keepNext w:val="0"/>
        <w:keepLines w:val="0"/>
        <w:pageBreakBefore w:val="0"/>
        <w:widowControl/>
        <w:kinsoku/>
        <w:wordWrap/>
        <w:overflowPunct/>
        <w:topLinePunct w:val="0"/>
        <w:bidi w:val="0"/>
        <w:snapToGrid/>
        <w:spacing w:line="460" w:lineRule="exact"/>
        <w:ind w:firstLine="560" w:firstLineChars="200"/>
        <w:jc w:val="center"/>
        <w:textAlignment w:val="auto"/>
        <w:rPr>
          <w:rFonts w:hint="eastAsia" w:ascii="宋体" w:hAnsi="宋体" w:eastAsia="宋体" w:cs="宋体"/>
          <w:kern w:val="0"/>
          <w:sz w:val="28"/>
          <w:szCs w:val="28"/>
        </w:rPr>
      </w:pPr>
    </w:p>
    <w:p>
      <w:pPr>
        <w:pStyle w:val="2"/>
        <w:rPr>
          <w:rFonts w:hint="eastAsia"/>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二、法定代表人授权书</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本授权书声明：__________公司的_______（法定代表人姓名）_______（职务）代表本公司授权_______（被授权人的姓名）_______(职务)为本公司的合法投标代表，全权处理_____（项目）的投标、合同签订以及合同的执行、完成和纠纷处理等与本项目有关的一切事务。</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本授权书于</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日签字生效，特此声明。</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法定代表人签字：</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    务：</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单位名称：</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投标代表（被授权人）签字</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    务：</w:t>
      </w:r>
      <w:r>
        <w:rPr>
          <w:rFonts w:hint="eastAsia" w:ascii="宋体" w:hAnsi="宋体" w:eastAsia="宋体" w:cs="宋体"/>
          <w:kern w:val="0"/>
          <w:sz w:val="28"/>
          <w:szCs w:val="28"/>
          <w:u w:val="single"/>
        </w:rPr>
        <w:t>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单位名称：</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投标人（单位公章）：</w:t>
      </w:r>
      <w:r>
        <w:rPr>
          <w:rFonts w:hint="eastAsia" w:ascii="宋体" w:hAnsi="宋体" w:eastAsia="宋体" w:cs="宋体"/>
          <w:kern w:val="0"/>
          <w:sz w:val="28"/>
          <w:szCs w:val="28"/>
          <w:u w:val="single"/>
        </w:rPr>
        <w:t>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日    期：</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bidi w:val="0"/>
        <w:snapToGrid/>
        <w:spacing w:line="460" w:lineRule="exact"/>
        <w:ind w:firstLine="560" w:firstLineChars="20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0" w:firstLineChars="20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2" w:firstLineChars="200"/>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keepNext w:val="0"/>
              <w:keepLines w:val="0"/>
              <w:pageBreakBefore w:val="0"/>
              <w:widowControl/>
              <w:kinsoku/>
              <w:wordWrap/>
              <w:overflowPunct/>
              <w:topLinePunct w:val="0"/>
              <w:bidi w:val="0"/>
              <w:snapToGrid/>
              <w:spacing w:line="460" w:lineRule="exact"/>
              <w:ind w:firstLine="560" w:firstLineChars="20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项目名称</w:t>
            </w:r>
          </w:p>
        </w:tc>
        <w:tc>
          <w:tcPr>
            <w:tcW w:w="7064" w:type="dxa"/>
            <w:vAlign w:val="center"/>
          </w:tcPr>
          <w:p>
            <w:pPr>
              <w:keepNext w:val="0"/>
              <w:keepLines w:val="0"/>
              <w:pageBreakBefore w:val="0"/>
              <w:widowControl/>
              <w:kinsoku/>
              <w:wordWrap/>
              <w:overflowPunct/>
              <w:topLinePunct w:val="0"/>
              <w:bidi w:val="0"/>
              <w:snapToGrid/>
              <w:spacing w:line="460" w:lineRule="exact"/>
              <w:ind w:firstLine="560" w:firstLineChars="200"/>
              <w:textAlignment w:val="auto"/>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kinsoku/>
              <w:wordWrap/>
              <w:overflowPunct/>
              <w:topLinePunct w:val="0"/>
              <w:bidi w:val="0"/>
              <w:snapToGrid/>
              <w:spacing w:line="46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投标报价：人民币（大写）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kinsoku/>
              <w:wordWrap/>
              <w:overflowPunct/>
              <w:topLinePunct w:val="0"/>
              <w:bidi w:val="0"/>
              <w:snapToGrid/>
              <w:spacing w:line="46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项目实施时间(供期或工期)：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kinsoku/>
              <w:wordWrap/>
              <w:overflowPunct/>
              <w:topLinePunct w:val="0"/>
              <w:bidi w:val="0"/>
              <w:snapToGrid/>
              <w:spacing w:line="46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相关服务：</w:t>
            </w:r>
          </w:p>
        </w:tc>
      </w:tr>
    </w:tbl>
    <w:p>
      <w:pPr>
        <w:keepNext w:val="0"/>
        <w:keepLines w:val="0"/>
        <w:pageBreakBefore w:val="0"/>
        <w:widowControl/>
        <w:kinsoku/>
        <w:wordWrap/>
        <w:overflowPunct/>
        <w:topLinePunct w:val="0"/>
        <w:bidi w:val="0"/>
        <w:snapToGrid/>
        <w:spacing w:line="460" w:lineRule="exact"/>
        <w:ind w:firstLine="560" w:firstLineChars="200"/>
        <w:jc w:val="center"/>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投标人</w:t>
      </w:r>
      <w:r>
        <w:rPr>
          <w:rFonts w:hint="eastAsia" w:ascii="宋体" w:hAnsi="宋体" w:eastAsia="宋体" w:cs="宋体"/>
          <w:kern w:val="0"/>
          <w:sz w:val="28"/>
          <w:szCs w:val="28"/>
        </w:rPr>
        <w:t>（</w:t>
      </w:r>
      <w:r>
        <w:rPr>
          <w:rFonts w:hint="eastAsia" w:ascii="宋体" w:hAnsi="宋体" w:eastAsia="宋体" w:cs="宋体"/>
          <w:b/>
          <w:bCs/>
          <w:kern w:val="0"/>
          <w:sz w:val="28"/>
          <w:szCs w:val="28"/>
        </w:rPr>
        <w:t>单位</w:t>
      </w:r>
      <w:r>
        <w:rPr>
          <w:rFonts w:hint="eastAsia" w:ascii="宋体" w:hAnsi="宋体" w:eastAsia="宋体" w:cs="宋体"/>
          <w:kern w:val="0"/>
          <w:sz w:val="28"/>
          <w:szCs w:val="28"/>
        </w:rPr>
        <w:t>公章）：</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法定代表人或授权代表</w:t>
      </w:r>
      <w:r>
        <w:rPr>
          <w:rFonts w:hint="eastAsia" w:ascii="宋体" w:hAnsi="宋体" w:eastAsia="宋体" w:cs="宋体"/>
          <w:kern w:val="0"/>
          <w:sz w:val="28"/>
          <w:szCs w:val="28"/>
        </w:rPr>
        <w:t>（签字或盖章）：</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日期：</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填写说明</w:t>
      </w:r>
      <w:r>
        <w:rPr>
          <w:rFonts w:hint="eastAsia" w:ascii="宋体" w:hAnsi="宋体" w:eastAsia="宋体" w:cs="宋体"/>
          <w:kern w:val="0"/>
          <w:sz w:val="28"/>
          <w:szCs w:val="28"/>
        </w:rPr>
        <w:t>：请准确清楚填写。</w:t>
      </w:r>
    </w:p>
    <w:p>
      <w:pPr>
        <w:keepNext w:val="0"/>
        <w:keepLines w:val="0"/>
        <w:pageBreakBefore w:val="0"/>
        <w:kinsoku/>
        <w:wordWrap/>
        <w:overflowPunct/>
        <w:topLinePunct w:val="0"/>
        <w:bidi w:val="0"/>
        <w:snapToGrid/>
        <w:spacing w:line="460" w:lineRule="exact"/>
        <w:ind w:left="3570" w:leftChars="1700" w:firstLine="560" w:firstLineChars="200"/>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lang w:eastAsia="zh-CN"/>
        </w:rPr>
      </w:pP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lang w:eastAsia="zh-CN"/>
        </w:rPr>
      </w:pPr>
    </w:p>
    <w:p>
      <w:pPr>
        <w:keepNext w:val="0"/>
        <w:keepLines w:val="0"/>
        <w:pageBreakBefore w:val="0"/>
        <w:widowControl/>
        <w:tabs>
          <w:tab w:val="left" w:pos="2204"/>
          <w:tab w:val="center" w:pos="4153"/>
        </w:tabs>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ab/>
      </w:r>
    </w:p>
    <w:p>
      <w:pPr>
        <w:keepNext w:val="0"/>
        <w:keepLines w:val="0"/>
        <w:pageBreakBefore w:val="0"/>
        <w:widowControl/>
        <w:tabs>
          <w:tab w:val="left" w:pos="2204"/>
          <w:tab w:val="center" w:pos="4153"/>
        </w:tabs>
        <w:kinsoku/>
        <w:wordWrap/>
        <w:overflowPunct/>
        <w:topLinePunct w:val="0"/>
        <w:bidi w:val="0"/>
        <w:snapToGrid/>
        <w:spacing w:line="460" w:lineRule="exact"/>
        <w:ind w:firstLine="562" w:firstLineChars="200"/>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五、投标配置及分项明细报价表</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广西壮族自治区桂东人民医院：</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本公司愿意遵照                 标书文件条款，并按采购项目需求作如下报价：</w:t>
      </w:r>
    </w:p>
    <w:p>
      <w:pPr>
        <w:keepNext w:val="0"/>
        <w:keepLines w:val="0"/>
        <w:pageBreakBefore w:val="0"/>
        <w:widowControl/>
        <w:kinsoku/>
        <w:wordWrap/>
        <w:overflowPunct/>
        <w:topLinePunct w:val="0"/>
        <w:bidi w:val="0"/>
        <w:snapToGrid/>
        <w:spacing w:line="46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rPr>
        <w:t>标的明细报价                                            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keepNext w:val="0"/>
              <w:keepLines w:val="0"/>
              <w:pageBreakBefore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b/>
                <w:bCs/>
                <w:kern w:val="0"/>
                <w:sz w:val="18"/>
                <w:szCs w:val="18"/>
              </w:rPr>
              <w:t>序号</w:t>
            </w:r>
          </w:p>
        </w:tc>
        <w:tc>
          <w:tcPr>
            <w:tcW w:w="773" w:type="dxa"/>
            <w:vAlign w:val="center"/>
          </w:tcPr>
          <w:p>
            <w:pPr>
              <w:keepNext w:val="0"/>
              <w:keepLines w:val="0"/>
              <w:pageBreakBefore w:val="0"/>
              <w:widowControl/>
              <w:kinsoku/>
              <w:wordWrap/>
              <w:overflowPunct/>
              <w:topLinePunct w:val="0"/>
              <w:bidi w:val="0"/>
              <w:snapToGrid/>
              <w:spacing w:line="460" w:lineRule="exact"/>
              <w:jc w:val="left"/>
              <w:textAlignment w:val="auto"/>
              <w:rPr>
                <w:rFonts w:hint="eastAsia" w:ascii="宋体" w:hAnsi="宋体" w:eastAsia="宋体" w:cs="宋体"/>
                <w:sz w:val="18"/>
                <w:szCs w:val="18"/>
              </w:rPr>
            </w:pPr>
            <w:r>
              <w:rPr>
                <w:rFonts w:hint="eastAsia" w:ascii="宋体" w:hAnsi="宋体" w:eastAsia="宋体" w:cs="宋体"/>
                <w:b/>
                <w:bCs/>
                <w:kern w:val="0"/>
                <w:sz w:val="18"/>
                <w:szCs w:val="18"/>
              </w:rPr>
              <w:t>货物名称</w:t>
            </w:r>
          </w:p>
        </w:tc>
        <w:tc>
          <w:tcPr>
            <w:tcW w:w="750" w:type="dxa"/>
            <w:vAlign w:val="center"/>
          </w:tcPr>
          <w:p>
            <w:pPr>
              <w:keepNext w:val="0"/>
              <w:keepLines w:val="0"/>
              <w:pageBreakBefore w:val="0"/>
              <w:widowControl/>
              <w:kinsoku/>
              <w:wordWrap/>
              <w:overflowPunct/>
              <w:topLinePunct w:val="0"/>
              <w:bidi w:val="0"/>
              <w:snapToGrid/>
              <w:spacing w:line="460" w:lineRule="exact"/>
              <w:jc w:val="left"/>
              <w:textAlignment w:val="auto"/>
              <w:rPr>
                <w:rFonts w:hint="eastAsia" w:ascii="宋体" w:hAnsi="宋体" w:eastAsia="宋体" w:cs="宋体"/>
                <w:sz w:val="18"/>
                <w:szCs w:val="18"/>
              </w:rPr>
            </w:pPr>
            <w:r>
              <w:rPr>
                <w:rFonts w:hint="eastAsia" w:ascii="宋体" w:hAnsi="宋体" w:eastAsia="宋体" w:cs="宋体"/>
                <w:b/>
                <w:bCs/>
                <w:kern w:val="0"/>
                <w:sz w:val="18"/>
                <w:szCs w:val="18"/>
              </w:rPr>
              <w:t>品牌</w:t>
            </w:r>
          </w:p>
        </w:tc>
        <w:tc>
          <w:tcPr>
            <w:tcW w:w="720" w:type="dxa"/>
            <w:vAlign w:val="center"/>
          </w:tcPr>
          <w:p>
            <w:pPr>
              <w:keepNext w:val="0"/>
              <w:keepLines w:val="0"/>
              <w:pageBreakBefore w:val="0"/>
              <w:widowControl/>
              <w:kinsoku/>
              <w:wordWrap/>
              <w:overflowPunct/>
              <w:topLinePunct w:val="0"/>
              <w:bidi w:val="0"/>
              <w:snapToGrid/>
              <w:spacing w:line="460" w:lineRule="exact"/>
              <w:jc w:val="left"/>
              <w:textAlignment w:val="auto"/>
              <w:rPr>
                <w:rFonts w:hint="eastAsia" w:ascii="宋体" w:hAnsi="宋体" w:eastAsia="宋体" w:cs="宋体"/>
                <w:sz w:val="18"/>
                <w:szCs w:val="18"/>
              </w:rPr>
            </w:pPr>
            <w:r>
              <w:rPr>
                <w:rFonts w:hint="eastAsia" w:ascii="宋体" w:hAnsi="宋体" w:eastAsia="宋体" w:cs="宋体"/>
                <w:b/>
                <w:bCs/>
                <w:kern w:val="0"/>
                <w:sz w:val="18"/>
                <w:szCs w:val="18"/>
              </w:rPr>
              <w:t>型号</w:t>
            </w:r>
          </w:p>
        </w:tc>
        <w:tc>
          <w:tcPr>
            <w:tcW w:w="697" w:type="dxa"/>
            <w:vAlign w:val="center"/>
          </w:tcPr>
          <w:p>
            <w:pPr>
              <w:keepNext w:val="0"/>
              <w:keepLines w:val="0"/>
              <w:pageBreakBefore w:val="0"/>
              <w:widowControl/>
              <w:kinsoku/>
              <w:wordWrap/>
              <w:overflowPunct/>
              <w:topLinePunct w:val="0"/>
              <w:bidi w:val="0"/>
              <w:snapToGrid/>
              <w:spacing w:line="460" w:lineRule="exact"/>
              <w:jc w:val="left"/>
              <w:textAlignment w:val="auto"/>
              <w:rPr>
                <w:rFonts w:hint="eastAsia" w:ascii="宋体" w:hAnsi="宋体" w:eastAsia="宋体" w:cs="宋体"/>
                <w:b/>
                <w:sz w:val="18"/>
                <w:szCs w:val="18"/>
              </w:rPr>
            </w:pPr>
            <w:r>
              <w:rPr>
                <w:rFonts w:hint="eastAsia" w:ascii="宋体" w:hAnsi="宋体" w:eastAsia="宋体" w:cs="宋体"/>
                <w:b/>
                <w:sz w:val="18"/>
                <w:szCs w:val="18"/>
              </w:rPr>
              <w:t>生产商</w:t>
            </w:r>
          </w:p>
        </w:tc>
        <w:tc>
          <w:tcPr>
            <w:tcW w:w="2552" w:type="dxa"/>
            <w:vAlign w:val="center"/>
          </w:tcPr>
          <w:p>
            <w:pPr>
              <w:keepNext w:val="0"/>
              <w:keepLines w:val="0"/>
              <w:pageBreakBefore w:val="0"/>
              <w:widowControl/>
              <w:kinsoku/>
              <w:wordWrap/>
              <w:overflowPunct/>
              <w:topLinePunct w:val="0"/>
              <w:bidi w:val="0"/>
              <w:snapToGrid/>
              <w:spacing w:line="460" w:lineRule="exact"/>
              <w:jc w:val="left"/>
              <w:textAlignment w:val="auto"/>
              <w:rPr>
                <w:rFonts w:hint="eastAsia" w:ascii="宋体" w:hAnsi="宋体" w:eastAsia="宋体" w:cs="宋体"/>
                <w:sz w:val="18"/>
                <w:szCs w:val="18"/>
              </w:rPr>
            </w:pPr>
            <w:r>
              <w:rPr>
                <w:rFonts w:hint="eastAsia" w:ascii="宋体" w:hAnsi="宋体" w:eastAsia="宋体" w:cs="宋体"/>
                <w:b/>
                <w:bCs/>
                <w:kern w:val="0"/>
                <w:sz w:val="18"/>
                <w:szCs w:val="18"/>
              </w:rPr>
              <w:t>配置参数等相关说明（可附页)</w:t>
            </w:r>
          </w:p>
        </w:tc>
        <w:tc>
          <w:tcPr>
            <w:tcW w:w="850" w:type="dxa"/>
            <w:vAlign w:val="center"/>
          </w:tcPr>
          <w:p>
            <w:pPr>
              <w:keepNext w:val="0"/>
              <w:keepLines w:val="0"/>
              <w:pageBreakBefore w:val="0"/>
              <w:widowControl/>
              <w:kinsoku/>
              <w:wordWrap/>
              <w:overflowPunct/>
              <w:topLinePunct w:val="0"/>
              <w:bidi w:val="0"/>
              <w:snapToGrid/>
              <w:spacing w:line="460" w:lineRule="exact"/>
              <w:jc w:val="left"/>
              <w:textAlignment w:val="auto"/>
              <w:rPr>
                <w:rFonts w:hint="eastAsia" w:ascii="宋体" w:hAnsi="宋体" w:eastAsia="宋体" w:cs="宋体"/>
                <w:sz w:val="18"/>
                <w:szCs w:val="18"/>
              </w:rPr>
            </w:pPr>
            <w:r>
              <w:rPr>
                <w:rFonts w:hint="eastAsia" w:ascii="宋体" w:hAnsi="宋体" w:eastAsia="宋体" w:cs="宋体"/>
                <w:b/>
                <w:bCs/>
                <w:kern w:val="0"/>
                <w:sz w:val="18"/>
                <w:szCs w:val="18"/>
              </w:rPr>
              <w:t>数量</w:t>
            </w:r>
          </w:p>
        </w:tc>
        <w:tc>
          <w:tcPr>
            <w:tcW w:w="851" w:type="dxa"/>
            <w:vAlign w:val="center"/>
          </w:tcPr>
          <w:p>
            <w:pPr>
              <w:keepNext w:val="0"/>
              <w:keepLines w:val="0"/>
              <w:pageBreakBefore w:val="0"/>
              <w:widowControl/>
              <w:kinsoku/>
              <w:wordWrap/>
              <w:overflowPunct/>
              <w:topLinePunct w:val="0"/>
              <w:bidi w:val="0"/>
              <w:snapToGrid/>
              <w:spacing w:line="460" w:lineRule="exact"/>
              <w:jc w:val="left"/>
              <w:textAlignment w:val="auto"/>
              <w:rPr>
                <w:rFonts w:hint="eastAsia" w:ascii="宋体" w:hAnsi="宋体" w:eastAsia="宋体" w:cs="宋体"/>
                <w:sz w:val="18"/>
                <w:szCs w:val="18"/>
              </w:rPr>
            </w:pPr>
            <w:r>
              <w:rPr>
                <w:rFonts w:hint="eastAsia" w:ascii="宋体" w:hAnsi="宋体" w:eastAsia="宋体" w:cs="宋体"/>
                <w:b/>
                <w:bCs/>
                <w:kern w:val="0"/>
                <w:sz w:val="18"/>
                <w:szCs w:val="18"/>
              </w:rPr>
              <w:t>投标单价</w:t>
            </w:r>
          </w:p>
        </w:tc>
        <w:tc>
          <w:tcPr>
            <w:tcW w:w="844" w:type="dxa"/>
            <w:vAlign w:val="center"/>
          </w:tcPr>
          <w:p>
            <w:pPr>
              <w:keepNext w:val="0"/>
              <w:keepLines w:val="0"/>
              <w:pageBreakBefore w:val="0"/>
              <w:widowControl/>
              <w:kinsoku/>
              <w:wordWrap/>
              <w:overflowPunct/>
              <w:topLinePunct w:val="0"/>
              <w:bidi w:val="0"/>
              <w:snapToGrid/>
              <w:spacing w:line="460" w:lineRule="exact"/>
              <w:jc w:val="left"/>
              <w:textAlignment w:val="auto"/>
              <w:rPr>
                <w:rFonts w:hint="eastAsia" w:ascii="宋体" w:hAnsi="宋体" w:eastAsia="宋体" w:cs="宋体"/>
                <w:sz w:val="18"/>
                <w:szCs w:val="18"/>
              </w:rPr>
            </w:pPr>
            <w:r>
              <w:rPr>
                <w:rFonts w:hint="eastAsia" w:ascii="宋体" w:hAnsi="宋体" w:eastAsia="宋体" w:cs="宋体"/>
                <w:b/>
                <w:bCs/>
                <w:kern w:val="0"/>
                <w:sz w:val="18"/>
                <w:szCs w:val="18"/>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773"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750"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720"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697"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2552"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850"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851"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844"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773"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750"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720"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697"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2552"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850"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851"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c>
          <w:tcPr>
            <w:tcW w:w="844" w:type="dxa"/>
          </w:tcPr>
          <w:p>
            <w:pPr>
              <w:keepNext w:val="0"/>
              <w:keepLines w:val="0"/>
              <w:pageBreakBefore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投标报价合计人民币大写：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项目实施时间(工期或供期)：签订合同后</w:t>
            </w:r>
            <w:r>
              <w:rPr>
                <w:rFonts w:hint="eastAsia" w:ascii="宋体" w:hAnsi="宋体" w:eastAsia="宋体" w:cs="宋体"/>
                <w:kern w:val="0"/>
                <w:sz w:val="28"/>
                <w:szCs w:val="28"/>
                <w:u w:val="single"/>
              </w:rPr>
              <w:t xml:space="preserve">     天</w:t>
            </w:r>
            <w:r>
              <w:rPr>
                <w:rFonts w:hint="eastAsia" w:ascii="宋体" w:hAnsi="宋体" w:eastAsia="宋体" w:cs="宋体"/>
                <w:kern w:val="0"/>
                <w:sz w:val="28"/>
                <w:szCs w:val="28"/>
              </w:rPr>
              <w:t>内供货、安装调试完毕。</w:t>
            </w:r>
          </w:p>
        </w:tc>
      </w:tr>
    </w:tbl>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注：1、明细报价表必须认真、据实填写，包括产品的品牌、型号、厂商、配置参数、数量、价格、质保、安装、调试、培训、必不可少的部件、标准备件、专用工具等费用，以及已支付或将支付的营业税和其它税费，尽可能详细。</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2、如果单价和总价不符时，以单价为准；</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color w:val="FF0000"/>
          <w:kern w:val="0"/>
          <w:sz w:val="28"/>
          <w:szCs w:val="28"/>
        </w:rPr>
        <w:t xml:space="preserve">     ………………… </w:t>
      </w:r>
      <w:r>
        <w:rPr>
          <w:rFonts w:hint="eastAsia" w:ascii="宋体" w:hAnsi="宋体" w:eastAsia="宋体" w:cs="宋体"/>
          <w:kern w:val="0"/>
          <w:sz w:val="28"/>
          <w:szCs w:val="28"/>
        </w:rPr>
        <w:t xml:space="preserve">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投标人（单位公章）：</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法定代表人或授权代表（签名）：</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0" w:firstLineChars="20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u w:val="single"/>
        </w:rPr>
        <w:t>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w:t>
      </w:r>
      <w:r>
        <w:rPr>
          <w:rFonts w:hint="eastAsia" w:ascii="宋体" w:hAnsi="宋体" w:eastAsia="宋体" w:cs="宋体"/>
          <w:kern w:val="0"/>
          <w:sz w:val="28"/>
          <w:szCs w:val="28"/>
        </w:rPr>
        <w:t>日</w:t>
      </w: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六、技术参数响应及偏离表</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投标人全称（加盖公章）：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招标要求</w:t>
            </w: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投标响应</w:t>
            </w: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超出</w:t>
            </w:r>
          </w:p>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符合或偏离</w:t>
            </w: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kinsoku/>
              <w:wordWrap/>
              <w:overflowPunct/>
              <w:topLinePunct w:val="0"/>
              <w:bidi w:val="0"/>
              <w:snapToGrid/>
              <w:spacing w:line="460" w:lineRule="exact"/>
              <w:ind w:firstLine="560" w:firstLineChars="200"/>
              <w:jc w:val="center"/>
              <w:textAlignment w:val="auto"/>
              <w:rPr>
                <w:rFonts w:hint="eastAsia" w:ascii="宋体" w:hAnsi="宋体" w:eastAsia="宋体" w:cs="宋体"/>
                <w:sz w:val="28"/>
                <w:szCs w:val="28"/>
              </w:rPr>
            </w:pPr>
          </w:p>
        </w:tc>
      </w:tr>
    </w:tbl>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法定代表人或授权代表签字：                   单位公章：</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注：1、按照基本技术要求详细填列。</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2、行数不够，可自行添加。</w:t>
      </w:r>
      <w:bookmarkStart w:id="42" w:name="_Hlt26955054"/>
      <w:bookmarkEnd w:id="42"/>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b/>
          <w:bCs/>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九、资信证明文件技术支持性文件</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1、营业执照（复印件、加盖公章）；</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3、投标（法人或授权）代表有效身份证件(复印件)；</w:t>
      </w:r>
    </w:p>
    <w:p>
      <w:pPr>
        <w:keepNext w:val="0"/>
        <w:keepLines w:val="0"/>
        <w:pageBreakBefore w:val="0"/>
        <w:widowControl/>
        <w:kinsoku/>
        <w:wordWrap/>
        <w:overflowPunct/>
        <w:topLinePunct w:val="0"/>
        <w:bidi w:val="0"/>
        <w:snapToGrid/>
        <w:spacing w:line="4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4、招标文件中规定要求提供的证明材料和投标人认为需要提供的其它材料（如无特殊说明，默认为复印件）。</w:t>
      </w:r>
    </w:p>
    <w:p>
      <w:pPr>
        <w:keepNext w:val="0"/>
        <w:keepLines w:val="0"/>
        <w:pageBreakBefore w:val="0"/>
        <w:widowControl/>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p>
    <w:p>
      <w:pPr>
        <w:keepNext w:val="0"/>
        <w:keepLines w:val="0"/>
        <w:pageBreakBefore w:val="0"/>
        <w:widowControl/>
        <w:numPr>
          <w:ilvl w:val="0"/>
          <w:numId w:val="1"/>
        </w:numPr>
        <w:kinsoku/>
        <w:wordWrap/>
        <w:overflowPunct/>
        <w:topLinePunct w:val="0"/>
        <w:bidi w:val="0"/>
        <w:snapToGrid/>
        <w:spacing w:line="460" w:lineRule="exact"/>
        <w:ind w:firstLine="562" w:firstLineChars="20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服务承诺</w:t>
      </w:r>
    </w:p>
    <w:p>
      <w:pPr>
        <w:pStyle w:val="2"/>
        <w:widowControl w:val="0"/>
        <w:numPr>
          <w:ilvl w:val="0"/>
          <w:numId w:val="0"/>
        </w:numPr>
        <w:autoSpaceDE w:val="0"/>
        <w:autoSpaceDN w:val="0"/>
        <w:adjustRightInd w:val="0"/>
        <w:rPr>
          <w:rFonts w:hint="eastAsia"/>
        </w:rPr>
      </w:pPr>
    </w:p>
    <w:p>
      <w:pPr>
        <w:pStyle w:val="2"/>
        <w:widowControl w:val="0"/>
        <w:numPr>
          <w:ilvl w:val="0"/>
          <w:numId w:val="0"/>
        </w:numPr>
        <w:autoSpaceDE w:val="0"/>
        <w:autoSpaceDN w:val="0"/>
        <w:adjustRightInd w:val="0"/>
        <w:rPr>
          <w:rFonts w:hint="eastAsia"/>
        </w:rPr>
      </w:pPr>
    </w:p>
    <w:p>
      <w:pPr>
        <w:pStyle w:val="2"/>
        <w:widowControl w:val="0"/>
        <w:numPr>
          <w:ilvl w:val="0"/>
          <w:numId w:val="0"/>
        </w:numPr>
        <w:autoSpaceDE w:val="0"/>
        <w:autoSpaceDN w:val="0"/>
        <w:adjustRightInd w:val="0"/>
        <w:rPr>
          <w:rFonts w:hint="eastAsia"/>
        </w:rPr>
      </w:pPr>
    </w:p>
    <w:p>
      <w:pPr>
        <w:pStyle w:val="2"/>
        <w:widowControl w:val="0"/>
        <w:numPr>
          <w:ilvl w:val="0"/>
          <w:numId w:val="0"/>
        </w:numPr>
        <w:autoSpaceDE w:val="0"/>
        <w:autoSpaceDN w:val="0"/>
        <w:adjustRightInd w:val="0"/>
        <w:rPr>
          <w:rFonts w:hint="eastAsia"/>
        </w:rPr>
      </w:pPr>
    </w:p>
    <w:p>
      <w:pPr>
        <w:pStyle w:val="2"/>
        <w:widowControl w:val="0"/>
        <w:numPr>
          <w:ilvl w:val="0"/>
          <w:numId w:val="0"/>
        </w:numPr>
        <w:autoSpaceDE w:val="0"/>
        <w:autoSpaceDN w:val="0"/>
        <w:adjustRightInd w:val="0"/>
        <w:rPr>
          <w:rFonts w:hint="eastAsia"/>
        </w:rPr>
      </w:pPr>
    </w:p>
    <w:p>
      <w:pPr>
        <w:pStyle w:val="2"/>
        <w:widowControl w:val="0"/>
        <w:numPr>
          <w:ilvl w:val="0"/>
          <w:numId w:val="0"/>
        </w:numPr>
        <w:autoSpaceDE w:val="0"/>
        <w:autoSpaceDN w:val="0"/>
        <w:adjustRightInd w:val="0"/>
        <w:rPr>
          <w:rFonts w:hint="eastAsia"/>
        </w:rPr>
      </w:pPr>
    </w:p>
    <w:p>
      <w:pPr>
        <w:pStyle w:val="2"/>
        <w:widowControl w:val="0"/>
        <w:numPr>
          <w:ilvl w:val="0"/>
          <w:numId w:val="0"/>
        </w:numPr>
        <w:autoSpaceDE w:val="0"/>
        <w:autoSpaceDN w:val="0"/>
        <w:adjustRightInd w:val="0"/>
        <w:jc w:val="center"/>
        <w:rPr>
          <w:rFonts w:hint="eastAsia"/>
          <w:b/>
          <w:bCs/>
          <w:highlight w:val="none"/>
        </w:rPr>
      </w:pPr>
      <w:r>
        <w:rPr>
          <w:rFonts w:hint="eastAsia" w:ascii="宋体" w:hAnsi="宋体" w:cs="宋体"/>
          <w:b/>
          <w:bCs/>
          <w:kern w:val="0"/>
          <w:sz w:val="28"/>
          <w:szCs w:val="28"/>
          <w:highlight w:val="none"/>
          <w:lang w:val="en-US" w:eastAsia="zh-CN"/>
        </w:rPr>
        <w:t>十一、符合国家标准的颗粒剂品种报价表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70"/>
        <w:gridCol w:w="1560"/>
        <w:gridCol w:w="1324"/>
        <w:gridCol w:w="956"/>
        <w:gridCol w:w="1275"/>
        <w:gridCol w:w="146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序号</w:t>
            </w:r>
          </w:p>
        </w:tc>
        <w:tc>
          <w:tcPr>
            <w:tcW w:w="1170" w:type="dxa"/>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药品名称</w:t>
            </w:r>
          </w:p>
        </w:tc>
        <w:tc>
          <w:tcPr>
            <w:tcW w:w="1560" w:type="dxa"/>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单位（折算成中药饮片）</w:t>
            </w:r>
          </w:p>
        </w:tc>
        <w:tc>
          <w:tcPr>
            <w:tcW w:w="1324" w:type="dxa"/>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供货价格（元）</w:t>
            </w:r>
          </w:p>
        </w:tc>
        <w:tc>
          <w:tcPr>
            <w:tcW w:w="956" w:type="dxa"/>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eastAsia="zh-CN"/>
              </w:rPr>
              <w:t>序号</w:t>
            </w:r>
          </w:p>
        </w:tc>
        <w:tc>
          <w:tcPr>
            <w:tcW w:w="1275" w:type="dxa"/>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eastAsia="zh-CN"/>
              </w:rPr>
              <w:t>药品名称</w:t>
            </w:r>
          </w:p>
        </w:tc>
        <w:tc>
          <w:tcPr>
            <w:tcW w:w="1465" w:type="dxa"/>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eastAsia="zh-CN"/>
              </w:rPr>
              <w:t>单位（折算成中药饮片）</w:t>
            </w:r>
          </w:p>
        </w:tc>
        <w:tc>
          <w:tcPr>
            <w:tcW w:w="1232" w:type="dxa"/>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eastAsia="zh-CN"/>
              </w:rPr>
              <w:t>供货价格（元）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1170"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560" w:type="dxa"/>
          </w:tcPr>
          <w:p>
            <w:pPr>
              <w:keepNext w:val="0"/>
              <w:keepLines w:val="0"/>
              <w:pageBreakBefore w:val="0"/>
              <w:widowControl/>
              <w:kinsoku/>
              <w:wordWrap/>
              <w:overflowPunct/>
              <w:topLinePunct w:val="0"/>
              <w:bidi w:val="0"/>
              <w:snapToGrid/>
              <w:spacing w:line="4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克</w:t>
            </w:r>
          </w:p>
        </w:tc>
        <w:tc>
          <w:tcPr>
            <w:tcW w:w="1324"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956"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275"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465"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232"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70"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560"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克</w:t>
            </w:r>
          </w:p>
        </w:tc>
        <w:tc>
          <w:tcPr>
            <w:tcW w:w="1324"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956"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275"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465"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232"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keepNext w:val="0"/>
              <w:keepLines w:val="0"/>
              <w:pageBreakBefore w:val="0"/>
              <w:widowControl/>
              <w:kinsoku/>
              <w:wordWrap/>
              <w:overflowPunct/>
              <w:topLinePunct w:val="0"/>
              <w:bidi w:val="0"/>
              <w:snapToGrid/>
              <w:spacing w:line="46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70"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560"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克</w:t>
            </w:r>
          </w:p>
        </w:tc>
        <w:tc>
          <w:tcPr>
            <w:tcW w:w="1324"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956"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275"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465"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232"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keepNext w:val="0"/>
              <w:keepLines w:val="0"/>
              <w:pageBreakBefore w:val="0"/>
              <w:widowControl/>
              <w:kinsoku/>
              <w:wordWrap/>
              <w:overflowPunct/>
              <w:topLinePunct w:val="0"/>
              <w:bidi w:val="0"/>
              <w:snapToGrid/>
              <w:spacing w:line="46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1170"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560"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克</w:t>
            </w:r>
          </w:p>
        </w:tc>
        <w:tc>
          <w:tcPr>
            <w:tcW w:w="1324"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956"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275"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465"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232"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keepNext w:val="0"/>
              <w:keepLines w:val="0"/>
              <w:pageBreakBefore w:val="0"/>
              <w:widowControl/>
              <w:kinsoku/>
              <w:wordWrap/>
              <w:overflowPunct/>
              <w:topLinePunct w:val="0"/>
              <w:bidi w:val="0"/>
              <w:snapToGrid/>
              <w:spacing w:line="460" w:lineRule="exact"/>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c>
          <w:tcPr>
            <w:tcW w:w="1170"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560"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克</w:t>
            </w:r>
          </w:p>
        </w:tc>
        <w:tc>
          <w:tcPr>
            <w:tcW w:w="1324"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956"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275"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465"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c>
          <w:tcPr>
            <w:tcW w:w="1232" w:type="dxa"/>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sz w:val="21"/>
                <w:szCs w:val="21"/>
                <w:vertAlign w:val="baseline"/>
              </w:rPr>
            </w:pPr>
          </w:p>
        </w:tc>
      </w:tr>
    </w:tbl>
    <w:p>
      <w:pPr>
        <w:keepNext w:val="0"/>
        <w:keepLines w:val="0"/>
        <w:pageBreakBefore w:val="0"/>
        <w:widowControl/>
        <w:kinsoku/>
        <w:wordWrap/>
        <w:overflowPunct/>
        <w:topLinePunct w:val="0"/>
        <w:bidi w:val="0"/>
        <w:snapToGrid/>
        <w:spacing w:line="460" w:lineRule="exact"/>
        <w:textAlignment w:val="auto"/>
        <w:rPr>
          <w:rFonts w:hint="eastAsia" w:ascii="宋体" w:hAnsi="宋体" w:eastAsia="宋体" w:cs="宋体"/>
          <w:sz w:val="28"/>
          <w:szCs w:val="28"/>
        </w:rPr>
      </w:pPr>
    </w:p>
    <w:bookmarkEnd w:id="41"/>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eastAsia="宋体" w:cs="宋体"/>
          <w:sz w:val="28"/>
          <w:szCs w:val="28"/>
        </w:rPr>
      </w:pPr>
    </w:p>
    <w:sectPr>
      <w:headerReference r:id="rId3" w:type="default"/>
      <w:footerReference r:id="rId4" w:type="default"/>
      <w:pgSz w:w="11906" w:h="16838"/>
      <w:pgMar w:top="1020" w:right="1134" w:bottom="102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98662"/>
    <w:multiLevelType w:val="singleLevel"/>
    <w:tmpl w:val="EE598662"/>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4DD73E2"/>
    <w:rsid w:val="07950E0A"/>
    <w:rsid w:val="11371515"/>
    <w:rsid w:val="11DA1AE0"/>
    <w:rsid w:val="138D72AE"/>
    <w:rsid w:val="1BD371FD"/>
    <w:rsid w:val="1C045EE6"/>
    <w:rsid w:val="1E3E1A15"/>
    <w:rsid w:val="21AE58F7"/>
    <w:rsid w:val="25185DB0"/>
    <w:rsid w:val="3306410A"/>
    <w:rsid w:val="34E65D70"/>
    <w:rsid w:val="3A6107DD"/>
    <w:rsid w:val="4BE5775B"/>
    <w:rsid w:val="5D344211"/>
    <w:rsid w:val="5EC84C0C"/>
    <w:rsid w:val="625E72F1"/>
    <w:rsid w:val="67E65A40"/>
    <w:rsid w:val="696D39A5"/>
    <w:rsid w:val="6BDD07A9"/>
    <w:rsid w:val="72AF51F4"/>
    <w:rsid w:val="7DD54658"/>
    <w:rsid w:val="7F2F7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6"/>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7080</Words>
  <Characters>7625</Characters>
  <Lines>62</Lines>
  <Paragraphs>17</Paragraphs>
  <TotalTime>12</TotalTime>
  <ScaleCrop>false</ScaleCrop>
  <LinksUpToDate>false</LinksUpToDate>
  <CharactersWithSpaces>8559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cp:lastPrinted>2022-08-25T02:05:00Z</cp:lastPrinted>
  <dcterms:modified xsi:type="dcterms:W3CDTF">2022-08-31T07:22:41Z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08563293BB9D4BBE8BC2D52C4AB1AB25</vt:lpwstr>
  </property>
</Properties>
</file>