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w:t>
      </w:r>
      <w:r>
        <w:rPr>
          <w:rFonts w:hint="eastAsia" w:cs="宋体"/>
          <w:b/>
          <w:bCs/>
          <w:lang w:val="en-US" w:eastAsia="zh-CN"/>
        </w:rPr>
        <w:t>工程量</w:t>
      </w:r>
      <w:r>
        <w:rPr>
          <w:rFonts w:hint="eastAsia" w:cs="宋体"/>
          <w:b/>
          <w:bCs/>
        </w:rPr>
        <w:t>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r>
        <w:rPr>
          <w:rFonts w:hint="default" w:eastAsia="宋体"/>
          <w:b/>
          <w:bCs/>
          <w:lang w:val="en-US" w:eastAsia="zh-CN"/>
        </w:rPr>
        <w:drawing>
          <wp:inline distT="0" distB="0" distL="114300" distR="114300">
            <wp:extent cx="5207635" cy="6986270"/>
            <wp:effectExtent l="0" t="0" r="12065" b="5080"/>
            <wp:docPr id="1" name="图片 1" descr="旧磁共振楼2-3楼工程量清单_A2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旧磁共振楼2-3楼工程量清单_A2F34"/>
                    <pic:cNvPicPr>
                      <a:picLocks noChangeAspect="1"/>
                    </pic:cNvPicPr>
                  </pic:nvPicPr>
                  <pic:blipFill>
                    <a:blip r:embed="rId4"/>
                    <a:stretch>
                      <a:fillRect/>
                    </a:stretch>
                  </pic:blipFill>
                  <pic:spPr>
                    <a:xfrm>
                      <a:off x="0" y="0"/>
                      <a:ext cx="5207635" cy="6986270"/>
                    </a:xfrm>
                    <a:prstGeom prst="rect">
                      <a:avLst/>
                    </a:prstGeom>
                  </pic:spPr>
                </pic:pic>
              </a:graphicData>
            </a:graphic>
          </wp:inline>
        </w:drawing>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ind w:left="-708" w:leftChars="-337"/>
        <w:rPr>
          <w:rFonts w:hint="default"/>
          <w:lang w:val="en-US" w:eastAsia="zh-CN"/>
        </w:rPr>
      </w:pPr>
      <w:r>
        <w:rPr>
          <w:rFonts w:hint="eastAsia"/>
          <w:lang w:val="en-US" w:eastAsia="zh-CN"/>
        </w:rPr>
        <w:t xml:space="preserve">     </w:t>
      </w:r>
      <w:r>
        <w:rPr>
          <w:rFonts w:hint="eastAsia"/>
          <w:b/>
          <w:bCs/>
          <w:color w:val="0000FF"/>
          <w:sz w:val="18"/>
          <w:szCs w:val="18"/>
          <w:lang w:val="en-US" w:eastAsia="zh-CN"/>
        </w:rPr>
        <w:t>（请以表格形式陈列......)</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pStyle w:val="2"/>
        <w:ind w:left="-708" w:leftChars="-337"/>
        <w:rPr>
          <w:rFonts w:hint="eastAsia" w:ascii="Times New Roman" w:hAnsi="Times New Roman" w:cs="宋体"/>
          <w:lang w:val="en-US" w:eastAsia="zh-CN"/>
        </w:rPr>
      </w:pPr>
      <w:r>
        <w:rPr>
          <w:rFonts w:hint="eastAsia" w:ascii="Times New Roman" w:hAnsi="Times New Roman" w:cs="宋体"/>
        </w:rPr>
        <w:t>以国家颁发的施工验收规范和质量检验标准为依据</w:t>
      </w:r>
      <w:r>
        <w:rPr>
          <w:rFonts w:hint="eastAsia" w:ascii="Times New Roman" w:hAnsi="Times New Roman" w:cs="宋体"/>
          <w:lang w:val="en-US" w:eastAsia="zh-CN"/>
        </w:rPr>
        <w:t>且：</w:t>
      </w:r>
    </w:p>
    <w:p>
      <w:pPr>
        <w:pStyle w:val="2"/>
        <w:ind w:left="-708" w:leftChars="-337"/>
        <w:rPr>
          <w:rFonts w:hint="eastAsia" w:ascii="Times New Roman" w:hAnsi="Times New Roman" w:cs="宋体"/>
          <w:lang w:val="en-US" w:eastAsia="zh-CN"/>
        </w:rPr>
      </w:pPr>
      <w:r>
        <w:rPr>
          <w:rFonts w:hint="eastAsia" w:ascii="Times New Roman" w:hAnsi="Times New Roman" w:cs="宋体"/>
          <w:lang w:val="en-US" w:eastAsia="zh-CN"/>
        </w:rPr>
        <w:t>1）竣工后检测有害物质必须满足GB 18582-2020《建筑用墙面涂料中有害物质限量》；</w:t>
      </w:r>
    </w:p>
    <w:p>
      <w:pPr>
        <w:pStyle w:val="2"/>
        <w:ind w:left="-708" w:leftChars="-337"/>
        <w:rPr>
          <w:rFonts w:hint="eastAsia" w:ascii="Times New Roman" w:hAnsi="Times New Roman" w:cs="宋体"/>
          <w:lang w:val="en-US" w:eastAsia="zh-CN"/>
        </w:rPr>
      </w:pPr>
      <w:r>
        <w:rPr>
          <w:rFonts w:hint="eastAsia" w:ascii="Times New Roman" w:hAnsi="Times New Roman" w:cs="宋体"/>
          <w:lang w:val="en-US" w:eastAsia="zh-CN"/>
        </w:rPr>
        <w:t>2）涂刷面颜色一致，无砂眼，无刷纹，不允许有透地、漏刷、掉粉、皮碱、起皮、咬色等质量缺陷；</w:t>
      </w:r>
    </w:p>
    <w:p>
      <w:pPr>
        <w:pStyle w:val="2"/>
        <w:ind w:left="-708" w:leftChars="-337"/>
        <w:rPr>
          <w:rFonts w:hint="default" w:ascii="Times New Roman" w:hAnsi="Times New Roman" w:cs="宋体"/>
          <w:lang w:val="en-US" w:eastAsia="zh-CN"/>
        </w:rPr>
      </w:pPr>
      <w:r>
        <w:rPr>
          <w:rFonts w:hint="eastAsia" w:ascii="Times New Roman" w:hAnsi="Times New Roman" w:cs="宋体"/>
          <w:lang w:val="en-US" w:eastAsia="zh-CN"/>
        </w:rPr>
        <w:t>3）保证地面、门窗、灯具、家具等洁净，无涂料痕迹；</w:t>
      </w:r>
    </w:p>
    <w:p>
      <w:pPr>
        <w:pStyle w:val="2"/>
        <w:ind w:left="-708" w:leftChars="-337"/>
        <w:rPr>
          <w:rFonts w:hint="eastAsia" w:ascii="Times New Roman" w:hAnsi="Times New Roman" w:cs="宋体"/>
          <w:lang w:val="en-US" w:eastAsia="zh-CN"/>
        </w:rPr>
      </w:pPr>
      <w:r>
        <w:rPr>
          <w:rFonts w:hint="eastAsia" w:ascii="Times New Roman" w:hAnsi="Times New Roman" w:cs="宋体"/>
          <w:lang w:val="en-US" w:eastAsia="zh-CN"/>
        </w:rPr>
        <w:t>4）不准有掉粉、起皮、漏刷、透底、咬底、流挂、疙瘩、刷痕等现象；</w:t>
      </w:r>
    </w:p>
    <w:p>
      <w:pPr>
        <w:pStyle w:val="2"/>
        <w:ind w:left="-708" w:leftChars="-337"/>
        <w:rPr>
          <w:rFonts w:hint="eastAsia" w:ascii="Times New Roman" w:hAnsi="Times New Roman" w:cs="宋体"/>
          <w:lang w:val="en-US" w:eastAsia="zh-CN"/>
        </w:rPr>
      </w:pPr>
      <w:r>
        <w:rPr>
          <w:rFonts w:hint="eastAsia" w:ascii="Times New Roman" w:hAnsi="Times New Roman" w:cs="宋体"/>
          <w:lang w:val="en-US" w:eastAsia="zh-CN"/>
        </w:rPr>
        <w:t>5）墙面侧视平整无波浪状，表面平整、反光均匀，没有空鼓、起泡、开裂现象；</w:t>
      </w:r>
    </w:p>
    <w:p>
      <w:pPr>
        <w:pStyle w:val="2"/>
        <w:ind w:left="-708" w:leftChars="-337"/>
        <w:rPr>
          <w:rFonts w:hint="default" w:ascii="Times New Roman" w:hAnsi="Times New Roman" w:cs="宋体"/>
          <w:lang w:val="en-US" w:eastAsia="zh-CN"/>
        </w:rPr>
      </w:pPr>
      <w:r>
        <w:rPr>
          <w:rFonts w:hint="eastAsia" w:ascii="Times New Roman" w:hAnsi="Times New Roman" w:cs="宋体"/>
          <w:lang w:val="en-US" w:eastAsia="zh-CN"/>
        </w:rPr>
        <w:t>6）施工或验收中发现以上内容未达标需无条件返工。</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eastAsia"/>
        </w:rPr>
      </w:pPr>
      <w:r>
        <w:rPr>
          <w:rFonts w:hint="eastAsia"/>
          <w:b/>
          <w:bCs/>
          <w:lang w:val="en-US" w:eastAsia="zh-CN"/>
        </w:rPr>
        <w:t>2</w:t>
      </w:r>
      <w:r>
        <w:rPr>
          <w:rFonts w:hint="eastAsia"/>
          <w:b/>
          <w:bCs/>
        </w:rPr>
        <w:t>、售后服务和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质保期：通过验收之日起</w:t>
      </w:r>
      <w:r>
        <w:rPr>
          <w:rFonts w:hint="eastAsia" w:ascii="Times New Roman" w:hAnsi="Times New Roman" w:eastAsia="宋体" w:cs="宋体"/>
          <w:b/>
          <w:bCs/>
          <w:color w:val="auto"/>
          <w:kern w:val="0"/>
          <w:sz w:val="24"/>
          <w:szCs w:val="24"/>
          <w:u w:val="single"/>
          <w:lang w:val="en-US" w:eastAsia="zh-CN" w:bidi="ar-SA"/>
        </w:rPr>
        <w:t>不少</w:t>
      </w:r>
      <w:r>
        <w:rPr>
          <w:rFonts w:hint="eastAsia" w:ascii="Times New Roman" w:hAnsi="Times New Roman" w:eastAsia="宋体" w:cs="宋体"/>
          <w:b/>
          <w:bCs/>
          <w:color w:val="auto"/>
          <w:kern w:val="0"/>
          <w:sz w:val="24"/>
          <w:szCs w:val="24"/>
          <w:u w:val="single"/>
          <w:lang w:val="en-US" w:eastAsia="zh-CN" w:bidi="ar-SA"/>
        </w:rPr>
        <w:t>于1年</w:t>
      </w:r>
      <w:r>
        <w:rPr>
          <w:rFonts w:hint="eastAsia"/>
        </w:rPr>
        <w:t>。</w:t>
      </w:r>
    </w:p>
    <w:p>
      <w:pPr>
        <w:pStyle w:val="2"/>
        <w:ind w:left="-708" w:leftChars="-337"/>
        <w:rPr>
          <w:rFonts w:hint="eastAsia" w:ascii="Times New Roman" w:hAnsi="Times New Roman" w:eastAsia="宋体" w:cs="宋体"/>
          <w:color w:val="auto"/>
          <w:kern w:val="0"/>
          <w:sz w:val="24"/>
          <w:szCs w:val="24"/>
          <w:lang w:val="en-US" w:eastAsia="zh-CN" w:bidi="ar-SA"/>
        </w:rPr>
      </w:pPr>
      <w:r>
        <w:rPr>
          <w:rFonts w:hint="eastAsia" w:cs="宋体"/>
          <w:kern w:val="0"/>
          <w:sz w:val="24"/>
          <w:szCs w:val="24"/>
          <w:lang w:val="en-US" w:eastAsia="zh-CN"/>
        </w:rPr>
        <w:t>2）施工</w:t>
      </w:r>
      <w:r>
        <w:rPr>
          <w:rFonts w:hint="eastAsia" w:cs="宋体"/>
          <w:kern w:val="0"/>
          <w:sz w:val="24"/>
          <w:szCs w:val="24"/>
        </w:rPr>
        <w:t>地点</w:t>
      </w:r>
      <w:r>
        <w:rPr>
          <w:rFonts w:hint="eastAsia" w:ascii="Times New Roman" w:hAnsi="Times New Roman" w:eastAsia="宋体" w:cs="宋体"/>
          <w:color w:val="auto"/>
          <w:kern w:val="0"/>
          <w:sz w:val="24"/>
          <w:szCs w:val="24"/>
          <w:lang w:val="en-US" w:eastAsia="zh-CN" w:bidi="ar-SA"/>
        </w:rPr>
        <w:t xml:space="preserve">为：广西壮族自治区桂东人民医院旧磁共振楼2-3楼     </w:t>
      </w:r>
    </w:p>
    <w:p>
      <w:pPr>
        <w:pStyle w:val="2"/>
        <w:ind w:left="-708" w:leftChars="-337"/>
        <w:rPr>
          <w:rFonts w:hint="eastAsia" w:ascii="Times New Roman" w:hAnsi="Times New Roman" w:eastAsia="宋体" w:cs="宋体"/>
          <w:color w:val="auto"/>
          <w:kern w:val="0"/>
          <w:sz w:val="24"/>
          <w:szCs w:val="24"/>
          <w:lang w:val="en-US" w:eastAsia="zh-CN" w:bidi="ar-SA"/>
        </w:rPr>
      </w:pPr>
      <w:r>
        <w:rPr>
          <w:rFonts w:hint="eastAsia" w:ascii="Times New Roman" w:hAnsi="Times New Roman" w:eastAsia="宋体" w:cs="宋体"/>
          <w:color w:val="auto"/>
          <w:kern w:val="0"/>
          <w:sz w:val="24"/>
          <w:szCs w:val="24"/>
          <w:lang w:val="en-US" w:eastAsia="zh-CN" w:bidi="ar-SA"/>
        </w:rPr>
        <w:t>3）付款条件（进度和方式）：</w:t>
      </w:r>
      <w:bookmarkStart w:id="0" w:name="_GoBack"/>
      <w:bookmarkEnd w:id="0"/>
    </w:p>
    <w:p>
      <w:pPr>
        <w:widowControl/>
        <w:spacing w:line="400" w:lineRule="exact"/>
        <w:ind w:left="-710" w:leftChars="-338" w:firstLine="480" w:firstLineChars="200"/>
        <w:jc w:val="left"/>
        <w:rPr>
          <w:rFonts w:cs="宋体"/>
          <w:kern w:val="0"/>
          <w:sz w:val="24"/>
          <w:szCs w:val="24"/>
        </w:rPr>
      </w:pPr>
      <w:r>
        <w:rPr>
          <w:rFonts w:hint="eastAsia" w:ascii="Times New Roman" w:hAnsi="Times New Roman" w:eastAsia="宋体" w:cs="宋体"/>
          <w:color w:val="auto"/>
          <w:kern w:val="0"/>
          <w:sz w:val="24"/>
          <w:szCs w:val="24"/>
          <w:lang w:val="en-US" w:eastAsia="zh-CN" w:bidi="ar-SA"/>
        </w:rPr>
        <w:t>经验收合格后，</w:t>
      </w:r>
      <w:r>
        <w:rPr>
          <w:rFonts w:hint="eastAsia" w:ascii="Times New Roman" w:hAnsi="Times New Roman" w:eastAsia="宋体" w:cs="宋体"/>
          <w:b/>
          <w:bCs/>
          <w:color w:val="auto"/>
          <w:kern w:val="0"/>
          <w:sz w:val="24"/>
          <w:szCs w:val="24"/>
          <w:u w:val="single"/>
          <w:lang w:val="en-US" w:eastAsia="zh-CN" w:bidi="ar-SA"/>
        </w:rPr>
        <w:t>三十个工作日付合同款的 95% ，其余5% 作为质保金</w:t>
      </w:r>
      <w:r>
        <w:rPr>
          <w:rFonts w:hint="eastAsia" w:ascii="Times New Roman" w:hAnsi="Times New Roman" w:eastAsia="宋体" w:cs="宋体"/>
          <w:color w:val="auto"/>
          <w:kern w:val="0"/>
          <w:sz w:val="24"/>
          <w:szCs w:val="24"/>
          <w:lang w:val="en-US" w:eastAsia="zh-CN" w:bidi="ar-SA"/>
        </w:rPr>
        <w:t>，壹年（根据项目特点定）内无质量问题后付清（无息）。如验收不合格以及发现伪劣产品等，招标</w:t>
      </w:r>
      <w:r>
        <w:rPr>
          <w:rFonts w:hint="eastAsia" w:cs="宋体"/>
          <w:kern w:val="0"/>
          <w:sz w:val="24"/>
          <w:szCs w:val="24"/>
        </w:rPr>
        <w:t>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ascii="Times New Roman" w:hAnsi="Times New Roman" w:eastAsia="宋体" w:cs="宋体"/>
            <w:b/>
            <w:bCs/>
            <w:color w:val="auto"/>
            <w:kern w:val="0"/>
            <w:sz w:val="24"/>
            <w:szCs w:val="24"/>
            <w:u w:val="single"/>
            <w:lang w:val="en-US" w:eastAsia="zh-CN" w:bidi="ar-SA"/>
          </w:rPr>
        </w:sdtEndPr>
        <w:sdtContent>
          <w:r>
            <w:rPr>
              <w:rFonts w:hint="eastAsia" w:ascii="Times New Roman" w:hAnsi="Times New Roman" w:eastAsia="宋体" w:cs="宋体"/>
              <w:b/>
              <w:bCs/>
              <w:color w:val="auto"/>
              <w:kern w:val="0"/>
              <w:sz w:val="24"/>
              <w:szCs w:val="24"/>
              <w:u w:val="single"/>
              <w:lang w:val="en-US" w:eastAsia="zh-CN" w:bidi="ar-SA"/>
            </w:rPr>
            <w:t>15个</w:t>
          </w:r>
        </w:sdtContent>
      </w:sdt>
      <w:r>
        <w:rPr>
          <w:rFonts w:hint="eastAsia" w:ascii="Times New Roman" w:hAnsi="Times New Roman" w:eastAsia="宋体" w:cs="宋体"/>
          <w:b/>
          <w:bCs/>
          <w:color w:val="auto"/>
          <w:kern w:val="0"/>
          <w:sz w:val="24"/>
          <w:szCs w:val="24"/>
          <w:u w:val="single"/>
          <w:lang w:val="en-US" w:eastAsia="zh-CN" w:bidi="ar-SA"/>
        </w:rPr>
        <w:t>历日内</w:t>
      </w:r>
      <w:r>
        <w:rPr>
          <w:rFonts w:hint="eastAsia" w:cs="宋体"/>
          <w:kern w:val="0"/>
          <w:sz w:val="24"/>
          <w:szCs w:val="24"/>
        </w:rPr>
        <w:t>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8B6EFD"/>
    <w:rsid w:val="0CC05EEA"/>
    <w:rsid w:val="10C97A40"/>
    <w:rsid w:val="122B15C9"/>
    <w:rsid w:val="161066C8"/>
    <w:rsid w:val="2218153E"/>
    <w:rsid w:val="25D6720D"/>
    <w:rsid w:val="26431704"/>
    <w:rsid w:val="2E44559E"/>
    <w:rsid w:val="3194337D"/>
    <w:rsid w:val="3737378F"/>
    <w:rsid w:val="3806606D"/>
    <w:rsid w:val="397701BE"/>
    <w:rsid w:val="3E09569A"/>
    <w:rsid w:val="3F8769CB"/>
    <w:rsid w:val="41366ED0"/>
    <w:rsid w:val="4BE8784A"/>
    <w:rsid w:val="62191318"/>
    <w:rsid w:val="6A513DD5"/>
    <w:rsid w:val="6DD0797D"/>
    <w:rsid w:val="71754026"/>
    <w:rsid w:val="74B5471E"/>
    <w:rsid w:val="77E41C8F"/>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1033</Words>
  <Characters>1090</Characters>
  <Lines>26</Lines>
  <Paragraphs>7</Paragraphs>
  <TotalTime>3</TotalTime>
  <ScaleCrop>false</ScaleCrop>
  <LinksUpToDate>false</LinksUpToDate>
  <CharactersWithSpaces>1120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2022-09-08T00:57:12Z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BC6B623858AD4EF6B8932C9852D63447</vt:lpwstr>
  </property>
</Properties>
</file>