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77" w:firstLineChars="199"/>
        <w:rPr>
          <w:rFonts w:hint="eastAsia"/>
          <w:color w:val="FF0000"/>
          <w:sz w:val="21"/>
          <w:szCs w:val="21"/>
          <w:lang w:val="en-US" w:eastAsia="zh-CN"/>
        </w:rPr>
      </w:pPr>
      <w:r>
        <w:rPr>
          <w:rFonts w:hint="eastAsia" w:hAnsi="宋体" w:cs="宋体"/>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eastAsia"/>
          <w:color w:val="FF0000"/>
          <w:sz w:val="21"/>
          <w:szCs w:val="21"/>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4"/>
          <w:szCs w:val="24"/>
        </w:rPr>
      </w:pPr>
      <w:r>
        <w:rPr>
          <w:rFonts w:hint="eastAsia" w:cs="宋体"/>
          <w:b/>
          <w:bCs/>
          <w:sz w:val="28"/>
          <w:szCs w:val="28"/>
        </w:rPr>
        <w:t>一、采</w:t>
      </w:r>
      <w:r>
        <w:rPr>
          <w:rFonts w:hint="eastAsia" w:cs="宋体"/>
          <w:b/>
          <w:bCs/>
          <w:sz w:val="24"/>
          <w:szCs w:val="24"/>
        </w:rPr>
        <w:t>购清单、技术规格参数、质量标准和要求</w:t>
      </w:r>
    </w:p>
    <w:p>
      <w:pPr>
        <w:pStyle w:val="2"/>
        <w:ind w:left="-226" w:leftChars="-337" w:hanging="482" w:hangingChars="200"/>
        <w:rPr>
          <w:rFonts w:hint="default" w:eastAsia="宋体"/>
          <w:b/>
          <w:bCs/>
          <w:sz w:val="24"/>
          <w:szCs w:val="24"/>
          <w:lang w:val="en-US" w:eastAsia="zh-CN"/>
        </w:rPr>
      </w:pPr>
      <w:r>
        <w:rPr>
          <w:rFonts w:hint="eastAsia" w:cs="宋体"/>
          <w:b/>
          <w:bCs/>
          <w:sz w:val="24"/>
          <w:szCs w:val="24"/>
        </w:rPr>
        <w:t>（一）</w:t>
      </w:r>
      <w:r>
        <w:rPr>
          <w:rFonts w:hint="eastAsia" w:cs="宋体"/>
          <w:sz w:val="24"/>
          <w:szCs w:val="24"/>
        </w:rPr>
        <w:t>采购</w:t>
      </w:r>
      <w:r>
        <w:rPr>
          <w:rFonts w:hint="eastAsia" w:cs="宋体"/>
          <w:sz w:val="24"/>
          <w:szCs w:val="24"/>
          <w:lang w:eastAsia="zh-CN"/>
        </w:rPr>
        <w:t>项目：</w:t>
      </w:r>
      <w:r>
        <w:rPr>
          <w:rFonts w:hint="eastAsia" w:ascii="宋体" w:hAnsi="宋体" w:cs="宋体"/>
          <w:sz w:val="24"/>
          <w:szCs w:val="24"/>
          <w:lang w:val="en-US" w:eastAsia="zh-CN"/>
        </w:rPr>
        <w:t>验光仪1台</w:t>
      </w:r>
      <w:r>
        <w:rPr>
          <w:rFonts w:hint="eastAsia"/>
          <w:sz w:val="24"/>
          <w:szCs w:val="24"/>
          <w:lang w:eastAsia="zh-CN"/>
        </w:rPr>
        <w:t>采购</w:t>
      </w:r>
    </w:p>
    <w:tbl>
      <w:tblPr>
        <w:tblStyle w:val="14"/>
        <w:tblW w:w="1001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76"/>
        <w:gridCol w:w="1050"/>
        <w:gridCol w:w="2025"/>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Pr>
          <w:p>
            <w:pPr>
              <w:pStyle w:val="2"/>
              <w:jc w:val="both"/>
              <w:rPr>
                <w:sz w:val="24"/>
                <w:szCs w:val="24"/>
              </w:rPr>
            </w:pPr>
            <w:r>
              <w:rPr>
                <w:rFonts w:hint="eastAsia"/>
                <w:sz w:val="24"/>
                <w:szCs w:val="24"/>
              </w:rPr>
              <w:t>序号</w:t>
            </w:r>
          </w:p>
        </w:tc>
        <w:tc>
          <w:tcPr>
            <w:tcW w:w="1276" w:type="dxa"/>
          </w:tcPr>
          <w:p>
            <w:pPr>
              <w:pStyle w:val="2"/>
              <w:ind w:firstLine="240" w:firstLineChars="100"/>
              <w:jc w:val="both"/>
              <w:rPr>
                <w:sz w:val="24"/>
                <w:szCs w:val="24"/>
              </w:rPr>
            </w:pPr>
            <w:r>
              <w:rPr>
                <w:rFonts w:hint="eastAsia"/>
                <w:sz w:val="24"/>
                <w:szCs w:val="24"/>
              </w:rPr>
              <w:t>名</w:t>
            </w:r>
            <w:r>
              <w:rPr>
                <w:rFonts w:hint="eastAsia"/>
                <w:sz w:val="24"/>
                <w:szCs w:val="24"/>
                <w:lang w:val="en-US" w:eastAsia="zh-CN"/>
              </w:rPr>
              <w:t xml:space="preserve"> </w:t>
            </w:r>
            <w:r>
              <w:rPr>
                <w:rFonts w:hint="eastAsia"/>
                <w:sz w:val="24"/>
                <w:szCs w:val="24"/>
              </w:rPr>
              <w:t>称</w:t>
            </w:r>
          </w:p>
        </w:tc>
        <w:tc>
          <w:tcPr>
            <w:tcW w:w="1050" w:type="dxa"/>
          </w:tcPr>
          <w:p>
            <w:pPr>
              <w:pStyle w:val="2"/>
              <w:jc w:val="both"/>
              <w:rPr>
                <w:sz w:val="24"/>
                <w:szCs w:val="24"/>
              </w:rPr>
            </w:pPr>
            <w:r>
              <w:rPr>
                <w:rFonts w:hint="eastAsia"/>
                <w:sz w:val="24"/>
                <w:szCs w:val="24"/>
              </w:rPr>
              <w:t>数量</w:t>
            </w:r>
          </w:p>
        </w:tc>
        <w:tc>
          <w:tcPr>
            <w:tcW w:w="2025" w:type="dxa"/>
          </w:tcPr>
          <w:p>
            <w:pPr>
              <w:pStyle w:val="2"/>
              <w:jc w:val="both"/>
              <w:rPr>
                <w:rFonts w:hint="eastAsia" w:eastAsia="宋体"/>
                <w:sz w:val="24"/>
                <w:szCs w:val="24"/>
                <w:lang w:val="en-US" w:eastAsia="zh-CN"/>
              </w:rPr>
            </w:pPr>
            <w:r>
              <w:rPr>
                <w:rFonts w:hint="eastAsia"/>
                <w:sz w:val="24"/>
                <w:szCs w:val="24"/>
                <w:lang w:val="en-US" w:eastAsia="zh-CN"/>
              </w:rPr>
              <w:t>预算单价（万元）</w:t>
            </w:r>
          </w:p>
        </w:tc>
        <w:tc>
          <w:tcPr>
            <w:tcW w:w="4749" w:type="dxa"/>
          </w:tcPr>
          <w:p>
            <w:pPr>
              <w:pStyle w:val="2"/>
              <w:jc w:val="both"/>
              <w:rPr>
                <w:sz w:val="24"/>
                <w:szCs w:val="24"/>
              </w:rPr>
            </w:pPr>
            <w:r>
              <w:rPr>
                <w:rFonts w:hint="eastAsia"/>
                <w:sz w:val="24"/>
                <w:szCs w:val="24"/>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2"/>
              <w:jc w:val="both"/>
              <w:rPr>
                <w:rFonts w:hint="eastAsia" w:ascii="宋体" w:hAnsi="宋体" w:eastAsia="宋体"/>
                <w:sz w:val="24"/>
                <w:szCs w:val="24"/>
                <w:lang w:val="en-US" w:eastAsia="zh-CN"/>
              </w:rPr>
            </w:pPr>
            <w:bookmarkStart w:id="0" w:name="_Hlk109771005"/>
            <w:r>
              <w:rPr>
                <w:rFonts w:hint="eastAsia" w:ascii="宋体" w:hAnsi="宋体"/>
                <w:sz w:val="24"/>
                <w:szCs w:val="24"/>
                <w:lang w:val="en-US" w:eastAsia="zh-CN"/>
              </w:rPr>
              <w:t>1</w:t>
            </w:r>
          </w:p>
        </w:tc>
        <w:tc>
          <w:tcPr>
            <w:tcW w:w="1276" w:type="dxa"/>
          </w:tcPr>
          <w:p>
            <w:pPr>
              <w:pStyle w:val="2"/>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验光仪</w:t>
            </w:r>
          </w:p>
        </w:tc>
        <w:tc>
          <w:tcPr>
            <w:tcW w:w="1050" w:type="dxa"/>
          </w:tcPr>
          <w:p>
            <w:pPr>
              <w:pStyle w:val="2"/>
              <w:jc w:val="both"/>
              <w:rPr>
                <w:rFonts w:ascii="宋体" w:hAnsi="宋体" w:cs="宋体"/>
                <w:sz w:val="24"/>
                <w:szCs w:val="24"/>
              </w:rPr>
            </w:pPr>
            <w:r>
              <w:rPr>
                <w:rFonts w:hint="eastAsia" w:ascii="宋体" w:hAnsi="宋体" w:cs="宋体"/>
                <w:sz w:val="24"/>
                <w:szCs w:val="24"/>
              </w:rPr>
              <w:t>1台</w:t>
            </w:r>
          </w:p>
        </w:tc>
        <w:tc>
          <w:tcPr>
            <w:tcW w:w="2025" w:type="dxa"/>
          </w:tcPr>
          <w:p>
            <w:pPr>
              <w:pStyle w:val="2"/>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9.5</w:t>
            </w:r>
          </w:p>
        </w:tc>
        <w:tc>
          <w:tcPr>
            <w:tcW w:w="4749" w:type="dxa"/>
          </w:tcPr>
          <w:p>
            <w:pPr>
              <w:widowControl/>
              <w:numPr>
                <w:ilvl w:val="0"/>
                <w:numId w:val="0"/>
              </w:numPr>
              <w:spacing w:line="360" w:lineRule="auto"/>
              <w:jc w:val="left"/>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技术参数、性能（配置）及其他要求</w:t>
            </w:r>
          </w:p>
        </w:tc>
      </w:tr>
      <w:bookmarkEnd w:id="0"/>
    </w:tbl>
    <w:p>
      <w:pPr>
        <w:pStyle w:val="2"/>
        <w:ind w:left="-226" w:leftChars="-337" w:hanging="482" w:hangingChars="200"/>
        <w:rPr>
          <w:b/>
          <w:bCs/>
          <w:sz w:val="24"/>
          <w:szCs w:val="24"/>
        </w:rPr>
      </w:pPr>
    </w:p>
    <w:p>
      <w:pPr>
        <w:pStyle w:val="2"/>
        <w:ind w:left="-226" w:leftChars="-337" w:hanging="482" w:hangingChars="200"/>
        <w:rPr>
          <w:b/>
          <w:bCs/>
          <w:sz w:val="24"/>
          <w:szCs w:val="24"/>
        </w:rPr>
      </w:pPr>
      <w:r>
        <w:rPr>
          <w:rFonts w:hint="eastAsia"/>
          <w:b/>
          <w:bCs/>
          <w:sz w:val="24"/>
          <w:szCs w:val="24"/>
        </w:rPr>
        <w:t>（二）</w:t>
      </w:r>
      <w:r>
        <w:rPr>
          <w:rFonts w:hint="eastAsia" w:cs="宋体"/>
          <w:b/>
          <w:bCs/>
          <w:sz w:val="24"/>
          <w:szCs w:val="24"/>
        </w:rPr>
        <w:t>技术参数、性能（配置）及其他要求</w:t>
      </w:r>
    </w:p>
    <w:p>
      <w:pPr>
        <w:spacing w:line="360" w:lineRule="exact"/>
        <w:rPr>
          <w:rFonts w:ascii="宋体" w:hAnsi="宋体" w:cs="宋体"/>
          <w:sz w:val="24"/>
          <w:szCs w:val="24"/>
        </w:rPr>
      </w:pPr>
      <w:r>
        <w:rPr>
          <w:rFonts w:hint="eastAsia" w:ascii="宋体" w:hAnsi="宋体" w:cs="宋体"/>
          <w:sz w:val="24"/>
          <w:szCs w:val="24"/>
        </w:rPr>
        <w:t>▲1.球镜：范围大于±25.00D (0.01 / 0.12 / 0.25 D增量)</w:t>
      </w:r>
    </w:p>
    <w:p>
      <w:pPr>
        <w:pStyle w:val="6"/>
        <w:spacing w:line="320" w:lineRule="exact"/>
        <w:rPr>
          <w:rFonts w:hAnsi="宋体" w:cs="宋体"/>
          <w:sz w:val="24"/>
          <w:szCs w:val="24"/>
        </w:rPr>
      </w:pP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rPr>
        <w:t>柱镜：范围大于±10.00 D (0.01 / 0.12 / 0.25 D增量)</w:t>
      </w:r>
    </w:p>
    <w:p>
      <w:pPr>
        <w:pStyle w:val="6"/>
        <w:spacing w:line="320" w:lineRule="exact"/>
        <w:rPr>
          <w:rFonts w:hAnsi="宋体" w:cs="宋体"/>
          <w:sz w:val="24"/>
          <w:szCs w:val="24"/>
        </w:rPr>
      </w:pPr>
      <w:r>
        <w:rPr>
          <w:rFonts w:hint="eastAsia" w:hAnsi="宋体" w:cs="宋体"/>
          <w:sz w:val="24"/>
          <w:szCs w:val="24"/>
        </w:rPr>
        <w:t>3</w:t>
      </w:r>
      <w:r>
        <w:rPr>
          <w:rFonts w:hint="eastAsia" w:hAnsi="宋体" w:cs="宋体"/>
          <w:sz w:val="24"/>
          <w:szCs w:val="24"/>
          <w:lang w:val="en-US" w:eastAsia="zh-CN"/>
        </w:rPr>
        <w:t>.</w:t>
      </w:r>
      <w:r>
        <w:rPr>
          <w:rFonts w:hint="eastAsia" w:hAnsi="宋体" w:cs="宋体"/>
          <w:sz w:val="24"/>
          <w:szCs w:val="24"/>
        </w:rPr>
        <w:t>轴位：0至 180° (1° / 5°增量）</w:t>
      </w:r>
    </w:p>
    <w:p>
      <w:pPr>
        <w:spacing w:line="360" w:lineRule="exact"/>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最小可测量瞳孔直径：Ø2mm</w:t>
      </w:r>
    </w:p>
    <w:p>
      <w:pPr>
        <w:spacing w:line="360" w:lineRule="exac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.瞳孔距离测量（PD）：远用30至85mm (1mm增量)</w:t>
      </w:r>
    </w:p>
    <w:p>
      <w:pPr>
        <w:spacing w:line="360" w:lineRule="exact"/>
        <w:ind w:firstLine="2640" w:firstLineChars="1100"/>
        <w:rPr>
          <w:rFonts w:ascii="宋体" w:hAnsi="宋体" w:cs="宋体"/>
          <w:sz w:val="24"/>
          <w:szCs w:val="24"/>
        </w:rPr>
      </w:pPr>
      <w:r>
        <w:rPr>
          <w:rFonts w:hint="eastAsia" w:ascii="宋体" w:hAnsi="宋体" w:cs="宋体"/>
          <w:sz w:val="24"/>
          <w:szCs w:val="24"/>
        </w:rPr>
        <w:t>近用28至80mm（1mm增量）近用距离40 mm</w:t>
      </w:r>
    </w:p>
    <w:p>
      <w:pPr>
        <w:spacing w:line="360" w:lineRule="exac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.瞳孔大小测量（PS）：1.0至10.0 mm (0.1 mm增量）</w:t>
      </w:r>
    </w:p>
    <w:p>
      <w:pPr>
        <w:spacing w:line="360" w:lineRule="exac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.角膜大小测量（CS）: 10.0至14.0mm（0.1mm增量）</w:t>
      </w:r>
    </w:p>
    <w:p>
      <w:pPr>
        <w:spacing w:line="360" w:lineRule="exac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.双环大瞳孔区域成像，可测6mm瞳孔区域屈光（同时测量明暗瞳孔屈光）</w:t>
      </w:r>
    </w:p>
    <w:p>
      <w:pPr>
        <w:spacing w:line="36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.视力比较（模拟戴镜效果）</w:t>
      </w:r>
    </w:p>
    <w:p>
      <w:pPr>
        <w:spacing w:line="360" w:lineRule="exact"/>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eastAsia="zh-CN"/>
        </w:rPr>
        <w:t>具有</w:t>
      </w:r>
      <w:r>
        <w:rPr>
          <w:rFonts w:hint="eastAsia" w:ascii="宋体" w:hAnsi="宋体" w:cs="宋体"/>
          <w:sz w:val="24"/>
          <w:szCs w:val="24"/>
        </w:rPr>
        <w:t>散光预矫正功能</w:t>
      </w:r>
      <w:r>
        <w:rPr>
          <w:rFonts w:hint="eastAsia" w:ascii="宋体" w:hAnsi="宋体" w:cs="宋体"/>
          <w:sz w:val="24"/>
          <w:szCs w:val="24"/>
          <w:lang w:eastAsia="zh-CN"/>
        </w:rPr>
        <w:t>功能</w:t>
      </w:r>
    </w:p>
    <w:p>
      <w:pPr>
        <w:spacing w:line="360" w:lineRule="exact"/>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.CAT（白内障）模式：屈光间质混浊测量模式</w:t>
      </w:r>
    </w:p>
    <w:p>
      <w:pPr>
        <w:spacing w:line="360" w:lineRule="exact"/>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eastAsia="zh-CN"/>
        </w:rPr>
        <w:t>具有</w:t>
      </w:r>
      <w:r>
        <w:rPr>
          <w:rFonts w:hint="eastAsia" w:ascii="宋体" w:hAnsi="宋体" w:cs="宋体"/>
          <w:sz w:val="24"/>
          <w:szCs w:val="24"/>
        </w:rPr>
        <w:t>隐形眼镜度数测量</w:t>
      </w:r>
      <w:r>
        <w:rPr>
          <w:rFonts w:hint="eastAsia" w:ascii="宋体" w:hAnsi="宋体" w:cs="宋体"/>
          <w:sz w:val="24"/>
          <w:szCs w:val="24"/>
          <w:lang w:eastAsia="zh-CN"/>
        </w:rPr>
        <w:t>功能</w:t>
      </w:r>
    </w:p>
    <w:p>
      <w:pPr>
        <w:spacing w:line="360" w:lineRule="exac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.测量方式：自动/手动，必须带手动操作杆</w:t>
      </w:r>
    </w:p>
    <w:p>
      <w:pPr>
        <w:spacing w:line="360" w:lineRule="exac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.显示：</w:t>
      </w:r>
      <w:r>
        <w:rPr>
          <w:rFonts w:hint="default" w:ascii="Arial" w:hAnsi="Arial" w:cs="Arial"/>
          <w:sz w:val="24"/>
          <w:szCs w:val="24"/>
        </w:rPr>
        <w:t>≥</w:t>
      </w:r>
      <w:r>
        <w:rPr>
          <w:rFonts w:hint="eastAsia" w:ascii="宋体" w:hAnsi="宋体" w:cs="宋体"/>
          <w:sz w:val="24"/>
          <w:szCs w:val="24"/>
        </w:rPr>
        <w:t>6.5英寸可倾斜式彩色LCD液晶屏</w:t>
      </w:r>
    </w:p>
    <w:p>
      <w:pPr>
        <w:spacing w:line="360" w:lineRule="exac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.打印机：</w:t>
      </w:r>
      <w:r>
        <w:rPr>
          <w:rFonts w:hint="eastAsia" w:ascii="宋体" w:hAnsi="宋体" w:cs="宋体"/>
          <w:sz w:val="24"/>
          <w:szCs w:val="24"/>
          <w:lang w:eastAsia="zh-CN"/>
        </w:rPr>
        <w:t>配备有</w:t>
      </w:r>
      <w:r>
        <w:rPr>
          <w:rFonts w:hint="eastAsia" w:ascii="宋体" w:hAnsi="宋体" w:cs="宋体"/>
          <w:sz w:val="24"/>
          <w:szCs w:val="24"/>
        </w:rPr>
        <w:t>快装型带自动切纸功能的行式热敏打印机</w:t>
      </w:r>
    </w:p>
    <w:p>
      <w:pPr>
        <w:pStyle w:val="3"/>
        <w:ind w:firstLine="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.接口：RS-232C,USB,LAN</w:t>
      </w:r>
    </w:p>
    <w:p>
      <w:pPr>
        <w:pStyle w:val="10"/>
        <w:widowControl/>
        <w:shd w:val="clear" w:color="auto" w:fill="FFFFFF"/>
        <w:spacing w:beforeAutospacing="0" w:after="135" w:afterAutospacing="0" w:line="420" w:lineRule="exact"/>
        <w:jc w:val="both"/>
        <w:rPr>
          <w:rFonts w:hint="default" w:ascii="宋体" w:hAnsi="宋体" w:eastAsia="宋体" w:cs="宋体"/>
          <w:color w:val="555555"/>
          <w:sz w:val="24"/>
          <w:szCs w:val="24"/>
          <w:shd w:val="clear" w:color="auto" w:fill="FFFFFF"/>
          <w:lang w:val="en-US" w:eastAsia="zh-CN"/>
        </w:rPr>
      </w:pPr>
      <w:r>
        <w:rPr>
          <w:rFonts w:hint="eastAsia" w:ascii="宋体" w:hAnsi="宋体" w:cs="宋体"/>
          <w:color w:val="555555"/>
          <w:sz w:val="24"/>
          <w:szCs w:val="24"/>
          <w:shd w:val="clear" w:color="auto" w:fill="FFFFFF"/>
          <w:lang w:val="en-US" w:eastAsia="zh-CN"/>
        </w:rPr>
        <w:t>17.配备适配器：可连接验光仪数据的转换器。</w:t>
      </w:r>
    </w:p>
    <w:p>
      <w:pPr>
        <w:pStyle w:val="2"/>
        <w:ind w:left="-226" w:leftChars="-337" w:hanging="482" w:hangingChars="200"/>
        <w:rPr>
          <w:rFonts w:cs="宋体"/>
          <w:b/>
          <w:bCs/>
          <w:sz w:val="24"/>
          <w:szCs w:val="24"/>
        </w:rPr>
      </w:pPr>
      <w:r>
        <w:rPr>
          <w:rFonts w:hint="eastAsia" w:cs="宋体"/>
          <w:b/>
          <w:bCs/>
          <w:sz w:val="24"/>
          <w:szCs w:val="24"/>
        </w:rPr>
        <w:t>（三）项目产品基本要求</w:t>
      </w:r>
    </w:p>
    <w:p>
      <w:pPr>
        <w:pStyle w:val="2"/>
        <w:ind w:left="-708" w:leftChars="-337" w:firstLine="480" w:firstLineChars="200"/>
        <w:rPr>
          <w:color w:val="auto"/>
          <w:sz w:val="24"/>
          <w:szCs w:val="24"/>
        </w:rPr>
      </w:pPr>
      <w:r>
        <w:rPr>
          <w:rFonts w:hint="eastAsia"/>
          <w:color w:val="auto"/>
          <w:sz w:val="24"/>
          <w:szCs w:val="24"/>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sz w:val="24"/>
          <w:szCs w:val="24"/>
        </w:rPr>
      </w:pPr>
      <w:r>
        <w:rPr>
          <w:rFonts w:hint="eastAsia"/>
          <w:color w:val="auto"/>
          <w:sz w:val="24"/>
          <w:szCs w:val="24"/>
        </w:rPr>
        <w:t>2.投标人所投产品参数应同等或优于以上各项参数要求，产品、辅材及生产工艺符合国家相关规范。</w:t>
      </w:r>
    </w:p>
    <w:p>
      <w:pPr>
        <w:pStyle w:val="2"/>
        <w:ind w:left="-708" w:leftChars="-337" w:firstLine="480" w:firstLineChars="200"/>
        <w:rPr>
          <w:color w:val="auto"/>
          <w:sz w:val="24"/>
          <w:szCs w:val="24"/>
        </w:rPr>
      </w:pPr>
      <w:r>
        <w:rPr>
          <w:rFonts w:hint="eastAsia"/>
          <w:color w:val="auto"/>
          <w:sz w:val="24"/>
          <w:szCs w:val="24"/>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sz w:val="24"/>
          <w:szCs w:val="24"/>
        </w:rPr>
      </w:pPr>
      <w:r>
        <w:rPr>
          <w:rFonts w:hint="eastAsia"/>
          <w:color w:val="auto"/>
          <w:sz w:val="24"/>
          <w:szCs w:val="24"/>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rFonts w:hint="eastAsia"/>
          <w:color w:val="auto"/>
          <w:sz w:val="24"/>
          <w:szCs w:val="24"/>
        </w:rPr>
      </w:pPr>
      <w:r>
        <w:rPr>
          <w:rFonts w:hint="eastAsia"/>
          <w:color w:val="auto"/>
          <w:sz w:val="24"/>
          <w:szCs w:val="24"/>
        </w:rPr>
        <w:t>5.投标人所投产品必须提供产品“三包”服务；定期安排相关人员回访进行质量跟踪；保证提供临床应用和售后技术服务支持方式；</w:t>
      </w:r>
      <w:r>
        <w:rPr>
          <w:rFonts w:hint="eastAsia"/>
          <w:color w:val="auto"/>
          <w:sz w:val="24"/>
          <w:szCs w:val="24"/>
          <w:highlight w:val="yellow"/>
        </w:rPr>
        <w:t>保修期后提供终身维修服务及配件供应</w:t>
      </w:r>
      <w:r>
        <w:rPr>
          <w:rFonts w:hint="eastAsia"/>
          <w:color w:val="auto"/>
          <w:sz w:val="24"/>
          <w:szCs w:val="24"/>
        </w:rPr>
        <w:t>；其他售后服务按厂家承诺实行</w:t>
      </w:r>
    </w:p>
    <w:p>
      <w:pPr>
        <w:pStyle w:val="2"/>
        <w:ind w:left="-708" w:leftChars="-337" w:firstLine="480" w:firstLineChars="200"/>
        <w:rPr>
          <w:rFonts w:hint="default"/>
          <w:color w:val="auto"/>
          <w:sz w:val="24"/>
          <w:szCs w:val="24"/>
          <w:lang w:val="en-US" w:eastAsia="zh-CN"/>
        </w:rPr>
      </w:pPr>
    </w:p>
    <w:p>
      <w:pPr>
        <w:pStyle w:val="2"/>
        <w:ind w:left="-708" w:leftChars="-337"/>
        <w:rPr>
          <w:rFonts w:cs="宋体"/>
          <w:b/>
          <w:bCs/>
          <w:sz w:val="24"/>
          <w:szCs w:val="24"/>
        </w:rPr>
      </w:pPr>
      <w:r>
        <w:rPr>
          <w:rFonts w:hint="eastAsia" w:cs="宋体"/>
          <w:b/>
          <w:bCs/>
          <w:sz w:val="24"/>
          <w:szCs w:val="24"/>
        </w:rPr>
        <w:t>（四）商务要求</w:t>
      </w:r>
    </w:p>
    <w:p>
      <w:pPr>
        <w:pStyle w:val="2"/>
        <w:ind w:left="-708" w:leftChars="-337" w:firstLine="482" w:firstLineChars="200"/>
        <w:rPr>
          <w:rFonts w:cs="宋体"/>
          <w:sz w:val="24"/>
          <w:szCs w:val="24"/>
        </w:rPr>
      </w:pPr>
      <w:r>
        <w:rPr>
          <w:rFonts w:hint="eastAsia" w:cs="宋体"/>
          <w:b/>
          <w:bCs/>
          <w:sz w:val="24"/>
          <w:szCs w:val="24"/>
        </w:rPr>
        <w:t>1.投标人资格要求</w:t>
      </w:r>
    </w:p>
    <w:p>
      <w:pPr>
        <w:pStyle w:val="2"/>
        <w:ind w:left="-708" w:leftChars="-337" w:firstLine="480" w:firstLineChars="200"/>
        <w:rPr>
          <w:rFonts w:cs="宋体"/>
          <w:sz w:val="24"/>
          <w:szCs w:val="24"/>
        </w:rPr>
      </w:pPr>
      <w:r>
        <w:rPr>
          <w:rFonts w:hint="eastAsia" w:cs="宋体"/>
          <w:sz w:val="24"/>
          <w:szCs w:val="24"/>
        </w:rPr>
        <w:t>1）投标人为独立法人，并具备统一社会信用代码。</w:t>
      </w:r>
    </w:p>
    <w:p>
      <w:pPr>
        <w:pStyle w:val="2"/>
        <w:ind w:left="-708" w:leftChars="-337" w:firstLine="480" w:firstLineChars="200"/>
        <w:rPr>
          <w:rFonts w:cs="宋体"/>
          <w:sz w:val="24"/>
          <w:szCs w:val="24"/>
        </w:rPr>
      </w:pPr>
      <w:r>
        <w:rPr>
          <w:rFonts w:hint="eastAsia" w:cs="宋体"/>
          <w:sz w:val="24"/>
          <w:szCs w:val="24"/>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sz w:val="24"/>
          <w:szCs w:val="24"/>
        </w:rPr>
      </w:pPr>
      <w:r>
        <w:rPr>
          <w:rFonts w:hint="eastAsia" w:cs="宋体"/>
          <w:sz w:val="24"/>
          <w:szCs w:val="24"/>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sz w:val="24"/>
          <w:szCs w:val="24"/>
        </w:rPr>
      </w:pPr>
      <w:r>
        <w:rPr>
          <w:rFonts w:hint="eastAsia" w:cs="宋体"/>
          <w:sz w:val="24"/>
          <w:szCs w:val="24"/>
        </w:rPr>
        <w:t>4）</w:t>
      </w:r>
      <w:r>
        <w:rPr>
          <w:rFonts w:hint="eastAsia" w:cs="宋体"/>
          <w:color w:val="auto"/>
          <w:sz w:val="24"/>
          <w:szCs w:val="24"/>
        </w:rPr>
        <w:t>本项目不接收联合体投标。</w:t>
      </w:r>
    </w:p>
    <w:p>
      <w:pPr>
        <w:pStyle w:val="2"/>
        <w:ind w:left="-708" w:leftChars="-337" w:firstLine="480" w:firstLineChars="200"/>
        <w:rPr>
          <w:rFonts w:hint="eastAsia"/>
          <w:sz w:val="24"/>
          <w:szCs w:val="24"/>
          <w:lang w:val="en-US" w:eastAsia="zh-CN"/>
        </w:rPr>
      </w:pPr>
      <w:r>
        <w:rPr>
          <w:rFonts w:cs="宋体"/>
          <w:sz w:val="24"/>
          <w:szCs w:val="24"/>
        </w:rPr>
        <w:t>5</w:t>
      </w:r>
      <w:r>
        <w:rPr>
          <w:rFonts w:hint="eastAsia" w:cs="宋体"/>
          <w:sz w:val="24"/>
          <w:szCs w:val="24"/>
        </w:rPr>
        <w:t>）</w:t>
      </w:r>
      <w:r>
        <w:rPr>
          <w:rFonts w:hint="eastAsia"/>
          <w:sz w:val="24"/>
          <w:szCs w:val="24"/>
        </w:rPr>
        <w:t>为保证服务和产品质量, 必须提供产品制造商的授权书原件</w:t>
      </w:r>
      <w:r>
        <w:rPr>
          <w:rFonts w:hint="eastAsia"/>
          <w:sz w:val="24"/>
          <w:szCs w:val="24"/>
          <w:lang w:eastAsia="zh-CN"/>
        </w:rPr>
        <w:t>（或复印件）</w:t>
      </w:r>
      <w:r>
        <w:rPr>
          <w:rFonts w:hint="eastAsia"/>
          <w:sz w:val="24"/>
          <w:szCs w:val="24"/>
        </w:rPr>
        <w:t>及售后服务原件</w:t>
      </w:r>
      <w:r>
        <w:rPr>
          <w:rFonts w:hint="eastAsia"/>
          <w:sz w:val="24"/>
          <w:szCs w:val="24"/>
          <w:lang w:eastAsia="zh-CN"/>
        </w:rPr>
        <w:t>（或复印件）</w:t>
      </w:r>
      <w:r>
        <w:rPr>
          <w:rFonts w:hint="eastAsia"/>
          <w:sz w:val="24"/>
          <w:szCs w:val="24"/>
        </w:rPr>
        <w:t>，否则投标无效。</w:t>
      </w:r>
      <w:r>
        <w:rPr>
          <w:rFonts w:hint="eastAsia"/>
          <w:sz w:val="24"/>
          <w:szCs w:val="24"/>
          <w:lang w:val="en-US" w:eastAsia="zh-CN"/>
        </w:rPr>
        <w:t xml:space="preserve"> </w:t>
      </w:r>
    </w:p>
    <w:p>
      <w:pPr>
        <w:pStyle w:val="2"/>
        <w:ind w:left="-708" w:leftChars="-337" w:firstLine="480" w:firstLineChars="200"/>
        <w:rPr>
          <w:rFonts w:hint="eastAsia"/>
          <w:sz w:val="24"/>
          <w:szCs w:val="24"/>
        </w:rPr>
      </w:pPr>
      <w:r>
        <w:rPr>
          <w:sz w:val="24"/>
          <w:szCs w:val="24"/>
        </w:rPr>
        <w:t>6)</w:t>
      </w:r>
      <w:r>
        <w:rPr>
          <w:rFonts w:hint="eastAsia"/>
          <w:sz w:val="24"/>
          <w:szCs w:val="24"/>
          <w:lang w:eastAsia="zh-CN"/>
        </w:rPr>
        <w:t>投标</w:t>
      </w:r>
      <w:r>
        <w:rPr>
          <w:rFonts w:hint="eastAsia" w:ascii="宋体" w:hAnsi="宋体" w:eastAsia="宋体" w:cs="宋体"/>
          <w:color w:val="000000"/>
          <w:kern w:val="0"/>
          <w:sz w:val="24"/>
          <w:szCs w:val="24"/>
          <w:lang w:val="en-US" w:eastAsia="zh-CN" w:bidi="ar"/>
        </w:rPr>
        <w:t>最后报价超过产品采购预算金额的，响应文件作响应无效处理</w:t>
      </w:r>
      <w:r>
        <w:rPr>
          <w:rFonts w:hint="eastAsia" w:ascii="宋体" w:hAnsi="宋体" w:cs="宋体"/>
          <w:color w:val="000000"/>
          <w:kern w:val="0"/>
          <w:sz w:val="24"/>
          <w:szCs w:val="24"/>
          <w:lang w:val="en-US" w:eastAsia="zh-CN" w:bidi="ar"/>
        </w:rPr>
        <w:t>。</w:t>
      </w:r>
    </w:p>
    <w:p>
      <w:pPr>
        <w:pStyle w:val="2"/>
        <w:ind w:left="-708" w:leftChars="-337" w:firstLine="482" w:firstLineChars="200"/>
        <w:rPr>
          <w:rFonts w:cs="宋体"/>
          <w:b/>
          <w:bCs/>
          <w:sz w:val="24"/>
          <w:szCs w:val="24"/>
        </w:rPr>
      </w:pPr>
      <w:r>
        <w:rPr>
          <w:rFonts w:hint="eastAsia" w:cs="宋体"/>
          <w:b/>
          <w:bCs/>
          <w:sz w:val="24"/>
          <w:szCs w:val="24"/>
        </w:rPr>
        <w:t>2.投标产品资格要求</w:t>
      </w:r>
    </w:p>
    <w:p>
      <w:pPr>
        <w:pStyle w:val="2"/>
        <w:ind w:left="-708" w:leftChars="-337" w:firstLine="480" w:firstLineChars="200"/>
        <w:rPr>
          <w:rFonts w:cs="宋体"/>
          <w:sz w:val="24"/>
          <w:szCs w:val="24"/>
        </w:rPr>
      </w:pPr>
      <w:r>
        <w:rPr>
          <w:rFonts w:hint="eastAsia" w:cs="宋体"/>
          <w:sz w:val="24"/>
          <w:szCs w:val="24"/>
        </w:rPr>
        <w:t>1）本项目支持创新产品、节能优化产品、环境标识产品、中小企业发展等政府采购政策。</w:t>
      </w:r>
    </w:p>
    <w:p>
      <w:pPr>
        <w:pStyle w:val="2"/>
        <w:ind w:left="-708" w:leftChars="-337" w:firstLine="241" w:firstLineChars="100"/>
        <w:rPr>
          <w:sz w:val="24"/>
          <w:szCs w:val="24"/>
        </w:rPr>
      </w:pPr>
      <w:r>
        <w:rPr>
          <w:rFonts w:hint="eastAsia"/>
          <w:b/>
          <w:bCs/>
          <w:color w:val="FF0000"/>
          <w:sz w:val="24"/>
          <w:szCs w:val="24"/>
        </w:rPr>
        <w:t xml:space="preserve"> </w:t>
      </w:r>
      <w:r>
        <w:rPr>
          <w:rFonts w:hint="eastAsia"/>
          <w:sz w:val="24"/>
          <w:szCs w:val="24"/>
        </w:rPr>
        <w:t>2）投标人所投产品要求包含以下相关证件：</w:t>
      </w:r>
      <w:r>
        <w:rPr>
          <w:rFonts w:hint="eastAsia"/>
          <w:sz w:val="24"/>
          <w:szCs w:val="24"/>
          <w:highlight w:val="yellow"/>
        </w:rPr>
        <w:t>投标公司的《医疗器械经营许可证》、生产厂家的《医疗器械生产许可证》、设备的《医疗器械注册证》</w:t>
      </w:r>
    </w:p>
    <w:p>
      <w:pPr>
        <w:pStyle w:val="2"/>
        <w:ind w:left="-708" w:leftChars="-337" w:firstLine="482" w:firstLineChars="200"/>
        <w:rPr>
          <w:sz w:val="24"/>
          <w:szCs w:val="24"/>
        </w:rPr>
      </w:pPr>
      <w:r>
        <w:rPr>
          <w:rFonts w:hint="eastAsia"/>
          <w:b/>
          <w:bCs/>
          <w:sz w:val="24"/>
          <w:szCs w:val="24"/>
        </w:rPr>
        <w:t>3.售后服务和资质</w:t>
      </w:r>
    </w:p>
    <w:p>
      <w:pPr>
        <w:pStyle w:val="2"/>
        <w:ind w:left="-708" w:leftChars="-337" w:firstLine="480" w:firstLineChars="200"/>
        <w:rPr>
          <w:sz w:val="24"/>
          <w:szCs w:val="24"/>
        </w:rPr>
      </w:pPr>
      <w:r>
        <w:rPr>
          <w:rFonts w:hint="eastAsia"/>
          <w:sz w:val="24"/>
          <w:szCs w:val="24"/>
        </w:rPr>
        <w:t>（1）为了防止虚假应标，项目成交结果公示期间，招标人</w:t>
      </w:r>
      <w:r>
        <w:rPr>
          <w:rFonts w:hint="eastAsia"/>
          <w:sz w:val="24"/>
          <w:szCs w:val="24"/>
          <w:highlight w:val="yellow"/>
        </w:rPr>
        <w:t>有权要求拟中标的投标人提供所投标产品以供测试</w:t>
      </w:r>
      <w:r>
        <w:rPr>
          <w:rFonts w:hint="eastAsia"/>
          <w:sz w:val="24"/>
          <w:szCs w:val="24"/>
        </w:rPr>
        <w:t>；若测试达不到应答指标，以虚假应标论处。</w:t>
      </w:r>
    </w:p>
    <w:p>
      <w:pPr>
        <w:pStyle w:val="2"/>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（2）质保期：</w:t>
      </w:r>
      <w:r>
        <w:rPr>
          <w:rFonts w:hint="eastAsia" w:ascii="宋体" w:hAnsi="宋体" w:cs="宋体"/>
          <w:color w:val="000000" w:themeColor="text1"/>
          <w:sz w:val="24"/>
          <w:szCs w:val="24"/>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 w:val="24"/>
          <w:szCs w:val="24"/>
          <w14:textFill>
            <w14:solidFill>
              <w14:schemeClr w14:val="tx1"/>
            </w14:solidFill>
          </w14:textFill>
        </w:rPr>
        <w:t>按国家有关产品“三包”规定执行“三包”。</w:t>
      </w:r>
      <w:r>
        <w:rPr>
          <w:rFonts w:ascii="宋体" w:hAnsi="宋体" w:cs="宋体"/>
          <w:color w:val="000000" w:themeColor="text1"/>
          <w:sz w:val="24"/>
          <w:szCs w:val="24"/>
          <w14:textFill>
            <w14:solidFill>
              <w14:schemeClr w14:val="tx1"/>
            </w14:solidFill>
          </w14:textFill>
        </w:rPr>
        <w:t xml:space="preserve"> </w:t>
      </w:r>
    </w:p>
    <w:p>
      <w:pPr>
        <w:pStyle w:val="2"/>
        <w:ind w:left="-708" w:leftChars="-337" w:firstLine="480" w:firstLineChars="200"/>
        <w:rPr>
          <w:rFonts w:ascii="宋体" w:hAnsi="宋体" w:cs="宋体"/>
          <w:sz w:val="24"/>
          <w:szCs w:val="24"/>
        </w:rPr>
      </w:pPr>
      <w:r>
        <w:rPr>
          <w:rFonts w:hint="eastAsia" w:ascii="宋体" w:hAnsi="宋体" w:cs="宋体"/>
          <w:sz w:val="24"/>
          <w:szCs w:val="24"/>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sz w:val="24"/>
          <w:szCs w:val="24"/>
          <w14:textFill>
            <w14:solidFill>
              <w14:schemeClr w14:val="tx1"/>
            </w14:solidFill>
          </w14:textFill>
        </w:rPr>
        <w:t>一般问题应在48小时内解决，重大问题或其它无法迅速解决的问题应在一周内解决，</w:t>
      </w:r>
      <w:r>
        <w:rPr>
          <w:rFonts w:hint="eastAsia" w:ascii="宋体" w:hAnsi="宋体" w:cs="宋体"/>
          <w:sz w:val="24"/>
          <w:szCs w:val="24"/>
        </w:rPr>
        <w:t>所发生的一切费用由成交供应商负责。</w:t>
      </w:r>
    </w:p>
    <w:p>
      <w:pPr>
        <w:pStyle w:val="2"/>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auto"/>
          <w:kern w:val="2"/>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lang w:val="en-US" w:eastAsia="zh-CN"/>
        </w:rPr>
        <w:t>15</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免费送货上门、免费安装调试至设备到达最佳状态、免费培训操作人员。</w:t>
      </w:r>
    </w:p>
    <w:p>
      <w:pPr>
        <w:pStyle w:val="2"/>
        <w:ind w:left="-708" w:leftChars="-337" w:firstLine="480" w:firstLineChars="200"/>
        <w:rPr>
          <w:rFonts w:ascii="宋体" w:hAnsi="宋体" w:cs="宋体"/>
          <w:sz w:val="24"/>
          <w:szCs w:val="24"/>
        </w:rPr>
      </w:pPr>
      <w:r>
        <w:rPr>
          <w:rFonts w:hint="eastAsia" w:ascii="宋体" w:hAnsi="宋体" w:cs="宋体"/>
          <w:sz w:val="24"/>
          <w:szCs w:val="24"/>
        </w:rPr>
        <w:t>投标人予以特别注意：如出现未能到期供货的情况，采购人有权单方终止合同的执行，所有的经济损失由逾期供货商单方承担。</w:t>
      </w:r>
    </w:p>
    <w:p>
      <w:pPr>
        <w:pStyle w:val="2"/>
        <w:ind w:left="-708" w:leftChars="-337" w:firstLine="480" w:firstLineChars="200"/>
        <w:rPr>
          <w:sz w:val="24"/>
          <w:szCs w:val="24"/>
        </w:rPr>
      </w:pPr>
      <w:r>
        <w:rPr>
          <w:rFonts w:cs="宋体"/>
          <w:sz w:val="24"/>
          <w:szCs w:val="24"/>
        </w:rPr>
        <w:t>4</w:t>
      </w:r>
      <w:r>
        <w:rPr>
          <w:rFonts w:hint="eastAsia" w:cs="宋体"/>
          <w:sz w:val="24"/>
          <w:szCs w:val="24"/>
        </w:rPr>
        <w:t>.交货地点为：</w:t>
      </w:r>
      <w:r>
        <w:rPr>
          <w:rFonts w:hint="eastAsia" w:cs="宋体"/>
          <w:sz w:val="24"/>
          <w:szCs w:val="24"/>
          <w:highlight w:val="yellow"/>
        </w:rPr>
        <w:t>广西壮族自治区桂东人民医院指定地点</w:t>
      </w:r>
      <w:r>
        <w:rPr>
          <w:sz w:val="24"/>
          <w:szCs w:val="24"/>
        </w:rPr>
        <w:t xml:space="preserve">     </w:t>
      </w:r>
    </w:p>
    <w:p>
      <w:pPr>
        <w:pStyle w:val="2"/>
        <w:ind w:left="-708" w:leftChars="-337" w:firstLine="480" w:firstLineChars="200"/>
        <w:rPr>
          <w:rFonts w:hint="eastAsia" w:hAnsi="宋体"/>
          <w:color w:val="FF0000"/>
          <w:kern w:val="0"/>
          <w:sz w:val="24"/>
          <w:szCs w:val="24"/>
        </w:rPr>
      </w:pPr>
      <w:r>
        <w:rPr>
          <w:sz w:val="24"/>
          <w:szCs w:val="24"/>
        </w:rPr>
        <w:t>5</w:t>
      </w:r>
      <w:r>
        <w:rPr>
          <w:rFonts w:hint="eastAsia"/>
          <w:sz w:val="24"/>
          <w:szCs w:val="24"/>
        </w:rPr>
        <w:t>.付款方式：</w:t>
      </w:r>
      <w:r>
        <w:rPr>
          <w:rFonts w:ascii="宋体" w:hAnsi="宋体" w:eastAsia="宋体" w:cs="宋体"/>
          <w:color w:val="000000" w:themeColor="text1"/>
          <w:sz w:val="24"/>
          <w:szCs w:val="24"/>
          <w14:textFill>
            <w14:solidFill>
              <w14:schemeClr w14:val="tx1"/>
            </w14:solidFill>
          </w14:textFill>
        </w:rPr>
        <w:t>签订合同后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全部货物到达指定地点、安装调试并验收合格后，凭双方签署验收合格证，成交人开具全额增值税发票给采购人，采购人支付总合同金额的9</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ascii="宋体" w:hAnsi="宋体" w:eastAsia="宋体" w:cs="宋体"/>
          <w:color w:val="000000" w:themeColor="text1"/>
          <w:sz w:val="24"/>
          <w:szCs w:val="24"/>
          <w14:textFill>
            <w14:solidFill>
              <w14:schemeClr w14:val="tx1"/>
            </w14:solidFill>
          </w14:textFill>
        </w:rPr>
        <w:t>%，剩余合同总价的</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%货款于</w:t>
      </w:r>
      <w:r>
        <w:rPr>
          <w:rFonts w:hint="eastAsia" w:ascii="宋体" w:hAnsi="宋体" w:eastAsia="宋体" w:cs="宋体"/>
          <w:color w:val="000000" w:themeColor="text1"/>
          <w:sz w:val="24"/>
          <w:szCs w:val="24"/>
          <w:lang w:eastAsia="zh-CN"/>
          <w14:textFill>
            <w14:solidFill>
              <w14:schemeClr w14:val="tx1"/>
            </w14:solidFill>
          </w14:textFill>
        </w:rPr>
        <w:t>质保期满</w:t>
      </w:r>
      <w:r>
        <w:rPr>
          <w:rFonts w:ascii="宋体" w:hAnsi="宋体" w:eastAsia="宋体" w:cs="宋体"/>
          <w:color w:val="000000" w:themeColor="text1"/>
          <w:sz w:val="24"/>
          <w:szCs w:val="24"/>
          <w14:textFill>
            <w14:solidFill>
              <w14:schemeClr w14:val="tx1"/>
            </w14:solidFill>
          </w14:textFill>
        </w:rPr>
        <w:t>后，无质量及售后服务问题，并办理相关确认手续后10个工作日内，一次性支付完。（不计利息）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4"/>
          <w:szCs w:val="24"/>
        </w:rPr>
      </w:pPr>
      <w:r>
        <w:rPr>
          <w:b/>
          <w:bCs/>
          <w:kern w:val="0"/>
          <w:sz w:val="24"/>
          <w:szCs w:val="24"/>
        </w:rPr>
        <w:t> </w:t>
      </w:r>
      <w:r>
        <w:rPr>
          <w:rFonts w:hint="eastAsia"/>
          <w:b/>
          <w:bCs/>
          <w:kern w:val="0"/>
          <w:sz w:val="24"/>
          <w:szCs w:val="24"/>
        </w:rPr>
        <w:t>二</w:t>
      </w:r>
      <w:r>
        <w:rPr>
          <w:rFonts w:hint="eastAsia" w:cs="宋体"/>
          <w:b/>
          <w:bCs/>
          <w:kern w:val="0"/>
          <w:sz w:val="24"/>
          <w:szCs w:val="24"/>
        </w:rPr>
        <w:t>、合同签订</w:t>
      </w:r>
    </w:p>
    <w:p>
      <w:pPr>
        <w:widowControl/>
        <w:spacing w:line="360" w:lineRule="auto"/>
        <w:ind w:left="-708" w:leftChars="-338" w:hanging="2"/>
        <w:jc w:val="left"/>
        <w:rPr>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eastAsia="zh-CN"/>
          </w:rPr>
        </w:sdtEndPr>
        <w:sdtContent>
          <w:r>
            <w:rPr>
              <w:rFonts w:hint="eastAsia" w:cs="宋体"/>
              <w:color w:val="FF0000"/>
              <w:kern w:val="0"/>
              <w:sz w:val="24"/>
              <w:szCs w:val="24"/>
              <w:u w:val="single"/>
              <w:lang w:val="en-US" w:eastAsia="zh-CN"/>
            </w:rPr>
            <w:t>15个历日</w:t>
          </w:r>
        </w:sdtContent>
      </w:sdt>
      <w:r>
        <w:rPr>
          <w:rFonts w:hint="eastAsia" w:cs="宋体"/>
          <w:color w:val="FF0000"/>
          <w:kern w:val="0"/>
          <w:sz w:val="24"/>
          <w:szCs w:val="24"/>
          <w:u w:val="single"/>
          <w:lang w:val="en-US" w:eastAsia="zh-CN"/>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4"/>
          <w:szCs w:val="24"/>
        </w:rPr>
      </w:pPr>
      <w:r>
        <w:rPr>
          <w:rFonts w:hint="eastAsia" w:cs="宋体"/>
          <w:b/>
          <w:bCs/>
          <w:kern w:val="0"/>
          <w:sz w:val="24"/>
          <w:szCs w:val="24"/>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w:t>
      </w:r>
      <w:bookmarkStart w:id="1" w:name="_GoBack"/>
      <w:bookmarkEnd w:id="1"/>
      <w:r>
        <w:rPr>
          <w:rFonts w:hint="eastAsia" w:cs="宋体"/>
          <w:kern w:val="0"/>
          <w:sz w:val="24"/>
          <w:szCs w:val="24"/>
        </w:rPr>
        <w:t>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82" w:firstLineChars="200"/>
        <w:jc w:val="left"/>
        <w:rPr>
          <w:rFonts w:cs="宋体"/>
          <w:kern w:val="0"/>
          <w:sz w:val="24"/>
          <w:szCs w:val="24"/>
        </w:rPr>
      </w:pPr>
      <w:r>
        <w:rPr>
          <w:b/>
          <w:bCs/>
          <w:kern w:val="0"/>
          <w:sz w:val="24"/>
          <w:szCs w:val="24"/>
        </w:rPr>
        <w:br w:type="page"/>
      </w:r>
    </w:p>
    <w:p>
      <w:pPr>
        <w:widowControl/>
        <w:jc w:val="center"/>
        <w:rPr>
          <w:rFonts w:hint="eastAsia" w:cs="宋体"/>
          <w:b/>
          <w:bCs/>
          <w:kern w:val="0"/>
          <w:sz w:val="38"/>
          <w:szCs w:val="38"/>
        </w:rPr>
      </w:pP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hint="eastAsia" w:cs="宋体"/>
          <w:b/>
          <w:bCs/>
          <w:kern w:val="0"/>
          <w:sz w:val="28"/>
          <w:szCs w:val="28"/>
        </w:rPr>
      </w:pPr>
    </w:p>
    <w:p>
      <w:pPr>
        <w:widowControl/>
        <w:spacing w:line="360" w:lineRule="auto"/>
        <w:ind w:firstLine="562" w:firstLineChars="200"/>
        <w:jc w:val="left"/>
        <w:rPr>
          <w:rFonts w:hint="eastAsia" w:cs="宋体"/>
          <w:kern w:val="0"/>
          <w:sz w:val="24"/>
          <w:szCs w:val="24"/>
        </w:rPr>
      </w:pPr>
      <w:r>
        <w:rPr>
          <w:rFonts w:hint="eastAsia" w:cs="宋体"/>
          <w:b/>
          <w:bCs/>
          <w:kern w:val="0"/>
          <w:sz w:val="28"/>
          <w:szCs w:val="28"/>
        </w:rPr>
        <w:t>一、评标方法与定标原则</w:t>
      </w:r>
    </w:p>
    <w:p>
      <w:pPr>
        <w:widowControl/>
        <w:spacing w:line="360" w:lineRule="auto"/>
        <w:ind w:firstLine="480" w:firstLineChars="200"/>
        <w:jc w:val="left"/>
        <w:rPr>
          <w:rFonts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b230fdad-3d18-4c44-a4db-964c97e78dcd}"/>
          </w:placeholder>
          <w15:color w:val="FF0000"/>
        </w:sdtPr>
        <w:sdtEndPr>
          <w:rPr>
            <w:rFonts w:hint="eastAsia" w:cs="宋体"/>
            <w:b/>
            <w:bCs/>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pPr>
    </w:p>
    <w:p>
      <w:pPr>
        <w:pStyle w:val="2"/>
      </w:pPr>
    </w:p>
    <w:p>
      <w:pPr>
        <w:pStyle w:val="2"/>
      </w:pPr>
    </w:p>
    <w:p/>
    <w:p/>
    <w:p>
      <w:pPr>
        <w:pStyle w:val="2"/>
        <w:ind w:firstLine="480" w:firstLineChars="200"/>
        <w:rPr>
          <w:rFonts w:hint="eastAsia"/>
        </w:rPr>
      </w:pP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0597B"/>
    <w:rsid w:val="00065631"/>
    <w:rsid w:val="00066185"/>
    <w:rsid w:val="00066410"/>
    <w:rsid w:val="00080292"/>
    <w:rsid w:val="0008196D"/>
    <w:rsid w:val="00095D83"/>
    <w:rsid w:val="000A6C18"/>
    <w:rsid w:val="000B7E2D"/>
    <w:rsid w:val="000E1AA6"/>
    <w:rsid w:val="000E2F5B"/>
    <w:rsid w:val="000E43F2"/>
    <w:rsid w:val="000F6FAF"/>
    <w:rsid w:val="001227B3"/>
    <w:rsid w:val="00122D7F"/>
    <w:rsid w:val="00181B9B"/>
    <w:rsid w:val="00182B0D"/>
    <w:rsid w:val="001A70A8"/>
    <w:rsid w:val="001C34E7"/>
    <w:rsid w:val="001D0208"/>
    <w:rsid w:val="001D28DE"/>
    <w:rsid w:val="001E6868"/>
    <w:rsid w:val="001F0B73"/>
    <w:rsid w:val="00204183"/>
    <w:rsid w:val="00227F50"/>
    <w:rsid w:val="00235D4A"/>
    <w:rsid w:val="00241CD6"/>
    <w:rsid w:val="00265E03"/>
    <w:rsid w:val="00271F98"/>
    <w:rsid w:val="00273025"/>
    <w:rsid w:val="0029744D"/>
    <w:rsid w:val="002C7944"/>
    <w:rsid w:val="002D30EA"/>
    <w:rsid w:val="00345AF2"/>
    <w:rsid w:val="003C3AB5"/>
    <w:rsid w:val="003E2FE0"/>
    <w:rsid w:val="003E7DC1"/>
    <w:rsid w:val="004049E5"/>
    <w:rsid w:val="00465806"/>
    <w:rsid w:val="00474079"/>
    <w:rsid w:val="0049510F"/>
    <w:rsid w:val="004C7EB2"/>
    <w:rsid w:val="004D08F5"/>
    <w:rsid w:val="004D2825"/>
    <w:rsid w:val="004F5A76"/>
    <w:rsid w:val="005007DD"/>
    <w:rsid w:val="00565E1A"/>
    <w:rsid w:val="00571115"/>
    <w:rsid w:val="005B049F"/>
    <w:rsid w:val="005B30C7"/>
    <w:rsid w:val="005D491D"/>
    <w:rsid w:val="00622354"/>
    <w:rsid w:val="006431C4"/>
    <w:rsid w:val="00654BC6"/>
    <w:rsid w:val="00684BD7"/>
    <w:rsid w:val="0068524B"/>
    <w:rsid w:val="00694752"/>
    <w:rsid w:val="006A12DF"/>
    <w:rsid w:val="006A1C3F"/>
    <w:rsid w:val="006B2F74"/>
    <w:rsid w:val="006C469B"/>
    <w:rsid w:val="006E5543"/>
    <w:rsid w:val="006F775C"/>
    <w:rsid w:val="00707A97"/>
    <w:rsid w:val="00737A48"/>
    <w:rsid w:val="007814EA"/>
    <w:rsid w:val="00785CD1"/>
    <w:rsid w:val="007A5910"/>
    <w:rsid w:val="007F0C51"/>
    <w:rsid w:val="007F6F70"/>
    <w:rsid w:val="008073E3"/>
    <w:rsid w:val="00825B15"/>
    <w:rsid w:val="0085263A"/>
    <w:rsid w:val="008553F8"/>
    <w:rsid w:val="00871C48"/>
    <w:rsid w:val="00880ACF"/>
    <w:rsid w:val="00893D7E"/>
    <w:rsid w:val="008947BF"/>
    <w:rsid w:val="00896F78"/>
    <w:rsid w:val="008A5DC5"/>
    <w:rsid w:val="008D3A6F"/>
    <w:rsid w:val="008D7AA4"/>
    <w:rsid w:val="009035AF"/>
    <w:rsid w:val="00914C25"/>
    <w:rsid w:val="00931C50"/>
    <w:rsid w:val="009530DC"/>
    <w:rsid w:val="00980A4E"/>
    <w:rsid w:val="009A1AEE"/>
    <w:rsid w:val="009E1C35"/>
    <w:rsid w:val="009F69BD"/>
    <w:rsid w:val="00A2105C"/>
    <w:rsid w:val="00A32A4C"/>
    <w:rsid w:val="00A44D5C"/>
    <w:rsid w:val="00A715B1"/>
    <w:rsid w:val="00A72D1F"/>
    <w:rsid w:val="00A7441F"/>
    <w:rsid w:val="00A833C7"/>
    <w:rsid w:val="00A83F43"/>
    <w:rsid w:val="00AB2B0A"/>
    <w:rsid w:val="00AC0EA5"/>
    <w:rsid w:val="00AF123F"/>
    <w:rsid w:val="00B01EDF"/>
    <w:rsid w:val="00B07FB2"/>
    <w:rsid w:val="00B1102B"/>
    <w:rsid w:val="00B250CA"/>
    <w:rsid w:val="00B742FA"/>
    <w:rsid w:val="00B808D5"/>
    <w:rsid w:val="00B8409A"/>
    <w:rsid w:val="00BA3521"/>
    <w:rsid w:val="00BB74B3"/>
    <w:rsid w:val="00BD2E0E"/>
    <w:rsid w:val="00BE1AC9"/>
    <w:rsid w:val="00C20E88"/>
    <w:rsid w:val="00C33384"/>
    <w:rsid w:val="00C50E05"/>
    <w:rsid w:val="00C762C8"/>
    <w:rsid w:val="00C96EDD"/>
    <w:rsid w:val="00C97AD7"/>
    <w:rsid w:val="00CC2DEE"/>
    <w:rsid w:val="00CD27A2"/>
    <w:rsid w:val="00D2336F"/>
    <w:rsid w:val="00D2685D"/>
    <w:rsid w:val="00D41CB5"/>
    <w:rsid w:val="00D57065"/>
    <w:rsid w:val="00D635CE"/>
    <w:rsid w:val="00DB5864"/>
    <w:rsid w:val="00E1137B"/>
    <w:rsid w:val="00E13FCC"/>
    <w:rsid w:val="00E14108"/>
    <w:rsid w:val="00E238E5"/>
    <w:rsid w:val="00E44FD8"/>
    <w:rsid w:val="00E56930"/>
    <w:rsid w:val="00E67DBF"/>
    <w:rsid w:val="00E72BBE"/>
    <w:rsid w:val="00E737B0"/>
    <w:rsid w:val="00E74D5B"/>
    <w:rsid w:val="00E9399F"/>
    <w:rsid w:val="00EA02CE"/>
    <w:rsid w:val="00EB1C9B"/>
    <w:rsid w:val="00ED5546"/>
    <w:rsid w:val="00EF6FEC"/>
    <w:rsid w:val="00F12B55"/>
    <w:rsid w:val="00F35BD9"/>
    <w:rsid w:val="00F50C5F"/>
    <w:rsid w:val="00F5680A"/>
    <w:rsid w:val="00F744DE"/>
    <w:rsid w:val="00F92C1F"/>
    <w:rsid w:val="00FA1515"/>
    <w:rsid w:val="00FA6DC9"/>
    <w:rsid w:val="00FB5B7F"/>
    <w:rsid w:val="00FB6C61"/>
    <w:rsid w:val="00FE7A22"/>
    <w:rsid w:val="00FF2F38"/>
    <w:rsid w:val="040D54FB"/>
    <w:rsid w:val="041C59DD"/>
    <w:rsid w:val="04A66578"/>
    <w:rsid w:val="04F07B21"/>
    <w:rsid w:val="05611025"/>
    <w:rsid w:val="0587295E"/>
    <w:rsid w:val="05B9677F"/>
    <w:rsid w:val="069468A4"/>
    <w:rsid w:val="06A558C1"/>
    <w:rsid w:val="06D05B2E"/>
    <w:rsid w:val="06E23AB3"/>
    <w:rsid w:val="070C4371"/>
    <w:rsid w:val="072F63A4"/>
    <w:rsid w:val="07D63618"/>
    <w:rsid w:val="085A59A9"/>
    <w:rsid w:val="08646E76"/>
    <w:rsid w:val="0983332C"/>
    <w:rsid w:val="09C33728"/>
    <w:rsid w:val="09C53074"/>
    <w:rsid w:val="09C85F7A"/>
    <w:rsid w:val="0A0362F9"/>
    <w:rsid w:val="0A195752"/>
    <w:rsid w:val="0A436C8A"/>
    <w:rsid w:val="0A4F1460"/>
    <w:rsid w:val="0BC91684"/>
    <w:rsid w:val="0C93150A"/>
    <w:rsid w:val="0DCE5484"/>
    <w:rsid w:val="0DDF6528"/>
    <w:rsid w:val="0E2751E1"/>
    <w:rsid w:val="0EAF35B4"/>
    <w:rsid w:val="0F31382A"/>
    <w:rsid w:val="0F410916"/>
    <w:rsid w:val="0FBD18F4"/>
    <w:rsid w:val="0FC41FA8"/>
    <w:rsid w:val="0FF44094"/>
    <w:rsid w:val="10C44FE5"/>
    <w:rsid w:val="10C97A40"/>
    <w:rsid w:val="10D00951"/>
    <w:rsid w:val="11270A41"/>
    <w:rsid w:val="112C6057"/>
    <w:rsid w:val="122B15C9"/>
    <w:rsid w:val="127B7685"/>
    <w:rsid w:val="12C83F84"/>
    <w:rsid w:val="13D529D6"/>
    <w:rsid w:val="140D1AAC"/>
    <w:rsid w:val="144B713C"/>
    <w:rsid w:val="14A4200E"/>
    <w:rsid w:val="14BA18FD"/>
    <w:rsid w:val="153848C3"/>
    <w:rsid w:val="15FA6724"/>
    <w:rsid w:val="16577857"/>
    <w:rsid w:val="16DE1BA1"/>
    <w:rsid w:val="175D42E5"/>
    <w:rsid w:val="17BE7C25"/>
    <w:rsid w:val="194F6D87"/>
    <w:rsid w:val="1A5D5E77"/>
    <w:rsid w:val="1A8962C8"/>
    <w:rsid w:val="1ADD6755"/>
    <w:rsid w:val="1AEC6857"/>
    <w:rsid w:val="1AFF6FEA"/>
    <w:rsid w:val="1B9E58C2"/>
    <w:rsid w:val="1BD17F27"/>
    <w:rsid w:val="1C7A583D"/>
    <w:rsid w:val="1CDA5E97"/>
    <w:rsid w:val="1E075E82"/>
    <w:rsid w:val="1E7B30DA"/>
    <w:rsid w:val="1ECB216E"/>
    <w:rsid w:val="1F601AA1"/>
    <w:rsid w:val="1F947BE9"/>
    <w:rsid w:val="1FB36A5F"/>
    <w:rsid w:val="1FDC1EA2"/>
    <w:rsid w:val="204E6A4B"/>
    <w:rsid w:val="20717F41"/>
    <w:rsid w:val="20D87001"/>
    <w:rsid w:val="20DB4B74"/>
    <w:rsid w:val="214F4DED"/>
    <w:rsid w:val="2218153E"/>
    <w:rsid w:val="22BD2FB3"/>
    <w:rsid w:val="23F9728E"/>
    <w:rsid w:val="246B74DB"/>
    <w:rsid w:val="248D10AB"/>
    <w:rsid w:val="24942439"/>
    <w:rsid w:val="24E3352A"/>
    <w:rsid w:val="24FD4D83"/>
    <w:rsid w:val="25056E93"/>
    <w:rsid w:val="250709CF"/>
    <w:rsid w:val="251A729B"/>
    <w:rsid w:val="252E3513"/>
    <w:rsid w:val="26582593"/>
    <w:rsid w:val="266F2816"/>
    <w:rsid w:val="269A731A"/>
    <w:rsid w:val="26A34BB6"/>
    <w:rsid w:val="26A36964"/>
    <w:rsid w:val="26ED7BDF"/>
    <w:rsid w:val="273E7F57"/>
    <w:rsid w:val="27840543"/>
    <w:rsid w:val="27A21081"/>
    <w:rsid w:val="2866687F"/>
    <w:rsid w:val="28AC5FA3"/>
    <w:rsid w:val="29916AA0"/>
    <w:rsid w:val="2B5C2C61"/>
    <w:rsid w:val="2B5D3585"/>
    <w:rsid w:val="2C437476"/>
    <w:rsid w:val="2D6029A8"/>
    <w:rsid w:val="2D68718B"/>
    <w:rsid w:val="2E360A87"/>
    <w:rsid w:val="2E44559E"/>
    <w:rsid w:val="2F5C7FF7"/>
    <w:rsid w:val="2FA71273"/>
    <w:rsid w:val="30CC52EF"/>
    <w:rsid w:val="3194337D"/>
    <w:rsid w:val="31DA343D"/>
    <w:rsid w:val="32110C25"/>
    <w:rsid w:val="32EE73AD"/>
    <w:rsid w:val="33501CEB"/>
    <w:rsid w:val="34077BCB"/>
    <w:rsid w:val="34425A0E"/>
    <w:rsid w:val="34642367"/>
    <w:rsid w:val="34853AA5"/>
    <w:rsid w:val="34CC4FFC"/>
    <w:rsid w:val="352654C4"/>
    <w:rsid w:val="352A3AB6"/>
    <w:rsid w:val="36940077"/>
    <w:rsid w:val="36A062A6"/>
    <w:rsid w:val="36FE39D4"/>
    <w:rsid w:val="3737378F"/>
    <w:rsid w:val="37585483"/>
    <w:rsid w:val="378375B9"/>
    <w:rsid w:val="37A91900"/>
    <w:rsid w:val="3806606D"/>
    <w:rsid w:val="38C93665"/>
    <w:rsid w:val="38F605A0"/>
    <w:rsid w:val="392B3B87"/>
    <w:rsid w:val="397701BE"/>
    <w:rsid w:val="3A0D261A"/>
    <w:rsid w:val="3A4B1292"/>
    <w:rsid w:val="3AC76C6D"/>
    <w:rsid w:val="3ACC5F8D"/>
    <w:rsid w:val="3B0752BB"/>
    <w:rsid w:val="3B5B69F6"/>
    <w:rsid w:val="3C055B17"/>
    <w:rsid w:val="3C747652"/>
    <w:rsid w:val="3C85293C"/>
    <w:rsid w:val="3CE60193"/>
    <w:rsid w:val="3D1B32A0"/>
    <w:rsid w:val="3D8E3A72"/>
    <w:rsid w:val="3DF21B38"/>
    <w:rsid w:val="3EC60FE9"/>
    <w:rsid w:val="3ED361A5"/>
    <w:rsid w:val="3F376133"/>
    <w:rsid w:val="3F5D12BF"/>
    <w:rsid w:val="3F8B6334"/>
    <w:rsid w:val="40E85247"/>
    <w:rsid w:val="410154B8"/>
    <w:rsid w:val="41366ED0"/>
    <w:rsid w:val="42154762"/>
    <w:rsid w:val="424E39A9"/>
    <w:rsid w:val="4286740D"/>
    <w:rsid w:val="42AE0157"/>
    <w:rsid w:val="42D10E7F"/>
    <w:rsid w:val="42F56341"/>
    <w:rsid w:val="43815B87"/>
    <w:rsid w:val="43CF26EE"/>
    <w:rsid w:val="44014CA7"/>
    <w:rsid w:val="44A1052F"/>
    <w:rsid w:val="45883236"/>
    <w:rsid w:val="45EB3B06"/>
    <w:rsid w:val="46BA3873"/>
    <w:rsid w:val="46E92835"/>
    <w:rsid w:val="47606540"/>
    <w:rsid w:val="47637175"/>
    <w:rsid w:val="480C5CBF"/>
    <w:rsid w:val="4841579F"/>
    <w:rsid w:val="492E435B"/>
    <w:rsid w:val="492F5696"/>
    <w:rsid w:val="49675177"/>
    <w:rsid w:val="49A81A17"/>
    <w:rsid w:val="4AB10DA0"/>
    <w:rsid w:val="4AB35768"/>
    <w:rsid w:val="4BDC0E24"/>
    <w:rsid w:val="4C7F2195"/>
    <w:rsid w:val="4E7A2EF9"/>
    <w:rsid w:val="4E9E4E4F"/>
    <w:rsid w:val="4EA77BEE"/>
    <w:rsid w:val="4F267FC7"/>
    <w:rsid w:val="4F787048"/>
    <w:rsid w:val="4F8B1BBF"/>
    <w:rsid w:val="4FFE4E89"/>
    <w:rsid w:val="51976B19"/>
    <w:rsid w:val="52744CA6"/>
    <w:rsid w:val="52EA0FEF"/>
    <w:rsid w:val="52ED0DE3"/>
    <w:rsid w:val="53682217"/>
    <w:rsid w:val="539B006B"/>
    <w:rsid w:val="53D855EF"/>
    <w:rsid w:val="53F3170A"/>
    <w:rsid w:val="540208BE"/>
    <w:rsid w:val="54263430"/>
    <w:rsid w:val="562468CA"/>
    <w:rsid w:val="56791B90"/>
    <w:rsid w:val="57BC2879"/>
    <w:rsid w:val="58354DBE"/>
    <w:rsid w:val="58AB32D2"/>
    <w:rsid w:val="58AD0DF8"/>
    <w:rsid w:val="58BA59F2"/>
    <w:rsid w:val="59CE21E6"/>
    <w:rsid w:val="5A1B57E1"/>
    <w:rsid w:val="5B4517BC"/>
    <w:rsid w:val="5BB71F8E"/>
    <w:rsid w:val="5BCB48E6"/>
    <w:rsid w:val="5BD2436E"/>
    <w:rsid w:val="5C86208C"/>
    <w:rsid w:val="5CA22C3E"/>
    <w:rsid w:val="5CD96603"/>
    <w:rsid w:val="5D11324F"/>
    <w:rsid w:val="5D33143B"/>
    <w:rsid w:val="5DEB0F45"/>
    <w:rsid w:val="5E116BDB"/>
    <w:rsid w:val="5EB915BA"/>
    <w:rsid w:val="5EC0115A"/>
    <w:rsid w:val="5FBF1411"/>
    <w:rsid w:val="5FBF74F7"/>
    <w:rsid w:val="601E082E"/>
    <w:rsid w:val="60433DF0"/>
    <w:rsid w:val="60A26D69"/>
    <w:rsid w:val="619A0388"/>
    <w:rsid w:val="61A86601"/>
    <w:rsid w:val="61DA42C9"/>
    <w:rsid w:val="620068EC"/>
    <w:rsid w:val="622562E9"/>
    <w:rsid w:val="62424D8A"/>
    <w:rsid w:val="62FE6288"/>
    <w:rsid w:val="635A1007"/>
    <w:rsid w:val="648F0FD0"/>
    <w:rsid w:val="65436640"/>
    <w:rsid w:val="656E404D"/>
    <w:rsid w:val="659C46CE"/>
    <w:rsid w:val="66122DE8"/>
    <w:rsid w:val="66C8679B"/>
    <w:rsid w:val="67BD28CF"/>
    <w:rsid w:val="67DF6AF4"/>
    <w:rsid w:val="68861BB7"/>
    <w:rsid w:val="689B6077"/>
    <w:rsid w:val="68C10ACC"/>
    <w:rsid w:val="68EA5002"/>
    <w:rsid w:val="691F78D0"/>
    <w:rsid w:val="69333123"/>
    <w:rsid w:val="69CD6553"/>
    <w:rsid w:val="69EC54F9"/>
    <w:rsid w:val="6AAD6A36"/>
    <w:rsid w:val="6AF15049"/>
    <w:rsid w:val="6B74481F"/>
    <w:rsid w:val="6B7C465A"/>
    <w:rsid w:val="6B905A67"/>
    <w:rsid w:val="6BE10818"/>
    <w:rsid w:val="6BFF34D4"/>
    <w:rsid w:val="6C465394"/>
    <w:rsid w:val="6CA97651"/>
    <w:rsid w:val="6DAE1443"/>
    <w:rsid w:val="6DD0797D"/>
    <w:rsid w:val="6E6E5F42"/>
    <w:rsid w:val="6F4F27B2"/>
    <w:rsid w:val="715C10BB"/>
    <w:rsid w:val="71747D49"/>
    <w:rsid w:val="71971C3B"/>
    <w:rsid w:val="722A12B4"/>
    <w:rsid w:val="72933F95"/>
    <w:rsid w:val="74017DF2"/>
    <w:rsid w:val="744245F4"/>
    <w:rsid w:val="74B5471E"/>
    <w:rsid w:val="75363ACC"/>
    <w:rsid w:val="75661EAC"/>
    <w:rsid w:val="757F36C5"/>
    <w:rsid w:val="762B1157"/>
    <w:rsid w:val="765D0487"/>
    <w:rsid w:val="76D6141B"/>
    <w:rsid w:val="778C3E77"/>
    <w:rsid w:val="77C67389"/>
    <w:rsid w:val="787212BF"/>
    <w:rsid w:val="7923015C"/>
    <w:rsid w:val="79A764C4"/>
    <w:rsid w:val="79FC3536"/>
    <w:rsid w:val="7AAD2A82"/>
    <w:rsid w:val="7AB72C56"/>
    <w:rsid w:val="7ACF07BA"/>
    <w:rsid w:val="7B8C2CD6"/>
    <w:rsid w:val="7BD227A0"/>
    <w:rsid w:val="7BF429B9"/>
    <w:rsid w:val="7C7154A6"/>
    <w:rsid w:val="7CBA6985"/>
    <w:rsid w:val="7CC0084B"/>
    <w:rsid w:val="7E161637"/>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qFormat/>
    <w:uiPriority w:val="0"/>
    <w:pPr>
      <w:ind w:firstLine="420"/>
    </w:pPr>
    <w:rPr>
      <w:szCs w:val="20"/>
    </w:rPr>
  </w:style>
  <w:style w:type="paragraph" w:styleId="4">
    <w:name w:val="annotation text"/>
    <w:basedOn w:val="1"/>
    <w:link w:val="18"/>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20"/>
    <w:qFormat/>
    <w:uiPriority w:val="0"/>
    <w:rPr>
      <w:rFonts w:ascii="宋体" w:hAnsi="Courier New"/>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4"/>
    <w:next w:val="4"/>
    <w:link w:val="19"/>
    <w:semiHidden/>
    <w:unhideWhenUsed/>
    <w:qFormat/>
    <w:uiPriority w:val="99"/>
    <w:rPr>
      <w:b/>
      <w:bCs/>
    </w:rPr>
  </w:style>
  <w:style w:type="paragraph" w:styleId="12">
    <w:name w:val="Body Text First Indent"/>
    <w:basedOn w:val="5"/>
    <w:unhideWhenUsed/>
    <w:qFormat/>
    <w:uiPriority w:val="99"/>
    <w:pPr>
      <w:ind w:firstLine="420" w:firstLineChars="10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21"/>
      <w:szCs w:val="21"/>
    </w:rPr>
  </w:style>
  <w:style w:type="character" w:customStyle="1" w:styleId="17">
    <w:name w:val="批注文字 字符"/>
    <w:basedOn w:val="15"/>
    <w:qFormat/>
    <w:uiPriority w:val="99"/>
    <w:rPr>
      <w:rFonts w:ascii="Times New Roman" w:hAnsi="Times New Roman" w:eastAsia="宋体" w:cs="Times New Roman"/>
      <w:szCs w:val="21"/>
    </w:rPr>
  </w:style>
  <w:style w:type="character" w:customStyle="1" w:styleId="18">
    <w:name w:val="批注文字 字符1"/>
    <w:link w:val="4"/>
    <w:semiHidden/>
    <w:qFormat/>
    <w:uiPriority w:val="99"/>
    <w:rPr>
      <w:rFonts w:ascii="Times New Roman" w:hAnsi="Times New Roman" w:eastAsia="宋体" w:cs="Times New Roman"/>
      <w:szCs w:val="21"/>
    </w:rPr>
  </w:style>
  <w:style w:type="character" w:customStyle="1" w:styleId="19">
    <w:name w:val="批注主题 字符"/>
    <w:basedOn w:val="18"/>
    <w:link w:val="11"/>
    <w:semiHidden/>
    <w:qFormat/>
    <w:uiPriority w:val="99"/>
    <w:rPr>
      <w:rFonts w:ascii="Times New Roman" w:hAnsi="Times New Roman" w:eastAsia="宋体" w:cs="Times New Roman"/>
      <w:b/>
      <w:bCs/>
      <w:szCs w:val="21"/>
    </w:rPr>
  </w:style>
  <w:style w:type="character" w:customStyle="1" w:styleId="20">
    <w:name w:val="纯文本 字符"/>
    <w:basedOn w:val="15"/>
    <w:link w:val="6"/>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5"/>
    <w:link w:val="8"/>
    <w:qFormat/>
    <w:uiPriority w:val="99"/>
    <w:rPr>
      <w:rFonts w:ascii="Times New Roman" w:hAnsi="Times New Roman" w:eastAsia="宋体" w:cs="Times New Roman"/>
      <w:sz w:val="18"/>
      <w:szCs w:val="18"/>
    </w:rPr>
  </w:style>
  <w:style w:type="character" w:customStyle="1" w:styleId="24">
    <w:name w:val="页脚 字符"/>
    <w:basedOn w:val="15"/>
    <w:link w:val="7"/>
    <w:qFormat/>
    <w:uiPriority w:val="99"/>
    <w:rPr>
      <w:rFonts w:ascii="Times New Roman" w:hAnsi="Times New Roman" w:eastAsia="宋体" w:cs="Times New Roman"/>
      <w:sz w:val="18"/>
      <w:szCs w:val="18"/>
    </w:rPr>
  </w:style>
  <w:style w:type="character" w:styleId="25">
    <w:name w:val="Placeholder Text"/>
    <w:basedOn w:val="15"/>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b230fdad-3d18-4c44-a4db-964c97e78dcd}"/>
        <w:style w:val=""/>
        <w:category>
          <w:name w:val="常规"/>
          <w:gallery w:val="placeholder"/>
        </w:category>
        <w:types>
          <w:type w:val="bbPlcHdr"/>
        </w:types>
        <w:behaviors>
          <w:behavior w:val="content"/>
        </w:behaviors>
        <w:description w:val=""/>
        <w:guid w:val="{b230fdad-3d18-4c44-a4db-964c97e78dcd}"/>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04141A"/>
    <w:rsid w:val="00102898"/>
    <w:rsid w:val="001B2DBA"/>
    <w:rsid w:val="0048475D"/>
    <w:rsid w:val="005E6BA0"/>
    <w:rsid w:val="0063391C"/>
    <w:rsid w:val="00682997"/>
    <w:rsid w:val="006F68E2"/>
    <w:rsid w:val="00701D3A"/>
    <w:rsid w:val="007311C2"/>
    <w:rsid w:val="00750563"/>
    <w:rsid w:val="0080285A"/>
    <w:rsid w:val="00816CB8"/>
    <w:rsid w:val="00852CDD"/>
    <w:rsid w:val="00A662F6"/>
    <w:rsid w:val="00A87B35"/>
    <w:rsid w:val="00AD2810"/>
    <w:rsid w:val="00B71BFC"/>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CFBBC197C4084BA8995B8C7AF7D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FBA8C74C6E54A74ADF8A28B0758A6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D96B62644A14108B5165B0B3700337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2512</Words>
  <Characters>2757</Characters>
  <Lines>36</Lines>
  <Paragraphs>10</Paragraphs>
  <TotalTime>3</TotalTime>
  <ScaleCrop>false</ScaleCrop>
  <LinksUpToDate>false</LinksUpToDate>
  <CharactersWithSpaces>2806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2022-09-19T08:00:09Z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530341C43AEF48B6BD2D245A82FEDE8F</vt:lpwstr>
  </property>
</Properties>
</file>