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tbl>
      <w:tblPr>
        <w:tblStyle w:val="8"/>
        <w:tblW w:w="9177" w:type="dxa"/>
        <w:tblInd w:w="93" w:type="dxa"/>
        <w:tblLayout w:type="fixed"/>
        <w:tblCellMar>
          <w:top w:w="0" w:type="dxa"/>
          <w:left w:w="108" w:type="dxa"/>
          <w:bottom w:w="0" w:type="dxa"/>
          <w:right w:w="108" w:type="dxa"/>
        </w:tblCellMar>
      </w:tblPr>
      <w:tblGrid>
        <w:gridCol w:w="799"/>
        <w:gridCol w:w="4376"/>
        <w:gridCol w:w="944"/>
        <w:gridCol w:w="779"/>
        <w:gridCol w:w="1110"/>
        <w:gridCol w:w="1169"/>
      </w:tblGrid>
      <w:tr>
        <w:tblPrEx>
          <w:tblCellMar>
            <w:top w:w="0" w:type="dxa"/>
            <w:left w:w="108" w:type="dxa"/>
            <w:bottom w:w="0" w:type="dxa"/>
            <w:right w:w="108" w:type="dxa"/>
          </w:tblCellMar>
        </w:tblPrEx>
        <w:trPr>
          <w:trHeight w:val="818"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工程量名称及工程规格说明</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一</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内科楼防雷整改</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避雷网安装 沿女儿墙敷设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0.600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模块式电涌保护器安装 总配电箱电涌保护器 雷电流通量(10/350μS I类试验) 380V ≥12.5KA</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176"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成套配电箱安装 悬挂嵌入式(半周长m) 0.5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sz w:val="21"/>
                <w:szCs w:val="21"/>
                <w:u w:val="none"/>
                <w:lang w:val="en-US" w:eastAsia="zh-CN"/>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小型空气漏电保护开关 三相</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砖、混凝土结构明配 刚性阻燃管公称口径(mm以内) 20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0.0500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母线、避雷器、电容器调试  避雷器 1 KV以下</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组</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sz w:val="24"/>
                <w:szCs w:val="24"/>
                <w:u w:val="none"/>
                <w:lang w:val="en-US" w:eastAsia="zh-CN"/>
              </w:rPr>
              <w:t>二</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kern w:val="0"/>
                <w:sz w:val="24"/>
                <w:szCs w:val="24"/>
                <w:u w:val="none"/>
                <w:lang w:val="en-US" w:eastAsia="zh-CN" w:bidi="ar"/>
              </w:rPr>
              <w:t>后勤综合楼防雷整改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模块式电涌保护器安装 总配电箱电涌保护器 雷电流通量(10/350μS I类试验) 380V ≥12.5KA</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成套配电箱安装 悬挂嵌入式(半周长m) 0.5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小型空气漏电保护开关 三相</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砖、混凝土结构明配 刚性阻燃管公称口径(mm以内) 20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100m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母线、避雷器、电容器调试  避雷器 1 KV以下</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组</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sz w:val="24"/>
                <w:szCs w:val="24"/>
                <w:u w:val="none"/>
                <w:lang w:val="en-US" w:eastAsia="zh-CN"/>
              </w:rPr>
              <w:t>三</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kern w:val="0"/>
                <w:sz w:val="24"/>
                <w:szCs w:val="24"/>
                <w:u w:val="none"/>
                <w:lang w:val="en-US" w:eastAsia="zh-CN" w:bidi="ar"/>
              </w:rPr>
              <w:t>制剂楼防雷整改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避雷网安装 沿女儿墙敷设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避雷引下线敷设 沿建筑、构筑物明敷引下</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避雷针制作 圆钢避雷针制作 2m以内</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模块式电涌保护器安装 总配电箱电涌保护器 雷电流通量(10/350μS I类试验) 380V ≥12.5KA</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成套配电箱安装 悬挂嵌入式(半周长m) 0.5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小型空气漏电保护开关 三相</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砖、混凝土结构明配 刚性阻燃管公称口径(mm以内) 20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避雷引下线敷设 钢断接卡子制作、安装</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母线、避雷器、电容器调试  避雷器 1 KV以下</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四</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kern w:val="0"/>
                <w:sz w:val="24"/>
                <w:szCs w:val="24"/>
                <w:u w:val="none"/>
                <w:lang w:val="en-US" w:eastAsia="zh-CN" w:bidi="ar"/>
              </w:rPr>
              <w:t>肝科楼防雷整改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避雷网安装 沿女儿墙敷设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避雷引下线敷设 沿建筑、构筑物明敷引下</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避雷针制作 圆钢避雷针制作 2m以内</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模块式电涌保护器安装 总配电箱电涌保护器 雷电流通量(10/350μS I类试验) 380V ≥12.5KA</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成套配电箱安装 悬挂嵌入式(半周长m) 0.5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小型空气漏电保护开关 三相</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砖、混凝土结构明配 刚性阻燃管公称口径(mm以内) 20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避雷引下线敷设 钢断接卡子制作、安装</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五</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kern w:val="0"/>
                <w:sz w:val="24"/>
                <w:szCs w:val="24"/>
                <w:u w:val="none"/>
                <w:lang w:val="en-US" w:eastAsia="zh-CN" w:bidi="ar"/>
              </w:rPr>
              <w:t>门诊综合楼防雷整改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砖、混凝土结构明配 刚性阻燃管公称口径(mm以内) 20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0.3000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等电位连接、接地测试板</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六</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bidi="ar"/>
              </w:rPr>
              <w:t>门诊综合楼21层信息机房供电房</w:t>
            </w:r>
            <w:r>
              <w:rPr>
                <w:rFonts w:hint="eastAsia" w:ascii="宋体" w:hAnsi="宋体" w:cs="宋体"/>
                <w:b/>
                <w:bCs/>
                <w:i w:val="0"/>
                <w:iCs w:val="0"/>
                <w:color w:val="000000"/>
                <w:kern w:val="0"/>
                <w:sz w:val="24"/>
                <w:szCs w:val="24"/>
                <w:u w:val="none"/>
                <w:lang w:val="en-US" w:eastAsia="zh-CN" w:bidi="ar"/>
              </w:rPr>
              <w:t>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等电位连接、接地测试板</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七</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bidi="ar"/>
              </w:rPr>
              <w:t>门诊综合楼21层信息机房</w:t>
            </w:r>
            <w:r>
              <w:rPr>
                <w:rFonts w:hint="eastAsia" w:ascii="宋体" w:hAnsi="宋体" w:cs="宋体"/>
                <w:b/>
                <w:bCs/>
                <w:i w:val="0"/>
                <w:iCs w:val="0"/>
                <w:color w:val="000000"/>
                <w:kern w:val="0"/>
                <w:sz w:val="24"/>
                <w:szCs w:val="24"/>
                <w:u w:val="none"/>
                <w:lang w:val="en-US" w:eastAsia="zh-CN" w:bidi="ar"/>
              </w:rPr>
              <w:t>防雷整改</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铜接地母线敷设 铜接地绞线敷设 截面(m㎡以内)150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压铜接线端子 导线截面(m㎡ 以内) 16</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开凿及修复</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等电位连接、接地测试板</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八</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合计（含税）</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bl>
    <w:p>
      <w:pPr>
        <w:pStyle w:val="2"/>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rPr>
          <w:rFonts w:hint="eastAsia" w:ascii="宋体" w:hAnsi="宋体" w:eastAsia="宋体" w:cs="宋体"/>
          <w:i w:val="0"/>
          <w:iCs w:val="0"/>
          <w:caps w:val="0"/>
          <w:color w:val="333333"/>
          <w:spacing w:val="0"/>
          <w:sz w:val="24"/>
          <w:szCs w:val="24"/>
          <w:shd w:val="clear" w:fill="FFFFFF"/>
          <w:lang w:eastAsia="zh-CN"/>
        </w:rPr>
      </w:pPr>
      <w:r>
        <w:rPr>
          <w:rFonts w:hint="eastAsia" w:cs="Times New Roman"/>
          <w:color w:val="000000"/>
          <w:kern w:val="0"/>
          <w:sz w:val="24"/>
          <w:szCs w:val="24"/>
          <w:lang w:val="en-US" w:eastAsia="zh-CN" w:bidi="ar-SA"/>
        </w:rPr>
        <w:t>1、按照建筑物防雷设计规范（GB50057-2010）及有关几时规定施工</w:t>
      </w:r>
      <w:r>
        <w:rPr>
          <w:rFonts w:hint="eastAsia" w:ascii="宋体" w:hAnsi="宋体" w:cs="宋体"/>
          <w:color w:val="000000" w:themeColor="text1"/>
          <w:kern w:val="0"/>
          <w:sz w:val="24"/>
          <w:szCs w:val="24"/>
          <w:lang w:val="en-US" w:eastAsia="zh-CN" w:bidi="ar-SA"/>
          <w14:textFill>
            <w14:solidFill>
              <w14:schemeClr w14:val="tx1"/>
            </w14:solidFill>
          </w14:textFill>
        </w:rPr>
        <w:t>。</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lang w:val="en-US" w:eastAsia="zh-CN"/>
        </w:rPr>
        <w:t>5、投标人所投产品必须</w:t>
      </w:r>
      <w:r>
        <w:rPr>
          <w:rFonts w:hint="eastAsia"/>
          <w:color w:val="auto"/>
        </w:rPr>
        <w:t>提供产品“三包”服务；其他售后服务按厂家承诺实行。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eastAsia="宋体" w:cs="宋体"/>
          <w:lang w:val="en-US" w:eastAsia="zh-CN"/>
        </w:rPr>
      </w:pPr>
      <w:r>
        <w:rPr>
          <w:rFonts w:hint="eastAsia" w:cs="宋体"/>
          <w:lang w:val="en-US" w:eastAsia="zh-CN"/>
        </w:rPr>
        <w:t>4）</w:t>
      </w:r>
      <w:r>
        <w:rPr>
          <w:rFonts w:hint="eastAsia" w:cs="宋体"/>
          <w:color w:val="000000" w:themeColor="text1"/>
          <w:kern w:val="0"/>
          <w:sz w:val="24"/>
          <w:szCs w:val="24"/>
          <w:lang w:eastAsia="zh-CN"/>
          <w14:textFill>
            <w14:solidFill>
              <w14:schemeClr w14:val="tx1"/>
            </w14:solidFill>
          </w14:textFill>
        </w:rPr>
        <w:t>营业范围具备特种防雷施工资质</w:t>
      </w:r>
      <w:r>
        <w:rPr>
          <w:rFonts w:hint="eastAsia"/>
          <w:lang w:eastAsia="zh-CN"/>
        </w:rPr>
        <w:t>。</w:t>
      </w:r>
    </w:p>
    <w:p>
      <w:pPr>
        <w:pStyle w:val="2"/>
        <w:ind w:left="-708" w:leftChars="-337"/>
        <w:rPr>
          <w:rFonts w:hint="eastAsia" w:cs="宋体"/>
          <w:color w:val="auto"/>
        </w:rPr>
      </w:pPr>
      <w:r>
        <w:rPr>
          <w:rFonts w:hint="eastAsia" w:cs="宋体"/>
          <w:lang w:val="en-US" w:eastAsia="zh-CN"/>
        </w:rPr>
        <w:t>5）</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质保期：施工</w:t>
      </w:r>
      <w:r>
        <w:rPr>
          <w:rFonts w:hint="eastAsia"/>
          <w:color w:val="000000" w:themeColor="text1"/>
          <w14:textFill>
            <w14:solidFill>
              <w14:schemeClr w14:val="tx1"/>
            </w14:solidFill>
          </w14:textFill>
        </w:rPr>
        <w:t>完毕通过验收投入使用之日起不少于1年。</w:t>
      </w:r>
    </w:p>
    <w:p>
      <w:pPr>
        <w:pStyle w:val="2"/>
        <w:ind w:left="-708" w:leftChars="-337"/>
        <w:rPr>
          <w:rFonts w:hint="eastAsia"/>
          <w:lang w:val="en-US" w:eastAsia="zh-CN"/>
        </w:rPr>
      </w:pPr>
      <w:r>
        <w:rPr>
          <w:rFonts w:hint="eastAsia"/>
          <w:lang w:val="en-US" w:eastAsia="zh-CN"/>
        </w:rPr>
        <w:t>2）维修</w:t>
      </w:r>
      <w:r>
        <w:rPr>
          <w:rFonts w:hint="eastAsia"/>
        </w:rPr>
        <w:t>处理：</w:t>
      </w:r>
      <w:r>
        <w:rPr>
          <w:rFonts w:hint="eastAsia"/>
          <w:lang w:val="en-US" w:eastAsia="zh-CN"/>
        </w:rPr>
        <w:t>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rPr>
        <w:t>交货地点为：</w:t>
      </w:r>
      <w:r>
        <w:rPr>
          <w:rFonts w:hint="eastAsia" w:cs="宋体"/>
          <w:kern w:val="0"/>
          <w:sz w:val="24"/>
          <w:szCs w:val="24"/>
          <w:highlight w:val="yellow"/>
        </w:rPr>
        <w:t>广西</w:t>
      </w:r>
      <w:r>
        <w:rPr>
          <w:rFonts w:hint="eastAsia" w:cs="宋体"/>
          <w:kern w:val="0"/>
          <w:sz w:val="24"/>
          <w:szCs w:val="24"/>
          <w:highlight w:val="yellow"/>
          <w:lang w:eastAsia="zh-CN"/>
        </w:rPr>
        <w:t>梧州市西江四路金鸡冲</w:t>
      </w:r>
      <w:r>
        <w:rPr>
          <w:rFonts w:hint="eastAsia" w:cs="宋体"/>
          <w:kern w:val="0"/>
          <w:sz w:val="24"/>
          <w:szCs w:val="24"/>
          <w:highlight w:val="yellow"/>
          <w:lang w:val="en-US" w:eastAsia="zh-CN"/>
        </w:rPr>
        <w:t>1号</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4）付款条件（进度和方式）：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经验收合格后，付合同款的 </w:t>
      </w:r>
      <w:r>
        <w:rPr>
          <w:rFonts w:hint="eastAsia" w:cs="宋体"/>
          <w:kern w:val="0"/>
          <w:sz w:val="24"/>
          <w:szCs w:val="24"/>
          <w:highlight w:val="yellow"/>
          <w:lang w:val="en-US" w:eastAsia="zh-CN"/>
        </w:rPr>
        <w:t xml:space="preserve"> 95 </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 xml:space="preserve">余  </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1</w:t>
      </w:r>
      <w:r>
        <w:rPr>
          <w:rFonts w:hint="eastAsia" w:cs="宋体"/>
          <w:kern w:val="0"/>
          <w:sz w:val="24"/>
          <w:szCs w:val="24"/>
          <w:highlight w:val="yellow"/>
        </w:rPr>
        <w:t xml:space="preserve"> </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15个历日</w:t>
          </w:r>
        </w:sdtContent>
      </w:sdt>
      <w:r>
        <w:rPr>
          <w:rFonts w:hint="eastAsia" w:cs="宋体"/>
          <w:kern w:val="0"/>
          <w:sz w:val="24"/>
          <w:szCs w:val="24"/>
        </w:rPr>
        <w:t>内签订采购合同。</w:t>
      </w:r>
    </w:p>
    <w:p>
      <w:pPr>
        <w:widowControl/>
        <w:spacing w:line="360" w:lineRule="auto"/>
        <w:ind w:left="-708" w:leftChars="-338" w:hanging="2"/>
        <w:jc w:val="left"/>
        <w:rPr>
          <w:rFonts w:hint="eastAsia"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widowControl/>
        <w:spacing w:line="360" w:lineRule="auto"/>
        <w:ind w:left="-708" w:leftChars="-338" w:hanging="2"/>
        <w:jc w:val="left"/>
        <w:rPr>
          <w:rFonts w:hint="eastAsia" w:eastAsia="宋体"/>
          <w:sz w:val="24"/>
          <w:szCs w:val="24"/>
          <w:lang w:eastAsia="zh-CN"/>
        </w:rPr>
      </w:pPr>
      <w:r>
        <w:rPr>
          <w:rFonts w:hint="eastAsia"/>
          <w:sz w:val="24"/>
          <w:szCs w:val="24"/>
          <w:lang w:eastAsia="zh-CN"/>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1E08"/>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C05EEA"/>
    <w:rsid w:val="10C97A40"/>
    <w:rsid w:val="122B15C9"/>
    <w:rsid w:val="21466CC1"/>
    <w:rsid w:val="2218153E"/>
    <w:rsid w:val="22430C86"/>
    <w:rsid w:val="26431704"/>
    <w:rsid w:val="2AEF452E"/>
    <w:rsid w:val="2E44559E"/>
    <w:rsid w:val="3194337D"/>
    <w:rsid w:val="3737378F"/>
    <w:rsid w:val="3806606D"/>
    <w:rsid w:val="397701BE"/>
    <w:rsid w:val="3F8769CB"/>
    <w:rsid w:val="41366ED0"/>
    <w:rsid w:val="4D010A26"/>
    <w:rsid w:val="52AB780D"/>
    <w:rsid w:val="55AE090F"/>
    <w:rsid w:val="56E10C5F"/>
    <w:rsid w:val="67AC64ED"/>
    <w:rsid w:val="6A513DD5"/>
    <w:rsid w:val="6CA37AD2"/>
    <w:rsid w:val="6CB86784"/>
    <w:rsid w:val="6DD0797D"/>
    <w:rsid w:val="71754026"/>
    <w:rsid w:val="74730AA2"/>
    <w:rsid w:val="74B5471E"/>
    <w:rsid w:val="751C6676"/>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 w:type="character" w:customStyle="1" w:styleId="22">
    <w:name w:val="font21"/>
    <w:basedOn w:val="10"/>
    <w:qFormat/>
    <w:uiPriority w:val="0"/>
    <w:rPr>
      <w:rFonts w:hint="eastAsia" w:ascii="黑体" w:hAnsi="宋体" w:eastAsia="黑体" w:cs="黑体"/>
      <w:color w:val="000000"/>
      <w:sz w:val="28"/>
      <w:szCs w:val="28"/>
      <w:u w:val="none"/>
    </w:rPr>
  </w:style>
  <w:style w:type="character" w:customStyle="1" w:styleId="23">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2484</Words>
  <Characters>2858</Characters>
  <Lines>26</Lines>
  <Paragraphs>7</Paragraphs>
  <TotalTime>1</TotalTime>
  <ScaleCrop>false</ScaleCrop>
  <LinksUpToDate>false</LinksUpToDate>
  <CharactersWithSpaces>2999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2022-11-10T03:28:53Z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BC6B623858AD4EF6B8932C9852D63447</vt:lpwstr>
  </property>
</Properties>
</file>