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17" w:firstLineChars="199"/>
        <w:rPr>
          <w:color w:val="FF0000"/>
          <w:sz w:val="21"/>
          <w:szCs w:val="21"/>
        </w:rPr>
      </w:pPr>
      <w:r>
        <w:rPr>
          <w:rFonts w:hint="eastAsia"/>
          <w:color w:val="FF0000"/>
          <w:sz w:val="21"/>
          <w:szCs w:val="21"/>
        </w:rPr>
        <w:t>其他参数为一般参数，不满足是扣分</w:t>
      </w:r>
    </w:p>
    <w:p>
      <w:pPr>
        <w:pStyle w:val="2"/>
        <w:ind w:left="-708" w:leftChars="-337" w:firstLine="562" w:firstLineChars="200"/>
        <w:rPr>
          <w:rFonts w:cs="宋体"/>
          <w:b/>
          <w:bCs/>
          <w:sz w:val="28"/>
          <w:szCs w:val="28"/>
        </w:rPr>
      </w:pPr>
      <w:r>
        <w:rPr>
          <w:rFonts w:hint="eastAsia" w:cs="宋体"/>
          <w:b/>
          <w:bCs/>
          <w:sz w:val="28"/>
          <w:szCs w:val="28"/>
        </w:rPr>
        <w:t>一、采购清单、技术规格参数、质量标准和要求</w:t>
      </w:r>
    </w:p>
    <w:p>
      <w:pPr>
        <w:pStyle w:val="2"/>
        <w:ind w:left="-225" w:leftChars="-107" w:firstLine="0" w:firstLineChars="0"/>
        <w:rPr>
          <w:b/>
          <w:bCs/>
        </w:rPr>
      </w:pPr>
      <w:r>
        <w:rPr>
          <w:rFonts w:hint="eastAsia" w:cs="宋体"/>
          <w:b/>
          <w:bCs/>
        </w:rPr>
        <w:t>（一）</w:t>
      </w:r>
      <w:r>
        <w:rPr>
          <w:rFonts w:hint="eastAsia" w:cs="宋体"/>
        </w:rPr>
        <w:t>采购清单</w:t>
      </w:r>
      <w:r>
        <w:t> </w:t>
      </w:r>
      <w:r>
        <w:rPr>
          <w:rFonts w:hint="eastAsia"/>
        </w:rPr>
        <w:t>：</w:t>
      </w:r>
    </w:p>
    <w:tbl>
      <w:tblPr>
        <w:tblStyle w:val="13"/>
        <w:tblW w:w="9935" w:type="dxa"/>
        <w:tblInd w:w="-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883"/>
        <w:gridCol w:w="767"/>
        <w:gridCol w:w="4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65" w:type="dxa"/>
          </w:tcPr>
          <w:p>
            <w:pPr>
              <w:pStyle w:val="2"/>
              <w:jc w:val="both"/>
            </w:pPr>
            <w:r>
              <w:rPr>
                <w:rFonts w:hint="eastAsia"/>
              </w:rPr>
              <w:t>序号</w:t>
            </w:r>
          </w:p>
        </w:tc>
        <w:tc>
          <w:tcPr>
            <w:tcW w:w="3883" w:type="dxa"/>
          </w:tcPr>
          <w:p>
            <w:pPr>
              <w:pStyle w:val="2"/>
              <w:ind w:firstLine="720" w:firstLineChars="300"/>
              <w:jc w:val="both"/>
            </w:pPr>
            <w:r>
              <w:rPr>
                <w:rFonts w:hint="eastAsia"/>
              </w:rPr>
              <w:t>名称</w:t>
            </w:r>
          </w:p>
        </w:tc>
        <w:tc>
          <w:tcPr>
            <w:tcW w:w="767" w:type="dxa"/>
          </w:tcPr>
          <w:p>
            <w:pPr>
              <w:pStyle w:val="2"/>
              <w:jc w:val="both"/>
            </w:pPr>
            <w:r>
              <w:rPr>
                <w:rFonts w:hint="eastAsia"/>
              </w:rPr>
              <w:t>数量</w:t>
            </w:r>
          </w:p>
        </w:tc>
        <w:tc>
          <w:tcPr>
            <w:tcW w:w="4520" w:type="dxa"/>
          </w:tcPr>
          <w:p>
            <w:pPr>
              <w:pStyle w:val="2"/>
              <w:jc w:val="both"/>
            </w:pPr>
            <w:r>
              <w:rPr>
                <w:rFonts w:hint="eastAsia"/>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765" w:type="dxa"/>
          </w:tcPr>
          <w:p>
            <w:pPr>
              <w:pStyle w:val="2"/>
              <w:jc w:val="both"/>
            </w:pPr>
            <w:r>
              <w:rPr>
                <w:rFonts w:hint="eastAsia"/>
              </w:rPr>
              <w:t>1</w:t>
            </w:r>
          </w:p>
        </w:tc>
        <w:tc>
          <w:tcPr>
            <w:tcW w:w="3883" w:type="dxa"/>
          </w:tcPr>
          <w:p>
            <w:pPr>
              <w:pStyle w:val="2"/>
              <w:jc w:val="both"/>
              <w:rPr>
                <w:rFonts w:hint="eastAsia" w:ascii="宋体" w:hAnsi="宋体" w:eastAsia="宋体" w:cs="宋体"/>
                <w:lang w:val="en-US" w:eastAsia="zh-CN"/>
              </w:rPr>
            </w:pPr>
            <w:r>
              <w:rPr>
                <w:rFonts w:hint="eastAsia" w:cs="Times New Roman"/>
                <w:b w:val="0"/>
                <w:bCs/>
                <w:color w:val="000000" w:themeColor="text1"/>
                <w:sz w:val="24"/>
                <w:szCs w:val="24"/>
                <w:lang w:eastAsia="zh-CN"/>
                <w14:textFill>
                  <w14:solidFill>
                    <w14:schemeClr w14:val="tx1"/>
                  </w14:solidFill>
                </w14:textFill>
              </w:rPr>
              <w:t>结石红外光谱自动分析系统</w:t>
            </w:r>
          </w:p>
        </w:tc>
        <w:tc>
          <w:tcPr>
            <w:tcW w:w="767" w:type="dxa"/>
          </w:tcPr>
          <w:p>
            <w:pPr>
              <w:pStyle w:val="2"/>
              <w:jc w:val="both"/>
              <w:rPr>
                <w:rFonts w:ascii="宋体" w:hAnsi="宋体" w:cs="宋体"/>
              </w:rPr>
            </w:pPr>
            <w:r>
              <w:rPr>
                <w:rFonts w:ascii="宋体" w:hAnsi="宋体" w:cs="宋体"/>
              </w:rPr>
              <w:t>1</w:t>
            </w:r>
            <w:r>
              <w:rPr>
                <w:rFonts w:hint="eastAsia" w:ascii="宋体" w:hAnsi="宋体" w:cs="宋体"/>
              </w:rPr>
              <w:t>套</w:t>
            </w:r>
          </w:p>
        </w:tc>
        <w:tc>
          <w:tcPr>
            <w:tcW w:w="4520" w:type="dxa"/>
          </w:tcPr>
          <w:p>
            <w:pPr>
              <w:widowControl/>
              <w:spacing w:line="360" w:lineRule="auto"/>
              <w:ind w:left="-708" w:firstLine="720" w:firstLineChars="300"/>
              <w:jc w:val="left"/>
              <w:rPr>
                <w:rFonts w:ascii="宋体" w:hAnsi="宋体" w:cs="宋体"/>
                <w:b/>
                <w:bCs/>
                <w:sz w:val="24"/>
                <w:szCs w:val="24"/>
              </w:rPr>
            </w:pPr>
            <w:r>
              <w:rPr>
                <w:rFonts w:hint="eastAsia" w:ascii="宋体" w:hAnsi="宋体" w:cs="宋体"/>
                <w:sz w:val="24"/>
                <w:szCs w:val="24"/>
              </w:rPr>
              <w:t>详见</w:t>
            </w:r>
            <w:r>
              <w:rPr>
                <w:rFonts w:hint="eastAsia" w:cs="宋体"/>
                <w:sz w:val="24"/>
                <w:szCs w:val="24"/>
              </w:rPr>
              <w:t>技术参数、性能（配置）及其他要求</w:t>
            </w:r>
          </w:p>
        </w:tc>
      </w:tr>
    </w:tbl>
    <w:p>
      <w:pPr>
        <w:pStyle w:val="2"/>
        <w:ind w:left="-226" w:leftChars="-337" w:hanging="482" w:hangingChars="200"/>
        <w:rPr>
          <w:rFonts w:hint="default" w:eastAsia="宋体"/>
          <w:b/>
          <w:bCs/>
          <w:lang w:val="en-US" w:eastAsia="zh-CN"/>
        </w:rPr>
      </w:pPr>
      <w:r>
        <w:rPr>
          <w:rFonts w:hint="eastAsia"/>
          <w:b/>
          <w:bCs/>
          <w:lang w:val="en-US" w:eastAsia="zh-CN"/>
        </w:rPr>
        <w:t xml:space="preserve">   </w:t>
      </w:r>
    </w:p>
    <w:p>
      <w:pPr>
        <w:pStyle w:val="2"/>
        <w:ind w:left="-225" w:leftChars="-107" w:firstLine="0" w:firstLineChars="0"/>
        <w:rPr>
          <w:rFonts w:hint="eastAsia" w:cs="宋体"/>
          <w:b/>
          <w:bCs/>
        </w:rPr>
      </w:pPr>
      <w:r>
        <w:rPr>
          <w:rFonts w:hint="eastAsia"/>
          <w:b/>
          <w:bCs/>
        </w:rPr>
        <w:t>（二）</w:t>
      </w:r>
      <w:r>
        <w:rPr>
          <w:rFonts w:hint="eastAsia" w:cs="宋体"/>
          <w:b/>
          <w:bCs/>
        </w:rPr>
        <w:t>技术参数、性能（配置）及其他要求</w:t>
      </w:r>
    </w:p>
    <w:p>
      <w:pPr>
        <w:rPr>
          <w:sz w:val="24"/>
          <w:szCs w:val="24"/>
        </w:rPr>
      </w:pPr>
      <w:r>
        <w:rPr>
          <w:rFonts w:hint="eastAsia"/>
          <w:sz w:val="24"/>
          <w:szCs w:val="24"/>
        </w:rPr>
        <w:t>1</w:t>
      </w:r>
      <w:r>
        <w:rPr>
          <w:sz w:val="24"/>
          <w:szCs w:val="24"/>
        </w:rPr>
        <w:t>.运用于适合采用红外光谱分析法的泌尿系结石成分的定性分析，根据结石成份自动提供相应的预防措施和自检报告</w:t>
      </w:r>
    </w:p>
    <w:p>
      <w:pPr>
        <w:rPr>
          <w:rFonts w:hint="eastAsia"/>
          <w:sz w:val="24"/>
          <w:szCs w:val="24"/>
        </w:rPr>
      </w:pPr>
      <w:r>
        <w:rPr>
          <w:rFonts w:hint="eastAsia"/>
          <w:sz w:val="24"/>
          <w:szCs w:val="24"/>
        </w:rPr>
        <w:t>2</w:t>
      </w:r>
      <w:r>
        <w:rPr>
          <w:sz w:val="24"/>
          <w:szCs w:val="24"/>
        </w:rPr>
        <w:t>.</w:t>
      </w:r>
      <w:r>
        <w:rPr>
          <w:rFonts w:hint="eastAsia" w:ascii="宋体" w:hAnsi="宋体"/>
          <w:color w:val="000000"/>
          <w:sz w:val="24"/>
          <w:szCs w:val="24"/>
        </w:rPr>
        <w:t xml:space="preserve"> 采用物理红外光谱自动分析法，并结合临床结石成分分析的医学检验依据，通过数模计算的方式自动得出结石准确成分，并自动提供相应的防治方案.</w:t>
      </w:r>
    </w:p>
    <w:p>
      <w:pPr>
        <w:rPr>
          <w:sz w:val="24"/>
          <w:szCs w:val="24"/>
        </w:rPr>
      </w:pPr>
      <w:r>
        <w:rPr>
          <w:sz w:val="24"/>
          <w:szCs w:val="24"/>
        </w:rPr>
        <w:t>3. 参数要求：</w:t>
      </w:r>
    </w:p>
    <w:p>
      <w:pPr>
        <w:rPr>
          <w:sz w:val="24"/>
          <w:szCs w:val="24"/>
        </w:rPr>
      </w:pPr>
      <w:r>
        <w:rPr>
          <w:rFonts w:hint="eastAsia" w:ascii="宋体" w:hAnsi="宋体"/>
          <w:sz w:val="24"/>
          <w:szCs w:val="24"/>
        </w:rPr>
        <w:t>★</w:t>
      </w:r>
      <w:r>
        <w:rPr>
          <w:sz w:val="24"/>
          <w:szCs w:val="24"/>
        </w:rPr>
        <w:t xml:space="preserve">3.1 基线直线性：≤±1％ </w:t>
      </w:r>
    </w:p>
    <w:p>
      <w:pPr>
        <w:rPr>
          <w:sz w:val="24"/>
          <w:szCs w:val="24"/>
        </w:rPr>
      </w:pPr>
      <w:r>
        <w:rPr>
          <w:rFonts w:hint="eastAsia" w:ascii="宋体" w:hAnsi="宋体"/>
          <w:sz w:val="24"/>
          <w:szCs w:val="24"/>
        </w:rPr>
        <w:t>★</w:t>
      </w:r>
      <w:r>
        <w:rPr>
          <w:sz w:val="24"/>
          <w:szCs w:val="24"/>
        </w:rPr>
        <w:t>3.2 信噪比：＞15000：1( P-P 值)（2100 cm-1 附近，1 分 钟）</w:t>
      </w:r>
    </w:p>
    <w:p>
      <w:pPr>
        <w:rPr>
          <w:color w:val="000000"/>
          <w:sz w:val="24"/>
          <w:szCs w:val="24"/>
        </w:rPr>
      </w:pPr>
      <w:r>
        <w:rPr>
          <w:sz w:val="24"/>
          <w:szCs w:val="24"/>
        </w:rPr>
        <w:t xml:space="preserve"> 3.3 光谱拓展范围：7800 cm-1～350 cm-1</w:t>
      </w:r>
    </w:p>
    <w:p>
      <w:pPr>
        <w:rPr>
          <w:sz w:val="24"/>
          <w:szCs w:val="24"/>
        </w:rPr>
      </w:pPr>
      <w:r>
        <w:rPr>
          <w:sz w:val="24"/>
          <w:szCs w:val="24"/>
        </w:rPr>
        <w:t xml:space="preserve">3.4 透射比重复性：≤0.5％ </w:t>
      </w:r>
    </w:p>
    <w:p>
      <w:pPr>
        <w:rPr>
          <w:sz w:val="24"/>
          <w:szCs w:val="24"/>
        </w:rPr>
      </w:pPr>
      <w:r>
        <w:rPr>
          <w:rFonts w:hint="eastAsia" w:ascii="宋体" w:hAnsi="宋体"/>
          <w:sz w:val="24"/>
          <w:szCs w:val="24"/>
        </w:rPr>
        <w:t>★</w:t>
      </w:r>
      <w:r>
        <w:rPr>
          <w:sz w:val="24"/>
          <w:szCs w:val="24"/>
        </w:rPr>
        <w:t xml:space="preserve">3.5 检测器：高灵敏度 DLATGS 检测器 </w:t>
      </w:r>
    </w:p>
    <w:p>
      <w:pPr>
        <w:rPr>
          <w:sz w:val="24"/>
          <w:szCs w:val="24"/>
        </w:rPr>
      </w:pPr>
      <w:r>
        <w:rPr>
          <w:sz w:val="24"/>
          <w:szCs w:val="24"/>
        </w:rPr>
        <w:t>3.6 分束器：溴化钾基片镀锗（KBr/Ge）</w:t>
      </w:r>
    </w:p>
    <w:p>
      <w:pPr>
        <w:rPr>
          <w:sz w:val="24"/>
          <w:szCs w:val="24"/>
        </w:rPr>
      </w:pPr>
      <w:r>
        <w:rPr>
          <w:sz w:val="24"/>
          <w:szCs w:val="24"/>
        </w:rPr>
        <w:t xml:space="preserve"> 3.7 光源：红外光源（高效能的陶瓷空冷红外光源） </w:t>
      </w:r>
    </w:p>
    <w:p>
      <w:pPr>
        <w:rPr>
          <w:sz w:val="24"/>
          <w:szCs w:val="24"/>
        </w:rPr>
      </w:pPr>
      <w:r>
        <w:rPr>
          <w:rFonts w:hint="eastAsia" w:ascii="宋体" w:hAnsi="宋体"/>
          <w:sz w:val="24"/>
          <w:szCs w:val="24"/>
        </w:rPr>
        <w:t>★</w:t>
      </w:r>
      <w:r>
        <w:rPr>
          <w:sz w:val="24"/>
          <w:szCs w:val="24"/>
        </w:rPr>
        <w:t>3.8 仪器自检：仪器定期自诊断或联网诊断，并自动生成自 检评估报告，引入精准、及时的客户服务，减轻了操作人员对 仪器维护的工作量，解决使用过程中的一切隐患，保证分析结 果的准确性。（有仪器自检硬件配套工具）。</w:t>
      </w:r>
    </w:p>
    <w:p>
      <w:pPr>
        <w:rPr>
          <w:sz w:val="24"/>
          <w:szCs w:val="24"/>
        </w:rPr>
      </w:pPr>
      <w:r>
        <w:rPr>
          <w:sz w:val="24"/>
          <w:szCs w:val="24"/>
        </w:rPr>
        <w:t xml:space="preserve"> 3.9 干涉仪：立体角镜干涉仪 </w:t>
      </w:r>
    </w:p>
    <w:p>
      <w:pPr>
        <w:rPr>
          <w:sz w:val="24"/>
          <w:szCs w:val="24"/>
        </w:rPr>
      </w:pPr>
      <w:r>
        <w:rPr>
          <w:sz w:val="24"/>
          <w:szCs w:val="24"/>
        </w:rPr>
        <w:t xml:space="preserve">3.10 电磁兼容性 EMC 认证：通过电磁兼容 EMC 的检测认证并 提供 EMC 检验报告，保证设备或系统在其电磁环境中能正常工 作且不对该环境中其他设备构成不能承受电磁骚扰的能力，维 护设备本身和其他设备安全稳定的正常运转。 </w:t>
      </w:r>
    </w:p>
    <w:p>
      <w:pPr>
        <w:rPr>
          <w:sz w:val="24"/>
          <w:szCs w:val="24"/>
        </w:rPr>
      </w:pPr>
      <w:r>
        <w:rPr>
          <w:sz w:val="24"/>
          <w:szCs w:val="24"/>
        </w:rPr>
        <w:t xml:space="preserve">3.11 性能： 全自动化：可全自动分析结石的精准成分,自动提供完整的检 测预防报告，自动进行仪器自诊断或联网诊断，并出据自检报告，最大化防止仪器故障，保证分析结果的准确性。 </w:t>
      </w:r>
    </w:p>
    <w:p>
      <w:pPr>
        <w:rPr>
          <w:sz w:val="24"/>
          <w:szCs w:val="24"/>
        </w:rPr>
      </w:pPr>
      <w:r>
        <w:rPr>
          <w:sz w:val="24"/>
          <w:szCs w:val="24"/>
        </w:rPr>
        <w:t xml:space="preserve">3.12A/D 转换：24 位 A/D 转换器 </w:t>
      </w:r>
    </w:p>
    <w:p>
      <w:pPr>
        <w:rPr>
          <w:sz w:val="24"/>
          <w:szCs w:val="24"/>
        </w:rPr>
      </w:pPr>
      <w:r>
        <w:rPr>
          <w:rFonts w:hint="eastAsia" w:ascii="宋体" w:hAnsi="宋体"/>
          <w:sz w:val="24"/>
          <w:szCs w:val="24"/>
        </w:rPr>
        <w:t>★</w:t>
      </w:r>
      <w:r>
        <w:rPr>
          <w:sz w:val="24"/>
          <w:szCs w:val="24"/>
        </w:rPr>
        <w:t>3.13 质量管理体系：符合“ISO13485 医疗器械质量管理体 系的国际标准”</w:t>
      </w:r>
    </w:p>
    <w:p>
      <w:pPr>
        <w:rPr>
          <w:sz w:val="24"/>
          <w:szCs w:val="24"/>
        </w:rPr>
      </w:pPr>
      <w:r>
        <w:rPr>
          <w:sz w:val="24"/>
          <w:szCs w:val="24"/>
        </w:rPr>
        <w:t xml:space="preserve"> </w:t>
      </w:r>
      <w:r>
        <w:rPr>
          <w:rFonts w:hint="eastAsia" w:ascii="宋体" w:hAnsi="宋体"/>
          <w:sz w:val="24"/>
          <w:szCs w:val="24"/>
        </w:rPr>
        <w:t>★</w:t>
      </w:r>
      <w:r>
        <w:rPr>
          <w:sz w:val="24"/>
          <w:szCs w:val="24"/>
        </w:rPr>
        <w:t>3.14 远程监控：远程网络监控设备的使用情况，联网时报告将自动上传至公司的数据服务器，可对未检出成分进行指导 分析，更适合临床发展的需要，（具有远程监控硬件配套工具）。</w:t>
      </w:r>
    </w:p>
    <w:p>
      <w:pPr>
        <w:rPr>
          <w:sz w:val="24"/>
          <w:szCs w:val="24"/>
        </w:rPr>
      </w:pPr>
      <w:r>
        <w:rPr>
          <w:sz w:val="24"/>
          <w:szCs w:val="24"/>
        </w:rPr>
        <w:t xml:space="preserve"> </w:t>
      </w:r>
      <w:r>
        <w:rPr>
          <w:rFonts w:hint="eastAsia" w:ascii="宋体" w:hAnsi="宋体"/>
          <w:sz w:val="24"/>
          <w:szCs w:val="24"/>
        </w:rPr>
        <w:t>★</w:t>
      </w:r>
      <w:r>
        <w:rPr>
          <w:sz w:val="24"/>
          <w:szCs w:val="24"/>
        </w:rPr>
        <w:t>3.15 提供检测报告单及自检报告：仪器自动生成自检报告， 并根据结石成分自动给出相应的规范化防治方案的检验报告 单。</w:t>
      </w:r>
    </w:p>
    <w:p>
      <w:pPr>
        <w:rPr>
          <w:sz w:val="24"/>
          <w:szCs w:val="24"/>
        </w:rPr>
      </w:pPr>
      <w:r>
        <w:rPr>
          <w:sz w:val="24"/>
          <w:szCs w:val="24"/>
        </w:rPr>
        <w:t xml:space="preserve"> 3.16 主机：结石分析系统主机采用国外进口红外光谱仪，并 能提供半年以内的进口货物报关单。 </w:t>
      </w:r>
    </w:p>
    <w:p>
      <w:pPr>
        <w:rPr>
          <w:sz w:val="24"/>
          <w:szCs w:val="24"/>
        </w:rPr>
      </w:pPr>
      <w:r>
        <w:rPr>
          <w:sz w:val="24"/>
          <w:szCs w:val="24"/>
        </w:rPr>
        <w:t>4.特征指标</w:t>
      </w:r>
    </w:p>
    <w:p>
      <w:pPr>
        <w:rPr>
          <w:sz w:val="24"/>
          <w:szCs w:val="24"/>
        </w:rPr>
      </w:pPr>
      <w:r>
        <w:rPr>
          <w:sz w:val="24"/>
          <w:szCs w:val="24"/>
        </w:rPr>
        <w:t xml:space="preserve"> 4.1 定量分析功能：具备定量分析功能。 </w:t>
      </w:r>
    </w:p>
    <w:p>
      <w:pPr>
        <w:rPr>
          <w:sz w:val="24"/>
          <w:szCs w:val="24"/>
        </w:rPr>
      </w:pPr>
      <w:r>
        <w:rPr>
          <w:sz w:val="24"/>
          <w:szCs w:val="24"/>
        </w:rPr>
        <w:t xml:space="preserve">4.2 人机交互系统：人性化提示操作功能，可根据用户需求进 行系统升级，远程预防诊断，同步维护。 </w:t>
      </w:r>
    </w:p>
    <w:p>
      <w:pPr>
        <w:rPr>
          <w:sz w:val="24"/>
          <w:szCs w:val="24"/>
        </w:rPr>
      </w:pPr>
      <w:r>
        <w:rPr>
          <w:sz w:val="24"/>
          <w:szCs w:val="24"/>
        </w:rPr>
        <w:t>4.3 图谱解析：完全自动解析红外谱图，自动得出具体的精准 成分，无需人工对比</w:t>
      </w:r>
    </w:p>
    <w:p>
      <w:pPr>
        <w:rPr>
          <w:sz w:val="24"/>
          <w:szCs w:val="24"/>
        </w:rPr>
      </w:pPr>
      <w:r>
        <w:rPr>
          <w:sz w:val="24"/>
          <w:szCs w:val="24"/>
        </w:rPr>
        <w:t>4.4 防治方案：规范化防治方案根据《尿石症诊断指南》，具 有临床实用性</w:t>
      </w:r>
    </w:p>
    <w:p>
      <w:pPr>
        <w:rPr>
          <w:sz w:val="24"/>
          <w:szCs w:val="24"/>
        </w:rPr>
      </w:pPr>
      <w:r>
        <w:rPr>
          <w:sz w:val="24"/>
          <w:szCs w:val="24"/>
        </w:rPr>
        <w:t xml:space="preserve"> 4.5 操作过程：检测速度快，过程 5 分钟内，操作简便 </w:t>
      </w:r>
    </w:p>
    <w:p>
      <w:pPr>
        <w:rPr>
          <w:sz w:val="24"/>
          <w:szCs w:val="24"/>
        </w:rPr>
      </w:pPr>
      <w:r>
        <w:rPr>
          <w:sz w:val="24"/>
          <w:szCs w:val="24"/>
        </w:rPr>
        <w:t xml:space="preserve">4.6 分析范围：可分析晶体成分、非晶体成分、无机化合物、 有机化合物 </w:t>
      </w:r>
    </w:p>
    <w:p>
      <w:pPr>
        <w:rPr>
          <w:sz w:val="24"/>
          <w:szCs w:val="24"/>
        </w:rPr>
      </w:pPr>
      <w:r>
        <w:rPr>
          <w:sz w:val="24"/>
          <w:szCs w:val="24"/>
        </w:rPr>
        <w:t xml:space="preserve">4.7 样本需要量：标本需要量不超过 1mg，而且不破坏样品， 可分析粉末状样品 </w:t>
      </w:r>
    </w:p>
    <w:p>
      <w:pPr>
        <w:rPr>
          <w:sz w:val="24"/>
          <w:szCs w:val="24"/>
        </w:rPr>
      </w:pPr>
      <w:r>
        <w:rPr>
          <w:sz w:val="24"/>
          <w:szCs w:val="24"/>
        </w:rPr>
        <w:t>4.8 临床检验：万例的临床病例分析基础之上，可以完全满足 用户的临床需要，在使用过程中出现的特殊病例，有专家团队 的技术支持和临床解决方案。</w:t>
      </w:r>
    </w:p>
    <w:p>
      <w:pPr>
        <w:rPr>
          <w:sz w:val="24"/>
          <w:szCs w:val="24"/>
        </w:rPr>
      </w:pPr>
      <w:r>
        <w:rPr>
          <w:sz w:val="24"/>
          <w:szCs w:val="24"/>
        </w:rPr>
        <w:t xml:space="preserve"> 4.9 分析结果：分析结果精确可靠，准确率高于人工分析。 </w:t>
      </w:r>
    </w:p>
    <w:p>
      <w:pPr>
        <w:rPr>
          <w:sz w:val="24"/>
          <w:szCs w:val="24"/>
        </w:rPr>
      </w:pPr>
      <w:r>
        <w:rPr>
          <w:sz w:val="24"/>
          <w:szCs w:val="24"/>
        </w:rPr>
        <w:t xml:space="preserve">4.10 抗潮解性：采用全密封设计，有效隔绝湿气，电子干燥 箱的配备，杜绝潮解发生。 </w:t>
      </w:r>
    </w:p>
    <w:p>
      <w:pPr>
        <w:rPr>
          <w:sz w:val="24"/>
          <w:szCs w:val="24"/>
        </w:rPr>
      </w:pPr>
      <w:r>
        <w:rPr>
          <w:sz w:val="24"/>
          <w:szCs w:val="24"/>
        </w:rPr>
        <w:t xml:space="preserve">4.11 软件：专用、自主结石分析软件，拥有软件著作权证书 及专利证书等科技进步奖证明，并可以根据用户使用需求进行 升级。 </w:t>
      </w:r>
    </w:p>
    <w:p>
      <w:pPr>
        <w:rPr>
          <w:sz w:val="24"/>
          <w:szCs w:val="24"/>
        </w:rPr>
      </w:pPr>
      <w:r>
        <w:rPr>
          <w:sz w:val="24"/>
          <w:szCs w:val="24"/>
        </w:rPr>
        <w:t>5.配置：</w:t>
      </w:r>
    </w:p>
    <w:p>
      <w:pPr>
        <w:rPr>
          <w:sz w:val="24"/>
          <w:szCs w:val="24"/>
        </w:rPr>
      </w:pPr>
      <w:r>
        <w:rPr>
          <w:sz w:val="24"/>
          <w:szCs w:val="24"/>
        </w:rPr>
        <w:t xml:space="preserve">5.1 标准配置：主机、计算机（19 寸液晶品牌台式机）、电 源适配器、操作软件、使用说明书、工具、样品、电子干燥箱、 微量天平、干燥剂等 </w:t>
      </w:r>
    </w:p>
    <w:p>
      <w:pPr>
        <w:rPr>
          <w:rFonts w:hint="eastAsia"/>
          <w:color w:val="000000"/>
          <w:sz w:val="24"/>
          <w:szCs w:val="24"/>
        </w:rPr>
      </w:pPr>
      <w:r>
        <w:rPr>
          <w:sz w:val="24"/>
          <w:szCs w:val="24"/>
        </w:rPr>
        <w:t>5.2 系统配件：制样设备（压片机、玛瑙研钵、压片模具、烘 箱、溴化钾）、打印机（惠普喷墨打印机）、温湿度计。</w:t>
      </w:r>
    </w:p>
    <w:p>
      <w:pPr>
        <w:spacing w:line="360" w:lineRule="auto"/>
        <w:jc w:val="both"/>
        <w:rPr>
          <w:rFonts w:hint="eastAsia" w:eastAsia="宋体"/>
          <w:b w:val="0"/>
          <w:bCs/>
          <w:sz w:val="24"/>
          <w:szCs w:val="24"/>
          <w:lang w:val="en-US" w:eastAsia="zh-CN"/>
        </w:rPr>
      </w:pPr>
      <w:r>
        <w:rPr>
          <w:rFonts w:hint="eastAsia"/>
          <w:b w:val="0"/>
          <w:bCs/>
          <w:sz w:val="24"/>
          <w:szCs w:val="24"/>
          <w:lang w:val="en-US" w:eastAsia="zh-CN"/>
        </w:rPr>
        <w:t>6.</w:t>
      </w:r>
      <w:r>
        <w:rPr>
          <w:rFonts w:hint="eastAsia"/>
          <w:b w:val="0"/>
          <w:bCs/>
          <w:sz w:val="24"/>
          <w:szCs w:val="24"/>
        </w:rPr>
        <w:t>配置清单</w:t>
      </w:r>
      <w:r>
        <w:rPr>
          <w:rFonts w:hint="eastAsia"/>
          <w:b w:val="0"/>
          <w:bCs/>
          <w:sz w:val="24"/>
          <w:szCs w:val="24"/>
          <w:lang w:eastAsia="zh-CN"/>
        </w:rPr>
        <w:t>要求</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111"/>
        <w:gridCol w:w="155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b/>
                <w:sz w:val="22"/>
                <w:szCs w:val="22"/>
              </w:rPr>
            </w:pPr>
            <w:r>
              <w:rPr>
                <w:rFonts w:hint="eastAsia"/>
                <w:b/>
                <w:sz w:val="22"/>
                <w:szCs w:val="22"/>
              </w:rPr>
              <w:t>序号</w:t>
            </w:r>
          </w:p>
        </w:tc>
        <w:tc>
          <w:tcPr>
            <w:tcW w:w="4111" w:type="dxa"/>
            <w:noWrap w:val="0"/>
            <w:vAlign w:val="center"/>
          </w:tcPr>
          <w:p>
            <w:pPr>
              <w:autoSpaceDE w:val="0"/>
              <w:autoSpaceDN w:val="0"/>
              <w:adjustRightInd w:val="0"/>
              <w:jc w:val="center"/>
              <w:rPr>
                <w:b/>
                <w:sz w:val="22"/>
                <w:szCs w:val="22"/>
              </w:rPr>
            </w:pPr>
            <w:r>
              <w:rPr>
                <w:rFonts w:hint="eastAsia"/>
                <w:b/>
                <w:sz w:val="22"/>
                <w:szCs w:val="22"/>
              </w:rPr>
              <w:t>名称</w:t>
            </w:r>
          </w:p>
        </w:tc>
        <w:tc>
          <w:tcPr>
            <w:tcW w:w="1559" w:type="dxa"/>
            <w:noWrap w:val="0"/>
            <w:vAlign w:val="center"/>
          </w:tcPr>
          <w:p>
            <w:pPr>
              <w:autoSpaceDE w:val="0"/>
              <w:autoSpaceDN w:val="0"/>
              <w:adjustRightInd w:val="0"/>
              <w:jc w:val="center"/>
              <w:rPr>
                <w:b/>
                <w:sz w:val="22"/>
                <w:szCs w:val="22"/>
              </w:rPr>
            </w:pPr>
            <w:r>
              <w:rPr>
                <w:rFonts w:hint="eastAsia"/>
                <w:b/>
                <w:sz w:val="22"/>
                <w:szCs w:val="22"/>
              </w:rPr>
              <w:t>单位</w:t>
            </w:r>
          </w:p>
        </w:tc>
        <w:tc>
          <w:tcPr>
            <w:tcW w:w="1610" w:type="dxa"/>
            <w:noWrap w:val="0"/>
            <w:vAlign w:val="center"/>
          </w:tcPr>
          <w:p>
            <w:pPr>
              <w:autoSpaceDE w:val="0"/>
              <w:autoSpaceDN w:val="0"/>
              <w:adjustRightInd w:val="0"/>
              <w:jc w:val="center"/>
              <w:rPr>
                <w:b/>
                <w:sz w:val="22"/>
                <w:szCs w:val="22"/>
              </w:rPr>
            </w:pPr>
            <w:r>
              <w:rPr>
                <w:rFonts w:hint="eastAsia"/>
                <w:b/>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w:t>
            </w:r>
          </w:p>
        </w:tc>
        <w:tc>
          <w:tcPr>
            <w:tcW w:w="4111" w:type="dxa"/>
            <w:noWrap w:val="0"/>
            <w:vAlign w:val="center"/>
          </w:tcPr>
          <w:p>
            <w:pPr>
              <w:autoSpaceDE w:val="0"/>
              <w:autoSpaceDN w:val="0"/>
              <w:adjustRightInd w:val="0"/>
              <w:jc w:val="center"/>
              <w:rPr>
                <w:sz w:val="22"/>
                <w:szCs w:val="22"/>
              </w:rPr>
            </w:pPr>
            <w:r>
              <w:rPr>
                <w:rFonts w:hint="eastAsia"/>
                <w:sz w:val="22"/>
                <w:szCs w:val="22"/>
              </w:rPr>
              <w:t>主机</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2</w:t>
            </w:r>
          </w:p>
        </w:tc>
        <w:tc>
          <w:tcPr>
            <w:tcW w:w="4111" w:type="dxa"/>
            <w:noWrap w:val="0"/>
            <w:vAlign w:val="center"/>
          </w:tcPr>
          <w:p>
            <w:pPr>
              <w:autoSpaceDE w:val="0"/>
              <w:autoSpaceDN w:val="0"/>
              <w:adjustRightInd w:val="0"/>
              <w:jc w:val="center"/>
              <w:rPr>
                <w:sz w:val="22"/>
                <w:szCs w:val="22"/>
              </w:rPr>
            </w:pPr>
            <w:r>
              <w:rPr>
                <w:rFonts w:hint="eastAsia"/>
                <w:sz w:val="22"/>
                <w:szCs w:val="22"/>
              </w:rPr>
              <w:t>电源适配器</w:t>
            </w:r>
          </w:p>
        </w:tc>
        <w:tc>
          <w:tcPr>
            <w:tcW w:w="1559" w:type="dxa"/>
            <w:noWrap w:val="0"/>
            <w:vAlign w:val="center"/>
          </w:tcPr>
          <w:p>
            <w:pPr>
              <w:autoSpaceDE w:val="0"/>
              <w:autoSpaceDN w:val="0"/>
              <w:adjustRightInd w:val="0"/>
              <w:jc w:val="center"/>
              <w:rPr>
                <w:sz w:val="22"/>
                <w:szCs w:val="22"/>
              </w:rPr>
            </w:pPr>
            <w:r>
              <w:rPr>
                <w:rFonts w:hint="eastAsia"/>
                <w:sz w:val="22"/>
                <w:szCs w:val="22"/>
              </w:rPr>
              <w:t>个</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3</w:t>
            </w:r>
          </w:p>
        </w:tc>
        <w:tc>
          <w:tcPr>
            <w:tcW w:w="4111" w:type="dxa"/>
            <w:noWrap w:val="0"/>
            <w:vAlign w:val="center"/>
          </w:tcPr>
          <w:p>
            <w:pPr>
              <w:spacing w:line="300" w:lineRule="exact"/>
              <w:jc w:val="center"/>
              <w:rPr>
                <w:rFonts w:ascii="宋体" w:hAnsi="宋体"/>
                <w:color w:val="000000"/>
                <w:sz w:val="22"/>
                <w:szCs w:val="22"/>
              </w:rPr>
            </w:pPr>
            <w:r>
              <w:rPr>
                <w:rFonts w:hint="eastAsia" w:ascii="宋体" w:hAnsi="宋体"/>
                <w:color w:val="000000"/>
                <w:sz w:val="22"/>
                <w:szCs w:val="22"/>
              </w:rPr>
              <w:t>专用品牌计算机</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4</w:t>
            </w:r>
          </w:p>
        </w:tc>
        <w:tc>
          <w:tcPr>
            <w:tcW w:w="4111" w:type="dxa"/>
            <w:noWrap w:val="0"/>
            <w:vAlign w:val="center"/>
          </w:tcPr>
          <w:p>
            <w:pPr>
              <w:autoSpaceDE w:val="0"/>
              <w:autoSpaceDN w:val="0"/>
              <w:adjustRightInd w:val="0"/>
              <w:jc w:val="center"/>
              <w:rPr>
                <w:sz w:val="22"/>
                <w:szCs w:val="22"/>
              </w:rPr>
            </w:pPr>
            <w:r>
              <w:rPr>
                <w:rFonts w:hint="eastAsia"/>
                <w:sz w:val="22"/>
                <w:szCs w:val="22"/>
              </w:rPr>
              <w:t>彩色喷墨打印机</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5</w:t>
            </w:r>
          </w:p>
        </w:tc>
        <w:tc>
          <w:tcPr>
            <w:tcW w:w="4111" w:type="dxa"/>
            <w:noWrap w:val="0"/>
            <w:vAlign w:val="center"/>
          </w:tcPr>
          <w:p>
            <w:pPr>
              <w:autoSpaceDE w:val="0"/>
              <w:autoSpaceDN w:val="0"/>
              <w:adjustRightInd w:val="0"/>
              <w:jc w:val="center"/>
              <w:rPr>
                <w:sz w:val="22"/>
                <w:szCs w:val="22"/>
              </w:rPr>
            </w:pPr>
            <w:r>
              <w:rPr>
                <w:rFonts w:hint="eastAsia"/>
                <w:sz w:val="22"/>
                <w:szCs w:val="22"/>
              </w:rPr>
              <w:t>温控烤箱</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6</w:t>
            </w:r>
          </w:p>
        </w:tc>
        <w:tc>
          <w:tcPr>
            <w:tcW w:w="4111" w:type="dxa"/>
            <w:noWrap w:val="0"/>
            <w:vAlign w:val="center"/>
          </w:tcPr>
          <w:p>
            <w:pPr>
              <w:autoSpaceDE w:val="0"/>
              <w:autoSpaceDN w:val="0"/>
              <w:adjustRightInd w:val="0"/>
              <w:jc w:val="center"/>
              <w:rPr>
                <w:sz w:val="22"/>
                <w:szCs w:val="22"/>
              </w:rPr>
            </w:pPr>
            <w:r>
              <w:rPr>
                <w:rFonts w:hint="eastAsia"/>
                <w:sz w:val="22"/>
                <w:szCs w:val="22"/>
              </w:rPr>
              <w:t>压片机</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7</w:t>
            </w:r>
          </w:p>
        </w:tc>
        <w:tc>
          <w:tcPr>
            <w:tcW w:w="4111" w:type="dxa"/>
            <w:noWrap w:val="0"/>
            <w:vAlign w:val="center"/>
          </w:tcPr>
          <w:p>
            <w:pPr>
              <w:autoSpaceDE w:val="0"/>
              <w:autoSpaceDN w:val="0"/>
              <w:adjustRightInd w:val="0"/>
              <w:jc w:val="center"/>
              <w:rPr>
                <w:sz w:val="22"/>
                <w:szCs w:val="22"/>
              </w:rPr>
            </w:pPr>
            <w:r>
              <w:rPr>
                <w:rFonts w:hint="eastAsia"/>
                <w:sz w:val="22"/>
                <w:szCs w:val="22"/>
              </w:rPr>
              <w:t>压片模具</w:t>
            </w:r>
          </w:p>
        </w:tc>
        <w:tc>
          <w:tcPr>
            <w:tcW w:w="1559" w:type="dxa"/>
            <w:noWrap w:val="0"/>
            <w:vAlign w:val="center"/>
          </w:tcPr>
          <w:p>
            <w:pPr>
              <w:autoSpaceDE w:val="0"/>
              <w:autoSpaceDN w:val="0"/>
              <w:adjustRightInd w:val="0"/>
              <w:jc w:val="center"/>
              <w:rPr>
                <w:sz w:val="22"/>
                <w:szCs w:val="22"/>
              </w:rPr>
            </w:pPr>
            <w:r>
              <w:rPr>
                <w:rFonts w:hint="eastAsia"/>
                <w:sz w:val="22"/>
                <w:szCs w:val="22"/>
              </w:rPr>
              <w:t>套</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8</w:t>
            </w:r>
          </w:p>
        </w:tc>
        <w:tc>
          <w:tcPr>
            <w:tcW w:w="4111" w:type="dxa"/>
            <w:noWrap w:val="0"/>
            <w:vAlign w:val="center"/>
          </w:tcPr>
          <w:p>
            <w:pPr>
              <w:autoSpaceDE w:val="0"/>
              <w:autoSpaceDN w:val="0"/>
              <w:adjustRightInd w:val="0"/>
              <w:jc w:val="center"/>
              <w:rPr>
                <w:sz w:val="22"/>
                <w:szCs w:val="22"/>
              </w:rPr>
            </w:pPr>
            <w:r>
              <w:rPr>
                <w:rFonts w:hint="eastAsia"/>
                <w:sz w:val="22"/>
                <w:szCs w:val="22"/>
              </w:rPr>
              <w:t>玛瑙研钵</w:t>
            </w:r>
          </w:p>
        </w:tc>
        <w:tc>
          <w:tcPr>
            <w:tcW w:w="1559" w:type="dxa"/>
            <w:noWrap w:val="0"/>
            <w:vAlign w:val="center"/>
          </w:tcPr>
          <w:p>
            <w:pPr>
              <w:autoSpaceDE w:val="0"/>
              <w:autoSpaceDN w:val="0"/>
              <w:adjustRightInd w:val="0"/>
              <w:jc w:val="center"/>
              <w:rPr>
                <w:sz w:val="22"/>
                <w:szCs w:val="22"/>
              </w:rPr>
            </w:pPr>
            <w:r>
              <w:rPr>
                <w:rFonts w:hint="eastAsia"/>
                <w:sz w:val="22"/>
                <w:szCs w:val="22"/>
              </w:rPr>
              <w:t>套</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9</w:t>
            </w:r>
          </w:p>
        </w:tc>
        <w:tc>
          <w:tcPr>
            <w:tcW w:w="4111" w:type="dxa"/>
            <w:noWrap w:val="0"/>
            <w:vAlign w:val="center"/>
          </w:tcPr>
          <w:p>
            <w:pPr>
              <w:autoSpaceDE w:val="0"/>
              <w:autoSpaceDN w:val="0"/>
              <w:adjustRightInd w:val="0"/>
              <w:jc w:val="center"/>
              <w:rPr>
                <w:sz w:val="22"/>
                <w:szCs w:val="22"/>
              </w:rPr>
            </w:pPr>
            <w:r>
              <w:rPr>
                <w:rFonts w:hint="eastAsia"/>
                <w:sz w:val="22"/>
                <w:szCs w:val="22"/>
              </w:rPr>
              <w:t>聚苯乙烯样品</w:t>
            </w:r>
          </w:p>
        </w:tc>
        <w:tc>
          <w:tcPr>
            <w:tcW w:w="1559" w:type="dxa"/>
            <w:noWrap w:val="0"/>
            <w:vAlign w:val="center"/>
          </w:tcPr>
          <w:p>
            <w:pPr>
              <w:autoSpaceDE w:val="0"/>
              <w:autoSpaceDN w:val="0"/>
              <w:adjustRightInd w:val="0"/>
              <w:jc w:val="center"/>
              <w:rPr>
                <w:sz w:val="22"/>
                <w:szCs w:val="22"/>
              </w:rPr>
            </w:pPr>
            <w:r>
              <w:rPr>
                <w:rFonts w:hint="eastAsia"/>
                <w:sz w:val="22"/>
                <w:szCs w:val="22"/>
              </w:rPr>
              <w:t>个</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10</w:t>
            </w:r>
          </w:p>
        </w:tc>
        <w:tc>
          <w:tcPr>
            <w:tcW w:w="4111" w:type="dxa"/>
            <w:noWrap w:val="0"/>
            <w:vAlign w:val="center"/>
          </w:tcPr>
          <w:p>
            <w:pPr>
              <w:autoSpaceDE w:val="0"/>
              <w:autoSpaceDN w:val="0"/>
              <w:adjustRightInd w:val="0"/>
              <w:jc w:val="center"/>
              <w:rPr>
                <w:sz w:val="22"/>
                <w:szCs w:val="22"/>
              </w:rPr>
            </w:pPr>
            <w:r>
              <w:rPr>
                <w:rFonts w:hint="eastAsia"/>
                <w:sz w:val="22"/>
                <w:szCs w:val="22"/>
              </w:rPr>
              <w:t>光谱纯（溴化钾）50g/袋</w:t>
            </w:r>
          </w:p>
        </w:tc>
        <w:tc>
          <w:tcPr>
            <w:tcW w:w="1559" w:type="dxa"/>
            <w:noWrap w:val="0"/>
            <w:vAlign w:val="center"/>
          </w:tcPr>
          <w:p>
            <w:pPr>
              <w:autoSpaceDE w:val="0"/>
              <w:autoSpaceDN w:val="0"/>
              <w:adjustRightInd w:val="0"/>
              <w:jc w:val="center"/>
              <w:rPr>
                <w:sz w:val="22"/>
                <w:szCs w:val="22"/>
              </w:rPr>
            </w:pPr>
            <w:r>
              <w:rPr>
                <w:rFonts w:hint="eastAsia"/>
                <w:sz w:val="22"/>
                <w:szCs w:val="22"/>
              </w:rPr>
              <w:t>袋</w:t>
            </w:r>
          </w:p>
        </w:tc>
        <w:tc>
          <w:tcPr>
            <w:tcW w:w="1610" w:type="dxa"/>
            <w:noWrap w:val="0"/>
            <w:vAlign w:val="center"/>
          </w:tcPr>
          <w:p>
            <w:pPr>
              <w:autoSpaceDE w:val="0"/>
              <w:autoSpaceDN w:val="0"/>
              <w:adjustRightInd w:val="0"/>
              <w:jc w:val="center"/>
              <w:rPr>
                <w:sz w:val="22"/>
                <w:szCs w:val="22"/>
              </w:rPr>
            </w:pPr>
            <w:r>
              <w:rPr>
                <w:rFonts w:hint="eastAsia"/>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11</w:t>
            </w:r>
          </w:p>
        </w:tc>
        <w:tc>
          <w:tcPr>
            <w:tcW w:w="4111" w:type="dxa"/>
            <w:noWrap w:val="0"/>
            <w:vAlign w:val="center"/>
          </w:tcPr>
          <w:p>
            <w:pPr>
              <w:autoSpaceDE w:val="0"/>
              <w:autoSpaceDN w:val="0"/>
              <w:adjustRightInd w:val="0"/>
              <w:jc w:val="center"/>
              <w:rPr>
                <w:sz w:val="22"/>
                <w:szCs w:val="22"/>
              </w:rPr>
            </w:pPr>
            <w:r>
              <w:rPr>
                <w:rFonts w:hint="eastAsia"/>
                <w:sz w:val="22"/>
                <w:szCs w:val="22"/>
              </w:rPr>
              <w:t>干燥剂</w:t>
            </w:r>
          </w:p>
        </w:tc>
        <w:tc>
          <w:tcPr>
            <w:tcW w:w="1559" w:type="dxa"/>
            <w:noWrap w:val="0"/>
            <w:vAlign w:val="center"/>
          </w:tcPr>
          <w:p>
            <w:pPr>
              <w:autoSpaceDE w:val="0"/>
              <w:autoSpaceDN w:val="0"/>
              <w:adjustRightInd w:val="0"/>
              <w:jc w:val="center"/>
              <w:rPr>
                <w:sz w:val="22"/>
                <w:szCs w:val="22"/>
              </w:rPr>
            </w:pPr>
            <w:r>
              <w:rPr>
                <w:rFonts w:hint="eastAsia"/>
                <w:sz w:val="22"/>
                <w:szCs w:val="22"/>
              </w:rPr>
              <w:t>袋</w:t>
            </w:r>
          </w:p>
        </w:tc>
        <w:tc>
          <w:tcPr>
            <w:tcW w:w="1610" w:type="dxa"/>
            <w:noWrap w:val="0"/>
            <w:vAlign w:val="center"/>
          </w:tcPr>
          <w:p>
            <w:pPr>
              <w:autoSpaceDE w:val="0"/>
              <w:autoSpaceDN w:val="0"/>
              <w:adjustRightInd w:val="0"/>
              <w:jc w:val="center"/>
              <w:rPr>
                <w:sz w:val="22"/>
                <w:szCs w:val="22"/>
              </w:rPr>
            </w:pPr>
            <w:r>
              <w:rPr>
                <w:rFonts w:hint="eastAsia"/>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12</w:t>
            </w:r>
          </w:p>
        </w:tc>
        <w:tc>
          <w:tcPr>
            <w:tcW w:w="4111" w:type="dxa"/>
            <w:noWrap w:val="0"/>
            <w:vAlign w:val="center"/>
          </w:tcPr>
          <w:p>
            <w:pPr>
              <w:autoSpaceDE w:val="0"/>
              <w:autoSpaceDN w:val="0"/>
              <w:adjustRightInd w:val="0"/>
              <w:jc w:val="center"/>
              <w:rPr>
                <w:sz w:val="22"/>
                <w:szCs w:val="22"/>
              </w:rPr>
            </w:pPr>
            <w:r>
              <w:rPr>
                <w:rFonts w:hint="eastAsia"/>
                <w:sz w:val="22"/>
                <w:szCs w:val="22"/>
              </w:rPr>
              <w:t>操作软件、使用说明书、工具等</w:t>
            </w:r>
          </w:p>
        </w:tc>
        <w:tc>
          <w:tcPr>
            <w:tcW w:w="1559" w:type="dxa"/>
            <w:noWrap w:val="0"/>
            <w:vAlign w:val="center"/>
          </w:tcPr>
          <w:p>
            <w:pPr>
              <w:autoSpaceDE w:val="0"/>
              <w:autoSpaceDN w:val="0"/>
              <w:adjustRightInd w:val="0"/>
              <w:jc w:val="center"/>
              <w:rPr>
                <w:sz w:val="22"/>
                <w:szCs w:val="22"/>
              </w:rPr>
            </w:pPr>
            <w:r>
              <w:rPr>
                <w:rFonts w:hint="eastAsia"/>
                <w:sz w:val="22"/>
                <w:szCs w:val="22"/>
              </w:rPr>
              <w:t>套</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13</w:t>
            </w:r>
          </w:p>
        </w:tc>
        <w:tc>
          <w:tcPr>
            <w:tcW w:w="4111" w:type="dxa"/>
            <w:noWrap w:val="0"/>
            <w:vAlign w:val="center"/>
          </w:tcPr>
          <w:p>
            <w:pPr>
              <w:autoSpaceDE w:val="0"/>
              <w:autoSpaceDN w:val="0"/>
              <w:adjustRightInd w:val="0"/>
              <w:jc w:val="center"/>
              <w:rPr>
                <w:sz w:val="22"/>
                <w:szCs w:val="22"/>
              </w:rPr>
            </w:pPr>
            <w:r>
              <w:rPr>
                <w:rFonts w:hint="eastAsia"/>
                <w:sz w:val="22"/>
                <w:szCs w:val="22"/>
              </w:rPr>
              <w:t>辅助工具（托盘，药匙等）</w:t>
            </w:r>
          </w:p>
        </w:tc>
        <w:tc>
          <w:tcPr>
            <w:tcW w:w="1559" w:type="dxa"/>
            <w:noWrap w:val="0"/>
            <w:vAlign w:val="center"/>
          </w:tcPr>
          <w:p>
            <w:pPr>
              <w:autoSpaceDE w:val="0"/>
              <w:autoSpaceDN w:val="0"/>
              <w:adjustRightInd w:val="0"/>
              <w:jc w:val="center"/>
              <w:rPr>
                <w:sz w:val="22"/>
                <w:szCs w:val="22"/>
              </w:rPr>
            </w:pPr>
            <w:r>
              <w:rPr>
                <w:rFonts w:hint="eastAsia"/>
                <w:sz w:val="22"/>
                <w:szCs w:val="22"/>
              </w:rPr>
              <w:t>套</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14</w:t>
            </w:r>
          </w:p>
        </w:tc>
        <w:tc>
          <w:tcPr>
            <w:tcW w:w="4111" w:type="dxa"/>
            <w:noWrap w:val="0"/>
            <w:vAlign w:val="center"/>
          </w:tcPr>
          <w:p>
            <w:pPr>
              <w:autoSpaceDE w:val="0"/>
              <w:autoSpaceDN w:val="0"/>
              <w:adjustRightInd w:val="0"/>
              <w:jc w:val="center"/>
              <w:rPr>
                <w:sz w:val="22"/>
                <w:szCs w:val="22"/>
              </w:rPr>
            </w:pPr>
            <w:r>
              <w:rPr>
                <w:rFonts w:hint="eastAsia"/>
                <w:sz w:val="22"/>
                <w:szCs w:val="22"/>
              </w:rPr>
              <w:t>微量天平</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15</w:t>
            </w:r>
          </w:p>
        </w:tc>
        <w:tc>
          <w:tcPr>
            <w:tcW w:w="4111" w:type="dxa"/>
            <w:noWrap w:val="0"/>
            <w:vAlign w:val="center"/>
          </w:tcPr>
          <w:p>
            <w:pPr>
              <w:autoSpaceDE w:val="0"/>
              <w:autoSpaceDN w:val="0"/>
              <w:adjustRightInd w:val="0"/>
              <w:jc w:val="center"/>
              <w:rPr>
                <w:sz w:val="22"/>
                <w:szCs w:val="22"/>
              </w:rPr>
            </w:pPr>
            <w:r>
              <w:rPr>
                <w:rFonts w:hint="eastAsia"/>
                <w:sz w:val="22"/>
                <w:szCs w:val="22"/>
              </w:rPr>
              <w:t>电子干燥箱</w:t>
            </w:r>
          </w:p>
        </w:tc>
        <w:tc>
          <w:tcPr>
            <w:tcW w:w="1559" w:type="dxa"/>
            <w:noWrap w:val="0"/>
            <w:vAlign w:val="center"/>
          </w:tcPr>
          <w:p>
            <w:pPr>
              <w:autoSpaceDE w:val="0"/>
              <w:autoSpaceDN w:val="0"/>
              <w:adjustRightInd w:val="0"/>
              <w:jc w:val="center"/>
              <w:rPr>
                <w:sz w:val="22"/>
                <w:szCs w:val="22"/>
              </w:rPr>
            </w:pPr>
            <w:r>
              <w:rPr>
                <w:rFonts w:hint="eastAsia"/>
                <w:sz w:val="22"/>
                <w:szCs w:val="22"/>
              </w:rPr>
              <w:t>台</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sz w:val="22"/>
                <w:szCs w:val="22"/>
              </w:rPr>
            </w:pPr>
            <w:r>
              <w:rPr>
                <w:rFonts w:hint="eastAsia"/>
                <w:sz w:val="22"/>
                <w:szCs w:val="22"/>
              </w:rPr>
              <w:t>16</w:t>
            </w:r>
          </w:p>
        </w:tc>
        <w:tc>
          <w:tcPr>
            <w:tcW w:w="4111" w:type="dxa"/>
            <w:noWrap w:val="0"/>
            <w:vAlign w:val="center"/>
          </w:tcPr>
          <w:p>
            <w:pPr>
              <w:autoSpaceDE w:val="0"/>
              <w:autoSpaceDN w:val="0"/>
              <w:adjustRightInd w:val="0"/>
              <w:jc w:val="center"/>
              <w:rPr>
                <w:sz w:val="22"/>
                <w:szCs w:val="22"/>
              </w:rPr>
            </w:pPr>
            <w:r>
              <w:rPr>
                <w:rFonts w:hint="eastAsia"/>
                <w:sz w:val="22"/>
                <w:szCs w:val="22"/>
              </w:rPr>
              <w:t>温湿度计</w:t>
            </w:r>
          </w:p>
        </w:tc>
        <w:tc>
          <w:tcPr>
            <w:tcW w:w="1559" w:type="dxa"/>
            <w:noWrap w:val="0"/>
            <w:vAlign w:val="center"/>
          </w:tcPr>
          <w:p>
            <w:pPr>
              <w:autoSpaceDE w:val="0"/>
              <w:autoSpaceDN w:val="0"/>
              <w:adjustRightInd w:val="0"/>
              <w:jc w:val="center"/>
              <w:rPr>
                <w:sz w:val="22"/>
                <w:szCs w:val="22"/>
              </w:rPr>
            </w:pPr>
            <w:r>
              <w:rPr>
                <w:rFonts w:hint="eastAsia"/>
                <w:sz w:val="22"/>
                <w:szCs w:val="22"/>
              </w:rPr>
              <w:t>个</w:t>
            </w:r>
          </w:p>
        </w:tc>
        <w:tc>
          <w:tcPr>
            <w:tcW w:w="1610" w:type="dxa"/>
            <w:noWrap w:val="0"/>
            <w:vAlign w:val="center"/>
          </w:tcPr>
          <w:p>
            <w:pPr>
              <w:autoSpaceDE w:val="0"/>
              <w:autoSpaceDN w:val="0"/>
              <w:adjustRightInd w:val="0"/>
              <w:jc w:val="center"/>
              <w:rPr>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rFonts w:hint="eastAsia"/>
                <w:sz w:val="22"/>
                <w:szCs w:val="22"/>
              </w:rPr>
            </w:pPr>
            <w:r>
              <w:rPr>
                <w:rFonts w:hint="eastAsia"/>
                <w:sz w:val="22"/>
                <w:szCs w:val="22"/>
              </w:rPr>
              <w:t>17</w:t>
            </w:r>
          </w:p>
        </w:tc>
        <w:tc>
          <w:tcPr>
            <w:tcW w:w="4111" w:type="dxa"/>
            <w:noWrap w:val="0"/>
            <w:vAlign w:val="center"/>
          </w:tcPr>
          <w:p>
            <w:pPr>
              <w:autoSpaceDE w:val="0"/>
              <w:autoSpaceDN w:val="0"/>
              <w:adjustRightInd w:val="0"/>
              <w:jc w:val="center"/>
              <w:rPr>
                <w:rFonts w:hint="eastAsia"/>
                <w:sz w:val="22"/>
                <w:szCs w:val="22"/>
              </w:rPr>
            </w:pPr>
            <w:r>
              <w:rPr>
                <w:rFonts w:hint="eastAsia"/>
                <w:sz w:val="22"/>
              </w:rPr>
              <w:t>结石红外光谱自动分析系统软件</w:t>
            </w:r>
          </w:p>
        </w:tc>
        <w:tc>
          <w:tcPr>
            <w:tcW w:w="1559" w:type="dxa"/>
            <w:noWrap w:val="0"/>
            <w:vAlign w:val="center"/>
          </w:tcPr>
          <w:p>
            <w:pPr>
              <w:autoSpaceDE w:val="0"/>
              <w:autoSpaceDN w:val="0"/>
              <w:adjustRightInd w:val="0"/>
              <w:jc w:val="center"/>
              <w:rPr>
                <w:rFonts w:hint="eastAsia"/>
                <w:sz w:val="22"/>
                <w:szCs w:val="22"/>
              </w:rPr>
            </w:pPr>
            <w:r>
              <w:rPr>
                <w:rFonts w:hint="eastAsia"/>
                <w:sz w:val="22"/>
                <w:szCs w:val="22"/>
              </w:rPr>
              <w:t>个</w:t>
            </w:r>
          </w:p>
        </w:tc>
        <w:tc>
          <w:tcPr>
            <w:tcW w:w="1610" w:type="dxa"/>
            <w:noWrap w:val="0"/>
            <w:vAlign w:val="center"/>
          </w:tcPr>
          <w:p>
            <w:pPr>
              <w:autoSpaceDE w:val="0"/>
              <w:autoSpaceDN w:val="0"/>
              <w:adjustRightInd w:val="0"/>
              <w:jc w:val="center"/>
              <w:rPr>
                <w:rFonts w:hint="eastAsia"/>
                <w:sz w:val="22"/>
                <w:szCs w:val="22"/>
              </w:rPr>
            </w:pPr>
            <w:r>
              <w:rPr>
                <w:rFonts w:hint="eastAsia"/>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42" w:type="dxa"/>
            <w:noWrap w:val="0"/>
            <w:vAlign w:val="center"/>
          </w:tcPr>
          <w:p>
            <w:pPr>
              <w:autoSpaceDE w:val="0"/>
              <w:autoSpaceDN w:val="0"/>
              <w:adjustRightInd w:val="0"/>
              <w:jc w:val="center"/>
              <w:rPr>
                <w:rFonts w:hint="eastAsia"/>
                <w:sz w:val="22"/>
                <w:szCs w:val="22"/>
              </w:rPr>
            </w:pPr>
            <w:r>
              <w:rPr>
                <w:rFonts w:hint="eastAsia"/>
                <w:sz w:val="22"/>
                <w:szCs w:val="22"/>
              </w:rPr>
              <w:t>18</w:t>
            </w:r>
          </w:p>
        </w:tc>
        <w:tc>
          <w:tcPr>
            <w:tcW w:w="4111" w:type="dxa"/>
            <w:noWrap w:val="0"/>
            <w:vAlign w:val="center"/>
          </w:tcPr>
          <w:p>
            <w:pPr>
              <w:autoSpaceDE w:val="0"/>
              <w:autoSpaceDN w:val="0"/>
              <w:adjustRightInd w:val="0"/>
              <w:jc w:val="center"/>
              <w:rPr>
                <w:rFonts w:hint="eastAsia"/>
                <w:sz w:val="22"/>
              </w:rPr>
            </w:pPr>
            <w:r>
              <w:rPr>
                <w:rFonts w:hint="eastAsia"/>
                <w:sz w:val="22"/>
                <w:szCs w:val="22"/>
              </w:rPr>
              <w:t>远程监控和仪器自检功能硬件配套工具</w:t>
            </w:r>
          </w:p>
        </w:tc>
        <w:tc>
          <w:tcPr>
            <w:tcW w:w="1559" w:type="dxa"/>
            <w:noWrap w:val="0"/>
            <w:vAlign w:val="center"/>
          </w:tcPr>
          <w:p>
            <w:pPr>
              <w:autoSpaceDE w:val="0"/>
              <w:autoSpaceDN w:val="0"/>
              <w:adjustRightInd w:val="0"/>
              <w:jc w:val="center"/>
              <w:rPr>
                <w:rFonts w:hint="eastAsia"/>
                <w:sz w:val="22"/>
                <w:szCs w:val="22"/>
              </w:rPr>
            </w:pPr>
            <w:r>
              <w:rPr>
                <w:rFonts w:hint="eastAsia"/>
                <w:sz w:val="22"/>
                <w:szCs w:val="22"/>
              </w:rPr>
              <w:t>个</w:t>
            </w:r>
          </w:p>
        </w:tc>
        <w:tc>
          <w:tcPr>
            <w:tcW w:w="1610" w:type="dxa"/>
            <w:noWrap w:val="0"/>
            <w:vAlign w:val="center"/>
          </w:tcPr>
          <w:p>
            <w:pPr>
              <w:autoSpaceDE w:val="0"/>
              <w:autoSpaceDN w:val="0"/>
              <w:adjustRightInd w:val="0"/>
              <w:jc w:val="center"/>
              <w:rPr>
                <w:rFonts w:hint="eastAsia"/>
                <w:sz w:val="22"/>
                <w:szCs w:val="22"/>
              </w:rPr>
            </w:pPr>
            <w:r>
              <w:rPr>
                <w:rFonts w:hint="eastAsia"/>
                <w:sz w:val="22"/>
                <w:szCs w:val="22"/>
              </w:rPr>
              <w:t>1</w:t>
            </w:r>
          </w:p>
        </w:tc>
      </w:tr>
    </w:tbl>
    <w:p>
      <w:pPr>
        <w:rPr>
          <w:rFonts w:hint="eastAsia"/>
        </w:rPr>
      </w:pPr>
    </w:p>
    <w:p>
      <w:pPr>
        <w:pStyle w:val="2"/>
        <w:rPr>
          <w:rFonts w:cs="宋体"/>
          <w:b/>
          <w:bCs/>
        </w:rPr>
      </w:pPr>
      <w:r>
        <w:rPr>
          <w:rFonts w:hint="eastAsia" w:cs="宋体"/>
          <w:b/>
          <w:bCs/>
        </w:rPr>
        <w:t>（三）项目产品基本要求</w:t>
      </w:r>
    </w:p>
    <w:p>
      <w:pPr>
        <w:pStyle w:val="2"/>
        <w:ind w:left="-708" w:leftChars="-337" w:firstLine="480" w:firstLineChars="200"/>
        <w:rPr>
          <w:color w:val="auto"/>
        </w:rPr>
      </w:pPr>
      <w:r>
        <w:rPr>
          <w:rFonts w:hint="eastAsia"/>
          <w:color w:val="auto"/>
        </w:rPr>
        <w:t>1.以上产品必须是具备合法资质的制造商生产的全新正品，并满足招标采购文件的要求，若产品在运输或安装过程中损坏或擦伤须无偿调换相同产品。</w:t>
      </w:r>
    </w:p>
    <w:p>
      <w:pPr>
        <w:pStyle w:val="2"/>
        <w:ind w:left="-708" w:leftChars="-337" w:firstLine="480" w:firstLineChars="200"/>
        <w:rPr>
          <w:color w:val="auto"/>
        </w:rPr>
      </w:pPr>
      <w:r>
        <w:rPr>
          <w:rFonts w:hint="eastAsia"/>
          <w:color w:val="auto"/>
        </w:rPr>
        <w:t>2.投标人所投产品参数应同等或优于以上各项参数要求，产品、辅材及生产工艺符合国家相关规范。</w:t>
      </w:r>
    </w:p>
    <w:p>
      <w:pPr>
        <w:pStyle w:val="2"/>
        <w:ind w:left="-708" w:leftChars="-337" w:firstLine="480" w:firstLineChars="200"/>
        <w:rPr>
          <w:color w:val="auto"/>
        </w:rPr>
      </w:pPr>
      <w:r>
        <w:rPr>
          <w:rFonts w:hint="eastAsia"/>
          <w:color w:val="auto"/>
        </w:rPr>
        <w:t>3.投标人应保证所提供的货物或其任何一部分均不会侵犯任何第三方的专利权、商标权等，如在使用过程中出现的一切经济和法律责任均由投标人负责。</w:t>
      </w:r>
    </w:p>
    <w:p>
      <w:pPr>
        <w:pStyle w:val="2"/>
        <w:ind w:left="-708" w:leftChars="-337" w:firstLine="480" w:firstLineChars="200"/>
        <w:rPr>
          <w:color w:val="auto"/>
        </w:rPr>
      </w:pPr>
      <w:r>
        <w:rPr>
          <w:rFonts w:hint="eastAsia"/>
          <w:color w:val="auto"/>
        </w:rPr>
        <w:t>4.投标总价必须包含货物及货物运抵指定交货地点的各种费用和安装调校、售后服务、税金、验收检验及其它所有费用的总和，如另有要求请在投标文件中注明。</w:t>
      </w:r>
    </w:p>
    <w:p>
      <w:pPr>
        <w:pStyle w:val="2"/>
        <w:ind w:left="-708" w:leftChars="-337" w:firstLine="480" w:firstLineChars="200"/>
        <w:rPr>
          <w:rFonts w:hint="eastAsia"/>
          <w:color w:val="auto"/>
        </w:rPr>
      </w:pPr>
      <w:r>
        <w:rPr>
          <w:rFonts w:hint="eastAsia"/>
          <w:color w:val="auto"/>
        </w:rPr>
        <w:t>5.投标人所投产品必须提供产品“三包”服务；定期安排相关人员回访进行质量跟踪；保证提供临床应用和售后技术服务支持方式；</w:t>
      </w:r>
      <w:r>
        <w:rPr>
          <w:rFonts w:hint="eastAsia"/>
          <w:color w:val="auto"/>
          <w:highlight w:val="yellow"/>
        </w:rPr>
        <w:t>保修期后提供终身维修服务及配件供应</w:t>
      </w:r>
      <w:r>
        <w:rPr>
          <w:rFonts w:hint="eastAsia"/>
          <w:color w:val="auto"/>
        </w:rPr>
        <w:t>；其他售后服务按厂家承诺实行。</w:t>
      </w:r>
    </w:p>
    <w:p>
      <w:pPr>
        <w:pStyle w:val="2"/>
        <w:ind w:left="-708" w:leftChars="-337" w:firstLine="480" w:firstLineChars="200"/>
        <w:rPr>
          <w:rFonts w:hint="eastAsia"/>
          <w:color w:val="auto"/>
        </w:rPr>
      </w:pPr>
      <w:r>
        <w:rPr>
          <w:rFonts w:hint="eastAsia"/>
          <w:color w:val="auto"/>
          <w:lang w:val="en-US" w:eastAsia="zh-CN"/>
        </w:rPr>
        <w:t>6.</w:t>
      </w:r>
      <w:r>
        <w:rPr>
          <w:rFonts w:hint="eastAsia"/>
          <w:color w:val="auto"/>
        </w:rPr>
        <w:t>投标</w:t>
      </w:r>
      <w:r>
        <w:rPr>
          <w:rFonts w:hint="eastAsia"/>
        </w:rPr>
        <w:t>人在竞价文件中必须提交设备配置清单，如设备有配套试剂及定期更换的配件请投标时与设备一起报价</w:t>
      </w:r>
      <w:r>
        <w:rPr>
          <w:rFonts w:hint="eastAsia"/>
          <w:color w:val="auto"/>
        </w:rPr>
        <w:t>。</w:t>
      </w:r>
    </w:p>
    <w:p>
      <w:pPr>
        <w:pStyle w:val="2"/>
        <w:ind w:left="-708" w:leftChars="-337" w:firstLine="480" w:firstLineChars="200"/>
        <w:rPr>
          <w:rFonts w:hint="default" w:eastAsia="宋体"/>
          <w:lang w:val="en-US" w:eastAsia="zh-CN"/>
        </w:rPr>
      </w:pPr>
      <w:r>
        <w:rPr>
          <w:rFonts w:hint="eastAsia"/>
          <w:color w:val="auto"/>
          <w:lang w:val="en-US" w:eastAsia="zh-CN"/>
        </w:rPr>
        <w:t>7.</w:t>
      </w:r>
      <w:r>
        <w:rPr>
          <w:rFonts w:hint="eastAsia"/>
        </w:rPr>
        <w:t>中标方</w:t>
      </w:r>
      <w:r>
        <w:rPr>
          <w:rFonts w:hint="eastAsia"/>
          <w:lang w:eastAsia="zh-CN"/>
        </w:rPr>
        <w:t>需承诺</w:t>
      </w:r>
      <w:r>
        <w:rPr>
          <w:rFonts w:hint="eastAsia"/>
        </w:rPr>
        <w:t>完成该仪器与医院提供的</w:t>
      </w:r>
      <w:r>
        <w:rPr>
          <w:rFonts w:hint="eastAsia"/>
          <w:lang w:val="en-US" w:eastAsia="zh-CN"/>
        </w:rPr>
        <w:t>L</w:t>
      </w:r>
      <w:r>
        <w:rPr>
          <w:rFonts w:hint="eastAsia"/>
        </w:rPr>
        <w:t>IS系统连接，并承担接口费用，保证能正常使用，实现医院网络化管理</w:t>
      </w:r>
      <w:r>
        <w:rPr>
          <w:rFonts w:hint="eastAsia"/>
          <w:lang w:eastAsia="zh-CN"/>
        </w:rPr>
        <w:t>。</w:t>
      </w:r>
    </w:p>
    <w:p>
      <w:pPr>
        <w:pStyle w:val="2"/>
        <w:ind w:left="-708" w:leftChars="-337" w:firstLine="241" w:firstLineChars="100"/>
        <w:rPr>
          <w:rFonts w:cs="宋体"/>
          <w:b/>
          <w:bCs/>
        </w:rPr>
      </w:pPr>
      <w:r>
        <w:rPr>
          <w:rFonts w:hint="eastAsia" w:cs="宋体"/>
          <w:b/>
          <w:bCs/>
        </w:rPr>
        <w:t>（四）商务要求</w:t>
      </w:r>
    </w:p>
    <w:p>
      <w:pPr>
        <w:pStyle w:val="2"/>
        <w:ind w:left="-708" w:leftChars="-337" w:firstLine="482" w:firstLineChars="200"/>
        <w:rPr>
          <w:rFonts w:cs="宋体"/>
        </w:rPr>
      </w:pPr>
      <w:r>
        <w:rPr>
          <w:rFonts w:hint="eastAsia" w:cs="宋体"/>
          <w:b/>
          <w:bCs/>
        </w:rPr>
        <w:t>1.投标人资格要求</w:t>
      </w:r>
    </w:p>
    <w:p>
      <w:pPr>
        <w:pStyle w:val="2"/>
        <w:ind w:left="-708" w:leftChars="-337" w:firstLine="480" w:firstLineChars="200"/>
        <w:rPr>
          <w:rFonts w:cs="宋体"/>
        </w:rPr>
      </w:pPr>
      <w:r>
        <w:rPr>
          <w:rFonts w:hint="eastAsia" w:cs="宋体"/>
        </w:rPr>
        <w:t>1）投标人为独立法人，并具备统一社会信用代码。</w:t>
      </w:r>
    </w:p>
    <w:p>
      <w:pPr>
        <w:pStyle w:val="2"/>
        <w:ind w:left="-708" w:leftChars="-337" w:firstLine="480" w:firstLineChars="200"/>
        <w:rPr>
          <w:rFonts w:cs="宋体"/>
        </w:rPr>
      </w:pPr>
      <w:r>
        <w:rPr>
          <w:rFonts w:hint="eastAsia" w:cs="宋体"/>
        </w:rPr>
        <w:t>2）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firstLine="480" w:firstLineChars="200"/>
        <w:rPr>
          <w:rFonts w:cs="宋体"/>
        </w:rPr>
      </w:pPr>
      <w:r>
        <w:rPr>
          <w:rFonts w:hint="eastAsia" w:cs="宋体"/>
        </w:rPr>
        <w:t>3）被列入我院投标人黑名单（在我院招投标活动中存在2次违规行为）未满3年的投标人将被拒绝其参与本次招投标活动。</w:t>
      </w:r>
    </w:p>
    <w:p>
      <w:pPr>
        <w:pStyle w:val="2"/>
        <w:ind w:left="-708" w:leftChars="-337" w:firstLine="480" w:firstLineChars="200"/>
        <w:rPr>
          <w:rFonts w:cs="宋体"/>
          <w:color w:val="auto"/>
        </w:rPr>
      </w:pPr>
      <w:r>
        <w:rPr>
          <w:rFonts w:hint="eastAsia" w:cs="宋体"/>
        </w:rPr>
        <w:t>4）</w:t>
      </w:r>
      <w:r>
        <w:rPr>
          <w:rFonts w:hint="eastAsia" w:cs="宋体"/>
          <w:color w:val="auto"/>
        </w:rPr>
        <w:t>本项目不接收联合体投标。</w:t>
      </w:r>
    </w:p>
    <w:p>
      <w:pPr>
        <w:pStyle w:val="2"/>
        <w:ind w:left="-708" w:leftChars="-337" w:firstLine="482" w:firstLineChars="200"/>
        <w:rPr>
          <w:rFonts w:cs="宋体"/>
          <w:b/>
          <w:bCs/>
        </w:rPr>
      </w:pPr>
      <w:r>
        <w:rPr>
          <w:rFonts w:hint="eastAsia" w:cs="宋体"/>
          <w:b/>
          <w:bCs/>
        </w:rPr>
        <w:t>2.投标产品资格要求</w:t>
      </w:r>
    </w:p>
    <w:p>
      <w:pPr>
        <w:pStyle w:val="2"/>
        <w:ind w:left="-708" w:leftChars="-337" w:firstLine="480" w:firstLineChars="200"/>
      </w:pPr>
      <w:r>
        <w:rPr>
          <w:rFonts w:hint="eastAsia"/>
        </w:rPr>
        <w:t>投标人所投产品要求包含以下相关证件：</w:t>
      </w:r>
      <w:r>
        <w:rPr>
          <w:rFonts w:hint="eastAsia"/>
          <w:highlight w:val="yellow"/>
        </w:rPr>
        <w:t>投标公司的《医疗器械经营许可证》、生产厂家的《医疗器械生产许可证》、设备的《医疗器械注册证》</w:t>
      </w:r>
    </w:p>
    <w:p>
      <w:pPr>
        <w:pStyle w:val="2"/>
        <w:ind w:left="-708" w:leftChars="-337" w:firstLine="482" w:firstLineChars="200"/>
      </w:pPr>
      <w:r>
        <w:rPr>
          <w:rFonts w:hint="eastAsia"/>
          <w:b/>
          <w:bCs/>
        </w:rPr>
        <w:t>3.售后服务和资质</w:t>
      </w:r>
    </w:p>
    <w:p>
      <w:pPr>
        <w:pStyle w:val="2"/>
        <w:ind w:left="-708" w:leftChars="-337" w:firstLine="480" w:firstLineChars="200"/>
      </w:pPr>
      <w:r>
        <w:rPr>
          <w:rFonts w:hint="eastAsia"/>
        </w:rPr>
        <w:t>（1）为了防止虚假应标，项目成交结果公示期间，招标人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2"/>
        <w:ind w:left="-708" w:leftChars="-337" w:firstLine="480" w:firstLineChars="200"/>
        <w:rPr>
          <w:rFonts w:ascii="宋体" w:hAnsi="宋体" w:cs="宋体"/>
          <w:color w:val="000000" w:themeColor="text1"/>
          <w:szCs w:val="21"/>
          <w14:textFill>
            <w14:solidFill>
              <w14:schemeClr w14:val="tx1"/>
            </w14:solidFill>
          </w14:textFill>
        </w:rPr>
      </w:pPr>
      <w:r>
        <w:rPr>
          <w:rFonts w:hint="eastAsia" w:ascii="宋体" w:hAnsi="宋体" w:cs="宋体"/>
        </w:rPr>
        <w:t>（2）质保期：质保期至少</w:t>
      </w:r>
      <w:r>
        <w:rPr>
          <w:rFonts w:hint="eastAsia" w:ascii="宋体" w:hAnsi="宋体" w:cs="宋体"/>
          <w:color w:val="FF0000"/>
          <w:lang w:val="en-US" w:eastAsia="zh-CN"/>
        </w:rPr>
        <w:t>2</w:t>
      </w:r>
      <w:r>
        <w:rPr>
          <w:rFonts w:hint="eastAsia" w:ascii="宋体" w:hAnsi="宋体" w:cs="宋体"/>
        </w:rPr>
        <w:t>年，</w:t>
      </w:r>
      <w:r>
        <w:rPr>
          <w:rFonts w:hint="eastAsia" w:ascii="宋体" w:hAnsi="宋体" w:cs="宋体"/>
          <w:color w:val="000000" w:themeColor="text1"/>
          <w:szCs w:val="21"/>
          <w14:textFill>
            <w14:solidFill>
              <w14:schemeClr w14:val="tx1"/>
            </w14:solidFill>
          </w14:textFill>
        </w:rPr>
        <w:t>质保期内所有由于质量问题导致的硬件产品故障以保修、人工及更换备件标准上门服务并提供终身维护。并</w:t>
      </w:r>
      <w:r>
        <w:rPr>
          <w:rFonts w:hint="eastAsia" w:ascii="宋体" w:hAnsi="宋体" w:cs="宋体"/>
          <w:color w:val="000000" w:themeColor="text1"/>
          <w:spacing w:val="-2"/>
          <w:szCs w:val="21"/>
          <w14:textFill>
            <w14:solidFill>
              <w14:schemeClr w14:val="tx1"/>
            </w14:solidFill>
          </w14:textFill>
        </w:rPr>
        <w:t>按国家有关产品“三包”规定执行“三包”。</w:t>
      </w:r>
      <w:r>
        <w:rPr>
          <w:rFonts w:ascii="宋体" w:hAnsi="宋体" w:cs="宋体"/>
          <w:color w:val="000000" w:themeColor="text1"/>
          <w:szCs w:val="21"/>
          <w14:textFill>
            <w14:solidFill>
              <w14:schemeClr w14:val="tx1"/>
            </w14:solidFill>
          </w14:textFill>
        </w:rPr>
        <w:t xml:space="preserve"> </w:t>
      </w:r>
    </w:p>
    <w:p>
      <w:pPr>
        <w:pStyle w:val="2"/>
        <w:ind w:left="-708" w:leftChars="-337" w:firstLine="480" w:firstLineChars="200"/>
        <w:rPr>
          <w:rFonts w:ascii="宋体" w:hAnsi="宋体" w:cs="宋体"/>
        </w:rPr>
      </w:pPr>
      <w:r>
        <w:rPr>
          <w:rFonts w:hint="eastAsia" w:ascii="宋体" w:hAnsi="宋体" w:cs="宋体"/>
        </w:rPr>
        <w:t>（3）故障处理：厂家须设有24小时免费服务电话，质保期内，在使用过程中发现质量问题或故障时，接到维修通知后，2小时内响应，24小时内实施维修服务。</w:t>
      </w:r>
      <w:r>
        <w:rPr>
          <w:rFonts w:hint="eastAsia" w:ascii="宋体" w:hAnsi="宋体" w:cs="宋体"/>
          <w:color w:val="000000" w:themeColor="text1"/>
          <w14:textFill>
            <w14:solidFill>
              <w14:schemeClr w14:val="tx1"/>
            </w14:solidFill>
          </w14:textFill>
        </w:rPr>
        <w:t>一般问题应在48小时内解决，重大问题或其它无法迅速解决的问题应在一周内解决，</w:t>
      </w:r>
      <w:r>
        <w:rPr>
          <w:rFonts w:hint="eastAsia" w:ascii="宋体" w:hAnsi="宋体" w:cs="宋体"/>
        </w:rPr>
        <w:t>所发生的一切费用由成交供应商负责。</w:t>
      </w:r>
    </w:p>
    <w:p>
      <w:pPr>
        <w:rPr>
          <w:rFonts w:ascii="宋体" w:hAnsi="宋体" w:cs="宋体"/>
          <w:color w:val="000000" w:themeColor="text1"/>
          <w:sz w:val="24"/>
          <w:szCs w:val="24"/>
          <w14:textFill>
            <w14:solidFill>
              <w14:schemeClr w14:val="tx1"/>
            </w14:solidFill>
          </w14:textFill>
        </w:rPr>
      </w:pPr>
      <w:r>
        <w:rPr>
          <w:rFonts w:hint="eastAsia" w:ascii="宋体" w:hAnsi="宋体"/>
          <w:sz w:val="24"/>
          <w:szCs w:val="24"/>
        </w:rPr>
        <w:t>（4）</w:t>
      </w:r>
      <w:r>
        <w:rPr>
          <w:rFonts w:hint="eastAsia" w:ascii="宋体" w:hAnsi="宋体" w:cs="宋体"/>
          <w:sz w:val="24"/>
          <w:szCs w:val="24"/>
        </w:rPr>
        <w:t>签订合同后，</w:t>
      </w:r>
      <w:r>
        <w:rPr>
          <w:rFonts w:hint="eastAsia" w:ascii="宋体" w:hAnsi="宋体" w:cs="宋体"/>
          <w:color w:val="FF0000"/>
          <w:sz w:val="24"/>
          <w:szCs w:val="24"/>
          <w:u w:val="single"/>
        </w:rPr>
        <w:t>30</w:t>
      </w:r>
      <w:r>
        <w:rPr>
          <w:rFonts w:hint="eastAsia" w:ascii="宋体" w:hAnsi="宋体" w:cs="宋体"/>
          <w:sz w:val="24"/>
          <w:szCs w:val="24"/>
        </w:rPr>
        <w:t>天内仪器设备安装调试结束并交付使用，要求（1）</w:t>
      </w:r>
      <w:r>
        <w:rPr>
          <w:rFonts w:hint="eastAsia" w:ascii="宋体" w:hAnsi="宋体" w:cs="宋体"/>
          <w:color w:val="000000" w:themeColor="text1"/>
          <w:sz w:val="24"/>
          <w:szCs w:val="24"/>
          <w14:textFill>
            <w14:solidFill>
              <w14:schemeClr w14:val="tx1"/>
            </w14:solidFill>
          </w14:textFill>
        </w:rPr>
        <w:t>免费送货上门、免费安装调试至设备到达最佳状态。</w:t>
      </w:r>
    </w:p>
    <w:p>
      <w:pPr>
        <w:pStyle w:val="2"/>
        <w:ind w:left="-708" w:leftChars="-337" w:firstLine="480" w:firstLineChars="200"/>
        <w:rPr>
          <w:rFonts w:ascii="宋体" w:hAnsi="宋体" w:cs="宋体"/>
        </w:rPr>
      </w:pPr>
      <w:r>
        <w:rPr>
          <w:rFonts w:hint="eastAsia" w:ascii="宋体" w:hAnsi="宋体" w:cs="宋体"/>
        </w:rPr>
        <w:t>投标人予以特别注意：如出现未能到期供货的情况，采购人有权单方终止合同的执行，所有的经济损失由逾期供货商单方承担。</w:t>
      </w:r>
    </w:p>
    <w:p>
      <w:pPr>
        <w:pStyle w:val="2"/>
        <w:ind w:left="-708" w:leftChars="-337" w:firstLine="480" w:firstLineChars="200"/>
      </w:pPr>
      <w:r>
        <w:rPr>
          <w:rFonts w:cs="宋体"/>
        </w:rPr>
        <w:t>4</w:t>
      </w:r>
      <w:r>
        <w:rPr>
          <w:rFonts w:hint="eastAsia" w:cs="宋体"/>
        </w:rPr>
        <w:t>.交货地点为：</w:t>
      </w:r>
      <w:r>
        <w:rPr>
          <w:rFonts w:hint="eastAsia" w:cs="宋体"/>
          <w:highlight w:val="yellow"/>
        </w:rPr>
        <w:t>广西壮族自治区桂东人民医院指定地点</w:t>
      </w:r>
      <w:r>
        <w:t xml:space="preserve">     </w:t>
      </w:r>
    </w:p>
    <w:p>
      <w:pPr>
        <w:pStyle w:val="2"/>
        <w:ind w:left="-708" w:leftChars="-337" w:firstLine="480" w:firstLineChars="200"/>
      </w:pPr>
      <w:r>
        <w:t>5</w:t>
      </w:r>
      <w:r>
        <w:rPr>
          <w:rFonts w:hint="eastAsia"/>
        </w:rPr>
        <w:t>.付款方式：</w:t>
      </w:r>
    </w:p>
    <w:p>
      <w:pPr>
        <w:widowControl/>
        <w:spacing w:line="360" w:lineRule="auto"/>
        <w:ind w:left="-708" w:leftChars="-337" w:firstLine="480" w:firstLineChars="200"/>
        <w:jc w:val="left"/>
        <w:rPr>
          <w:rFonts w:hint="eastAsia" w:ascii="宋体" w:hAnsi="宋体" w:cs="宋体"/>
          <w:sz w:val="24"/>
          <w:szCs w:val="24"/>
        </w:rPr>
      </w:pPr>
      <w:r>
        <w:rPr>
          <w:rFonts w:ascii="宋体" w:hAnsi="宋体" w:cs="宋体"/>
          <w:sz w:val="24"/>
          <w:szCs w:val="24"/>
        </w:rPr>
        <w:t>签订合同后，全部货物到达指定地点、安装调试并验收合格后，凭双方签署验收合格，成交人开具全额增值税发票给采购人，采购人支付总合同金额的</w:t>
      </w:r>
      <w:r>
        <w:rPr>
          <w:rFonts w:hint="eastAsia" w:ascii="宋体" w:hAnsi="宋体" w:cs="宋体"/>
          <w:sz w:val="24"/>
          <w:szCs w:val="24"/>
        </w:rPr>
        <w:t>100</w:t>
      </w:r>
      <w:r>
        <w:rPr>
          <w:rFonts w:ascii="宋体" w:hAnsi="宋体" w:cs="宋体"/>
          <w:sz w:val="24"/>
          <w:szCs w:val="24"/>
        </w:rPr>
        <w:t>%。</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rPr>
        <w:t>二</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w:t>
      </w:r>
      <w:r>
        <w:rPr>
          <w:rFonts w:hint="eastAsia" w:cs="宋体"/>
          <w:kern w:val="0"/>
          <w:sz w:val="24"/>
          <w:szCs w:val="24"/>
          <w:lang w:eastAsia="zh-CN"/>
        </w:rPr>
        <w:t>中标通知书发出后</w:t>
      </w:r>
      <w:sdt>
        <w:sdtPr>
          <w:rPr>
            <w:rFonts w:hint="eastAsia" w:cs="宋体"/>
            <w:kern w:val="0"/>
            <w:sz w:val="24"/>
            <w:szCs w:val="24"/>
          </w:rPr>
          <w:alias w:val="无特殊情况不建议修改"/>
          <w:tag w:val="无特殊情况不建议修改"/>
          <w:id w:val="-183904816"/>
          <w:placeholder>
            <w:docPart w:val="DefaultPlaceholder_-1854013440"/>
          </w:placeholder>
        </w:sdtPr>
        <w:sdtEndPr>
          <w:rPr>
            <w:rFonts w:hint="eastAsia" w:cs="宋体"/>
            <w:color w:val="FF0000"/>
            <w:kern w:val="0"/>
            <w:sz w:val="24"/>
            <w:szCs w:val="24"/>
            <w:u w:val="single"/>
            <w:lang w:val="en-US" w:eastAsia="zh-CN"/>
          </w:rPr>
        </w:sdtEndPr>
        <w:sdtContent>
          <w:r>
            <w:rPr>
              <w:rFonts w:hint="eastAsia" w:cs="宋体"/>
              <w:color w:val="FF0000"/>
              <w:kern w:val="0"/>
              <w:sz w:val="24"/>
              <w:szCs w:val="24"/>
              <w:u w:val="single"/>
              <w:lang w:val="en-US" w:eastAsia="zh-CN"/>
            </w:rPr>
            <w:t>5个工作日</w:t>
          </w:r>
        </w:sdtContent>
      </w:sdt>
      <w:r>
        <w:rPr>
          <w:rFonts w:hint="eastAsia" w:cs="宋体"/>
          <w:color w:val="FF0000"/>
          <w:kern w:val="0"/>
          <w:sz w:val="24"/>
          <w:szCs w:val="24"/>
          <w:u w:val="single"/>
          <w:lang w:val="en-US" w:eastAsia="zh-CN"/>
        </w:rPr>
        <w:t>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rPr>
        <w:t>三、特别说明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spacing w:line="360" w:lineRule="auto"/>
        <w:ind w:firstLine="422" w:firstLineChars="200"/>
        <w:jc w:val="left"/>
        <w:rPr>
          <w:rFonts w:cs="宋体"/>
          <w:kern w:val="0"/>
          <w:sz w:val="24"/>
          <w:szCs w:val="24"/>
        </w:rPr>
      </w:pPr>
      <w:r>
        <w:rPr>
          <w:b/>
          <w:bCs/>
          <w:kern w:val="0"/>
        </w:rPr>
        <w:br w:type="page"/>
      </w:r>
    </w:p>
    <w:p>
      <w:pPr>
        <w:widowControl/>
        <w:jc w:val="center"/>
        <w:rPr>
          <w:rFonts w:hint="eastAsia" w:cs="宋体"/>
          <w:b/>
          <w:bCs/>
          <w:kern w:val="0"/>
          <w:sz w:val="38"/>
          <w:szCs w:val="38"/>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eb852781-3280-4809-add0-045060ef4cce}"/>
          </w:placeholder>
        </w:sdtPr>
        <w:sdtEndPr>
          <w:rPr>
            <w:rFonts w:hint="eastAsia" w:cs="宋体"/>
            <w:kern w:val="0"/>
            <w:sz w:val="24"/>
            <w:szCs w:val="24"/>
            <w:u w:val="single"/>
          </w:rPr>
        </w:sdtEndPr>
        <w:sdtContent>
          <w:r>
            <w:rPr>
              <w:rFonts w:hint="eastAsia" w:cs="宋体"/>
              <w:b/>
              <w:bCs/>
              <w:kern w:val="0"/>
              <w:sz w:val="24"/>
              <w:szCs w:val="24"/>
              <w:u w:val="single"/>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1"/>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2"/>
        <w:ind w:firstLine="480" w:firstLineChars="200"/>
      </w:pPr>
      <w:r>
        <w:t>投标报价得分=（评标基准价÷投标报价）×</w:t>
      </w:r>
      <w:r>
        <w:rPr>
          <w:rFonts w:hint="eastAsia" w:cs="宋体"/>
          <w:color w:val="auto"/>
        </w:rPr>
        <w:t>X</w:t>
      </w:r>
      <w:r>
        <w:t>（计算结果四舍五入，保留两位小数）</w:t>
      </w:r>
    </w:p>
    <w:p>
      <w:pPr>
        <w:pStyle w:val="2"/>
        <w:ind w:firstLine="480" w:firstLineChars="200"/>
      </w:pPr>
      <w:r>
        <w:rPr>
          <w:rFonts w:hint="eastAsia"/>
        </w:rPr>
        <w:t>1.4货物类报价分区间为30-60分</w:t>
      </w:r>
    </w:p>
    <w:p>
      <w:pPr>
        <w:pStyle w:val="2"/>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2"/>
      </w:pPr>
      <w:r>
        <w:rPr>
          <w:rFonts w:hint="eastAsia"/>
        </w:rPr>
        <w:t xml:space="preserve"> </w:t>
      </w:r>
      <w:r>
        <w:t xml:space="preserve">   </w:t>
      </w:r>
      <w:r>
        <w:rPr>
          <w:rFonts w:hint="eastAsia"/>
        </w:rPr>
        <w:t>2.1考察投标人产品技术参数、性能要求、功能特性等响应及偏离情况</w:t>
      </w:r>
    </w:p>
    <w:p>
      <w:pPr>
        <w:pStyle w:val="2"/>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2"/>
        <w:ind w:firstLine="480" w:firstLineChars="200"/>
      </w:pPr>
      <w:r>
        <w:rPr>
          <w:rFonts w:hint="eastAsia"/>
        </w:rPr>
        <w:t>3.1考察投标人的服务方案、售后服务承诺、投入人员、更长保修期等情况</w:t>
      </w:r>
    </w:p>
    <w:p>
      <w:pPr>
        <w:pStyle w:val="2"/>
        <w:ind w:firstLine="480" w:firstLineChars="200"/>
      </w:pPr>
      <w:r>
        <w:rPr>
          <w:rFonts w:hint="eastAsia"/>
        </w:rPr>
        <w:t>3.2区间为10-20分</w:t>
      </w:r>
    </w:p>
    <w:p>
      <w:pPr>
        <w:pStyle w:val="2"/>
        <w:ind w:firstLine="482" w:firstLineChars="200"/>
        <w:rPr>
          <w:b/>
          <w:bCs/>
        </w:rPr>
      </w:pPr>
      <w:r>
        <w:rPr>
          <w:rFonts w:hint="eastAsia"/>
          <w:b/>
          <w:bCs/>
        </w:rPr>
        <w:t>4.履约能力分</w:t>
      </w:r>
    </w:p>
    <w:p>
      <w:pPr>
        <w:pStyle w:val="2"/>
        <w:ind w:firstLine="480" w:firstLineChars="200"/>
      </w:pPr>
      <w:r>
        <w:rPr>
          <w:rFonts w:hint="eastAsia"/>
        </w:rPr>
        <w:t>4.1考察投标人的信誉业绩、相关资质、认证证书等情况</w:t>
      </w:r>
    </w:p>
    <w:p>
      <w:pPr>
        <w:pStyle w:val="2"/>
        <w:ind w:firstLine="480" w:firstLineChars="200"/>
      </w:pPr>
      <w:r>
        <w:rPr>
          <w:rFonts w:hint="eastAsia"/>
        </w:rPr>
        <w:t>4.2区间5-15分</w:t>
      </w:r>
    </w:p>
    <w:p>
      <w:pPr>
        <w:pStyle w:val="2"/>
        <w:ind w:firstLine="482" w:firstLineChars="200"/>
        <w:rPr>
          <w:b/>
          <w:bCs/>
        </w:rPr>
      </w:pPr>
      <w:r>
        <w:rPr>
          <w:rFonts w:hint="eastAsia"/>
          <w:b/>
          <w:bCs/>
        </w:rPr>
        <w:t>5.产品特性分</w:t>
      </w:r>
    </w:p>
    <w:p>
      <w:pPr>
        <w:pStyle w:val="2"/>
        <w:ind w:firstLine="480" w:firstLineChars="200"/>
      </w:pPr>
      <w:r>
        <w:rPr>
          <w:rFonts w:hint="eastAsia"/>
        </w:rPr>
        <w:t>5.1主要考察投标人产品的节能环保认证等情况</w:t>
      </w:r>
    </w:p>
    <w:p>
      <w:pPr>
        <w:pStyle w:val="2"/>
        <w:ind w:firstLine="480" w:firstLineChars="200"/>
      </w:pPr>
      <w:r>
        <w:rPr>
          <w:rFonts w:hint="eastAsia"/>
        </w:rPr>
        <w:t>5.2区间1-3分</w:t>
      </w:r>
    </w:p>
    <w:p>
      <w:pPr>
        <w:pStyle w:val="2"/>
        <w:ind w:firstLine="482" w:firstLineChars="200"/>
        <w:rPr>
          <w:b/>
          <w:bCs/>
        </w:rPr>
      </w:pPr>
      <w:r>
        <w:rPr>
          <w:rFonts w:hint="eastAsia"/>
          <w:b/>
          <w:bCs/>
        </w:rPr>
        <w:t>6.其他分值</w:t>
      </w:r>
    </w:p>
    <w:p>
      <w:pPr>
        <w:pStyle w:val="2"/>
        <w:ind w:firstLine="480" w:firstLineChars="200"/>
      </w:pPr>
      <w:r>
        <w:rPr>
          <w:rFonts w:hint="eastAsia"/>
        </w:rPr>
        <w:t>6.1包括演示、样品或招标人认为需要的其他评分项目</w:t>
      </w:r>
    </w:p>
    <w:p>
      <w:pPr>
        <w:pStyle w:val="2"/>
        <w:ind w:firstLine="480" w:firstLineChars="200"/>
      </w:pPr>
      <w:r>
        <w:rPr>
          <w:rFonts w:hint="eastAsia"/>
        </w:rPr>
        <w:t>6.2区间10-15分</w:t>
      </w:r>
    </w:p>
    <w:p>
      <w:bookmarkStart w:id="0" w:name="_GoBack"/>
      <w:bookmarkEnd w:id="0"/>
    </w:p>
    <w:sectPr>
      <w:pgSz w:w="11906" w:h="16838"/>
      <w:pgMar w:top="1134" w:right="850"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C0F106"/>
    <w:multiLevelType w:val="singleLevel"/>
    <w:tmpl w:val="59C0F10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102F6"/>
    <w:rsid w:val="00033BF9"/>
    <w:rsid w:val="00066185"/>
    <w:rsid w:val="00066410"/>
    <w:rsid w:val="00080292"/>
    <w:rsid w:val="0008196D"/>
    <w:rsid w:val="00095D83"/>
    <w:rsid w:val="000A6C18"/>
    <w:rsid w:val="000B7E2D"/>
    <w:rsid w:val="000E1AA6"/>
    <w:rsid w:val="000E43F2"/>
    <w:rsid w:val="000F6FAF"/>
    <w:rsid w:val="001227B3"/>
    <w:rsid w:val="00122D7F"/>
    <w:rsid w:val="00182B0D"/>
    <w:rsid w:val="001D28DE"/>
    <w:rsid w:val="001F0B73"/>
    <w:rsid w:val="00204183"/>
    <w:rsid w:val="00227F50"/>
    <w:rsid w:val="00235D4A"/>
    <w:rsid w:val="00241CD6"/>
    <w:rsid w:val="00267B8A"/>
    <w:rsid w:val="00273025"/>
    <w:rsid w:val="00284D85"/>
    <w:rsid w:val="002C7944"/>
    <w:rsid w:val="002D30EA"/>
    <w:rsid w:val="00345AF2"/>
    <w:rsid w:val="003C3AB5"/>
    <w:rsid w:val="003D69C9"/>
    <w:rsid w:val="003E2FE0"/>
    <w:rsid w:val="003E7DC1"/>
    <w:rsid w:val="004049E5"/>
    <w:rsid w:val="0046083D"/>
    <w:rsid w:val="00474079"/>
    <w:rsid w:val="004C7EB2"/>
    <w:rsid w:val="004D08F5"/>
    <w:rsid w:val="004D2825"/>
    <w:rsid w:val="004F5A76"/>
    <w:rsid w:val="005007DD"/>
    <w:rsid w:val="00552025"/>
    <w:rsid w:val="00575A8F"/>
    <w:rsid w:val="005B049F"/>
    <w:rsid w:val="005B30C7"/>
    <w:rsid w:val="005D491D"/>
    <w:rsid w:val="005E1E53"/>
    <w:rsid w:val="00622354"/>
    <w:rsid w:val="006431C4"/>
    <w:rsid w:val="00654BC6"/>
    <w:rsid w:val="006554EB"/>
    <w:rsid w:val="00684BD7"/>
    <w:rsid w:val="0068524B"/>
    <w:rsid w:val="00694752"/>
    <w:rsid w:val="006A12DF"/>
    <w:rsid w:val="006A1C3F"/>
    <w:rsid w:val="006B2F74"/>
    <w:rsid w:val="006C469B"/>
    <w:rsid w:val="006E5543"/>
    <w:rsid w:val="006F775C"/>
    <w:rsid w:val="00704516"/>
    <w:rsid w:val="00707A97"/>
    <w:rsid w:val="007814EA"/>
    <w:rsid w:val="00785CD1"/>
    <w:rsid w:val="007A5910"/>
    <w:rsid w:val="007F6F70"/>
    <w:rsid w:val="008073E3"/>
    <w:rsid w:val="00825B15"/>
    <w:rsid w:val="008553F8"/>
    <w:rsid w:val="00871C48"/>
    <w:rsid w:val="00880ACF"/>
    <w:rsid w:val="008947BF"/>
    <w:rsid w:val="00895D3F"/>
    <w:rsid w:val="008A5DC5"/>
    <w:rsid w:val="008D3A6F"/>
    <w:rsid w:val="008D7AA4"/>
    <w:rsid w:val="00917603"/>
    <w:rsid w:val="009530DC"/>
    <w:rsid w:val="00983CFC"/>
    <w:rsid w:val="00984054"/>
    <w:rsid w:val="009A1AEE"/>
    <w:rsid w:val="009E1C35"/>
    <w:rsid w:val="009F69BD"/>
    <w:rsid w:val="00A2105C"/>
    <w:rsid w:val="00A32A4C"/>
    <w:rsid w:val="00A44D5C"/>
    <w:rsid w:val="00A715B1"/>
    <w:rsid w:val="00A72D1F"/>
    <w:rsid w:val="00A7441F"/>
    <w:rsid w:val="00A83F43"/>
    <w:rsid w:val="00AB2B0A"/>
    <w:rsid w:val="00AC0EA5"/>
    <w:rsid w:val="00AF123F"/>
    <w:rsid w:val="00B01EDF"/>
    <w:rsid w:val="00B07FB2"/>
    <w:rsid w:val="00B1102B"/>
    <w:rsid w:val="00B8409A"/>
    <w:rsid w:val="00BA3521"/>
    <w:rsid w:val="00BB74B3"/>
    <w:rsid w:val="00BD2E0E"/>
    <w:rsid w:val="00BE1AC9"/>
    <w:rsid w:val="00C01322"/>
    <w:rsid w:val="00C20E88"/>
    <w:rsid w:val="00C33384"/>
    <w:rsid w:val="00C50E05"/>
    <w:rsid w:val="00C63508"/>
    <w:rsid w:val="00C762C8"/>
    <w:rsid w:val="00C97AD7"/>
    <w:rsid w:val="00CC2DEE"/>
    <w:rsid w:val="00CD27A2"/>
    <w:rsid w:val="00CF520E"/>
    <w:rsid w:val="00D2336F"/>
    <w:rsid w:val="00D2685D"/>
    <w:rsid w:val="00D41CB5"/>
    <w:rsid w:val="00D57065"/>
    <w:rsid w:val="00D635CE"/>
    <w:rsid w:val="00DB5864"/>
    <w:rsid w:val="00E1137B"/>
    <w:rsid w:val="00E13FCC"/>
    <w:rsid w:val="00E14108"/>
    <w:rsid w:val="00E22FBA"/>
    <w:rsid w:val="00E238E5"/>
    <w:rsid w:val="00E56930"/>
    <w:rsid w:val="00E67DBF"/>
    <w:rsid w:val="00E72BBE"/>
    <w:rsid w:val="00E74D5B"/>
    <w:rsid w:val="00E9399F"/>
    <w:rsid w:val="00EA02CE"/>
    <w:rsid w:val="00EB1C9B"/>
    <w:rsid w:val="00ED5546"/>
    <w:rsid w:val="00EF6FEC"/>
    <w:rsid w:val="00F12B55"/>
    <w:rsid w:val="00F35BD9"/>
    <w:rsid w:val="00F744DE"/>
    <w:rsid w:val="00F92C1F"/>
    <w:rsid w:val="00FB5B7F"/>
    <w:rsid w:val="00FB6C61"/>
    <w:rsid w:val="00FF2F38"/>
    <w:rsid w:val="041C59DD"/>
    <w:rsid w:val="044C0C16"/>
    <w:rsid w:val="04A66578"/>
    <w:rsid w:val="04F07B21"/>
    <w:rsid w:val="04F63CC6"/>
    <w:rsid w:val="05611025"/>
    <w:rsid w:val="0587295E"/>
    <w:rsid w:val="05B60A3D"/>
    <w:rsid w:val="05B9677F"/>
    <w:rsid w:val="05EF184D"/>
    <w:rsid w:val="05F15F19"/>
    <w:rsid w:val="06A558C1"/>
    <w:rsid w:val="06C158EB"/>
    <w:rsid w:val="06D05B2E"/>
    <w:rsid w:val="072F63A4"/>
    <w:rsid w:val="07D63618"/>
    <w:rsid w:val="085A59A9"/>
    <w:rsid w:val="08646E76"/>
    <w:rsid w:val="09C53074"/>
    <w:rsid w:val="09C85F7A"/>
    <w:rsid w:val="0A0362F9"/>
    <w:rsid w:val="0A4F1460"/>
    <w:rsid w:val="0A64315D"/>
    <w:rsid w:val="0AEC01AE"/>
    <w:rsid w:val="0BC91684"/>
    <w:rsid w:val="0C4C20FB"/>
    <w:rsid w:val="0C57383A"/>
    <w:rsid w:val="0C5C544D"/>
    <w:rsid w:val="0C8B0F07"/>
    <w:rsid w:val="0DDF6528"/>
    <w:rsid w:val="0E107158"/>
    <w:rsid w:val="0EAF35B4"/>
    <w:rsid w:val="0F410916"/>
    <w:rsid w:val="0FBD18F4"/>
    <w:rsid w:val="0FC41FA8"/>
    <w:rsid w:val="0FF80B5C"/>
    <w:rsid w:val="10AC585F"/>
    <w:rsid w:val="10C44FE5"/>
    <w:rsid w:val="10C97A40"/>
    <w:rsid w:val="10D00951"/>
    <w:rsid w:val="11270A41"/>
    <w:rsid w:val="112C6057"/>
    <w:rsid w:val="122B15C9"/>
    <w:rsid w:val="127B7685"/>
    <w:rsid w:val="12F928B1"/>
    <w:rsid w:val="130A061A"/>
    <w:rsid w:val="140D1AAC"/>
    <w:rsid w:val="144B713C"/>
    <w:rsid w:val="14A4200E"/>
    <w:rsid w:val="14BA18FD"/>
    <w:rsid w:val="14C8795A"/>
    <w:rsid w:val="15497022"/>
    <w:rsid w:val="166025A2"/>
    <w:rsid w:val="16DE1BA1"/>
    <w:rsid w:val="175D42E5"/>
    <w:rsid w:val="17BE7C25"/>
    <w:rsid w:val="1A0441DC"/>
    <w:rsid w:val="1A3A1DF9"/>
    <w:rsid w:val="1A5D5E77"/>
    <w:rsid w:val="1A8962C8"/>
    <w:rsid w:val="1ADD6755"/>
    <w:rsid w:val="1B905FB1"/>
    <w:rsid w:val="1B9E58C2"/>
    <w:rsid w:val="1BD17F27"/>
    <w:rsid w:val="1C7A583D"/>
    <w:rsid w:val="1CDA5E97"/>
    <w:rsid w:val="1D1D0F4A"/>
    <w:rsid w:val="1E075E82"/>
    <w:rsid w:val="1E7B30DA"/>
    <w:rsid w:val="1ECB216E"/>
    <w:rsid w:val="1F947BE9"/>
    <w:rsid w:val="1F9E2816"/>
    <w:rsid w:val="1FB36A5F"/>
    <w:rsid w:val="1FDC1EA2"/>
    <w:rsid w:val="204E6A4B"/>
    <w:rsid w:val="21247AE2"/>
    <w:rsid w:val="212C6D5E"/>
    <w:rsid w:val="214F4DED"/>
    <w:rsid w:val="2218153E"/>
    <w:rsid w:val="221E4DD0"/>
    <w:rsid w:val="22297C26"/>
    <w:rsid w:val="22BD2FB3"/>
    <w:rsid w:val="23F9728E"/>
    <w:rsid w:val="246B74DB"/>
    <w:rsid w:val="248D10AB"/>
    <w:rsid w:val="24942439"/>
    <w:rsid w:val="24C06C99"/>
    <w:rsid w:val="24E3352A"/>
    <w:rsid w:val="24FD4D83"/>
    <w:rsid w:val="250709CF"/>
    <w:rsid w:val="251A729B"/>
    <w:rsid w:val="252E3513"/>
    <w:rsid w:val="25E1520A"/>
    <w:rsid w:val="26582593"/>
    <w:rsid w:val="266F2816"/>
    <w:rsid w:val="26773DC1"/>
    <w:rsid w:val="26A34BB6"/>
    <w:rsid w:val="26A36964"/>
    <w:rsid w:val="26ED7BDF"/>
    <w:rsid w:val="27A139FD"/>
    <w:rsid w:val="27A21081"/>
    <w:rsid w:val="2866687F"/>
    <w:rsid w:val="28AC5FA3"/>
    <w:rsid w:val="2B1C0FE7"/>
    <w:rsid w:val="2B5C2C61"/>
    <w:rsid w:val="2D68718B"/>
    <w:rsid w:val="2E44559E"/>
    <w:rsid w:val="2EBA2867"/>
    <w:rsid w:val="2FA71273"/>
    <w:rsid w:val="301305E9"/>
    <w:rsid w:val="3194337D"/>
    <w:rsid w:val="31DF79A9"/>
    <w:rsid w:val="32110C25"/>
    <w:rsid w:val="327D275F"/>
    <w:rsid w:val="32B43B8A"/>
    <w:rsid w:val="32BD6542"/>
    <w:rsid w:val="33501CEB"/>
    <w:rsid w:val="341A0846"/>
    <w:rsid w:val="34425A0E"/>
    <w:rsid w:val="34642367"/>
    <w:rsid w:val="34853AA5"/>
    <w:rsid w:val="34CC4FFC"/>
    <w:rsid w:val="352A3AB6"/>
    <w:rsid w:val="3737378F"/>
    <w:rsid w:val="37585483"/>
    <w:rsid w:val="37A91900"/>
    <w:rsid w:val="3806606D"/>
    <w:rsid w:val="38712E03"/>
    <w:rsid w:val="38C93665"/>
    <w:rsid w:val="38F605A0"/>
    <w:rsid w:val="392B3B87"/>
    <w:rsid w:val="397701BE"/>
    <w:rsid w:val="3A0D261A"/>
    <w:rsid w:val="3A4B1292"/>
    <w:rsid w:val="3AC76C6D"/>
    <w:rsid w:val="3ACC5F8D"/>
    <w:rsid w:val="3B0752BB"/>
    <w:rsid w:val="3B1672AC"/>
    <w:rsid w:val="3B5B69F6"/>
    <w:rsid w:val="3C257F0F"/>
    <w:rsid w:val="3C85293C"/>
    <w:rsid w:val="3CBC3E83"/>
    <w:rsid w:val="3CE60193"/>
    <w:rsid w:val="3D1B32A0"/>
    <w:rsid w:val="3D8E3A72"/>
    <w:rsid w:val="3D9F7A2D"/>
    <w:rsid w:val="3E0A2E40"/>
    <w:rsid w:val="3E307392"/>
    <w:rsid w:val="3E4E4FAF"/>
    <w:rsid w:val="3ED361A5"/>
    <w:rsid w:val="3F037C9B"/>
    <w:rsid w:val="3F376133"/>
    <w:rsid w:val="3F386C9D"/>
    <w:rsid w:val="3F5465F5"/>
    <w:rsid w:val="3F5D12BF"/>
    <w:rsid w:val="3F88334C"/>
    <w:rsid w:val="40E85247"/>
    <w:rsid w:val="41366ED0"/>
    <w:rsid w:val="424E39A9"/>
    <w:rsid w:val="4286740D"/>
    <w:rsid w:val="42AE0157"/>
    <w:rsid w:val="42D10E7F"/>
    <w:rsid w:val="42F56341"/>
    <w:rsid w:val="45883236"/>
    <w:rsid w:val="45EB3B06"/>
    <w:rsid w:val="46BA3873"/>
    <w:rsid w:val="480C5CBF"/>
    <w:rsid w:val="48641843"/>
    <w:rsid w:val="492E435B"/>
    <w:rsid w:val="492F5696"/>
    <w:rsid w:val="49675177"/>
    <w:rsid w:val="49AA1621"/>
    <w:rsid w:val="4AB10DA0"/>
    <w:rsid w:val="4AB35768"/>
    <w:rsid w:val="4ADB406F"/>
    <w:rsid w:val="4BDC0E24"/>
    <w:rsid w:val="4C7F2195"/>
    <w:rsid w:val="4D150A94"/>
    <w:rsid w:val="4D1D67F6"/>
    <w:rsid w:val="4DFF1C65"/>
    <w:rsid w:val="4E7A2EF9"/>
    <w:rsid w:val="4EA77BEE"/>
    <w:rsid w:val="4F0A0A7E"/>
    <w:rsid w:val="4F267FC7"/>
    <w:rsid w:val="4F787048"/>
    <w:rsid w:val="4FFE4E89"/>
    <w:rsid w:val="51976B19"/>
    <w:rsid w:val="523A473D"/>
    <w:rsid w:val="52744CA6"/>
    <w:rsid w:val="52EA0FEF"/>
    <w:rsid w:val="52ED0DE3"/>
    <w:rsid w:val="52F777D3"/>
    <w:rsid w:val="53682217"/>
    <w:rsid w:val="5373304E"/>
    <w:rsid w:val="539B006B"/>
    <w:rsid w:val="53D855EF"/>
    <w:rsid w:val="540208BE"/>
    <w:rsid w:val="54263430"/>
    <w:rsid w:val="546D21DB"/>
    <w:rsid w:val="56791B90"/>
    <w:rsid w:val="57292966"/>
    <w:rsid w:val="57BC2879"/>
    <w:rsid w:val="58AB32D2"/>
    <w:rsid w:val="58BA59F2"/>
    <w:rsid w:val="5A1B57E1"/>
    <w:rsid w:val="5B4517BC"/>
    <w:rsid w:val="5BCB48E6"/>
    <w:rsid w:val="5BD2436E"/>
    <w:rsid w:val="5CA22C3E"/>
    <w:rsid w:val="5CD96603"/>
    <w:rsid w:val="5D33143B"/>
    <w:rsid w:val="5DEB0F45"/>
    <w:rsid w:val="5E116BDB"/>
    <w:rsid w:val="5EB915BA"/>
    <w:rsid w:val="5EC0115A"/>
    <w:rsid w:val="5FBF1411"/>
    <w:rsid w:val="5FBF74F7"/>
    <w:rsid w:val="601E082E"/>
    <w:rsid w:val="60433DF0"/>
    <w:rsid w:val="60A26D69"/>
    <w:rsid w:val="61702322"/>
    <w:rsid w:val="619A0388"/>
    <w:rsid w:val="61A86601"/>
    <w:rsid w:val="61DA42C9"/>
    <w:rsid w:val="620068EC"/>
    <w:rsid w:val="622562E9"/>
    <w:rsid w:val="62424D8A"/>
    <w:rsid w:val="62FE6288"/>
    <w:rsid w:val="644621C4"/>
    <w:rsid w:val="648F0FD0"/>
    <w:rsid w:val="65436640"/>
    <w:rsid w:val="65680E46"/>
    <w:rsid w:val="659C46CE"/>
    <w:rsid w:val="66122DE8"/>
    <w:rsid w:val="66C8679B"/>
    <w:rsid w:val="66CC0FE3"/>
    <w:rsid w:val="67DF6AF4"/>
    <w:rsid w:val="68861BB7"/>
    <w:rsid w:val="68C10ACC"/>
    <w:rsid w:val="691F78D0"/>
    <w:rsid w:val="69333123"/>
    <w:rsid w:val="69CD6553"/>
    <w:rsid w:val="69DF2AC4"/>
    <w:rsid w:val="6AAD6A36"/>
    <w:rsid w:val="6B4567FC"/>
    <w:rsid w:val="6B5E41D4"/>
    <w:rsid w:val="6B74481F"/>
    <w:rsid w:val="6B7C465A"/>
    <w:rsid w:val="6B905A67"/>
    <w:rsid w:val="6C465394"/>
    <w:rsid w:val="6C4F67ED"/>
    <w:rsid w:val="6C6D2921"/>
    <w:rsid w:val="6D4C75E9"/>
    <w:rsid w:val="6DAE1443"/>
    <w:rsid w:val="6DD0797D"/>
    <w:rsid w:val="6DFE0B35"/>
    <w:rsid w:val="6E5A5127"/>
    <w:rsid w:val="6E82467D"/>
    <w:rsid w:val="6F4F27B2"/>
    <w:rsid w:val="703570DE"/>
    <w:rsid w:val="71063344"/>
    <w:rsid w:val="71747D49"/>
    <w:rsid w:val="722A12B4"/>
    <w:rsid w:val="723B0DCB"/>
    <w:rsid w:val="72933F95"/>
    <w:rsid w:val="732D6613"/>
    <w:rsid w:val="73FC0FB7"/>
    <w:rsid w:val="74017DF2"/>
    <w:rsid w:val="744245F4"/>
    <w:rsid w:val="74B5471E"/>
    <w:rsid w:val="75661EAC"/>
    <w:rsid w:val="757F36C5"/>
    <w:rsid w:val="762B1157"/>
    <w:rsid w:val="765D0487"/>
    <w:rsid w:val="76D6141B"/>
    <w:rsid w:val="778C3E77"/>
    <w:rsid w:val="77B64708"/>
    <w:rsid w:val="77C67389"/>
    <w:rsid w:val="787212BF"/>
    <w:rsid w:val="7923015C"/>
    <w:rsid w:val="79FC3536"/>
    <w:rsid w:val="7AAD2A82"/>
    <w:rsid w:val="7AB72C56"/>
    <w:rsid w:val="7ABA3126"/>
    <w:rsid w:val="7AEA5A84"/>
    <w:rsid w:val="7B8C2CD6"/>
    <w:rsid w:val="7BD227A0"/>
    <w:rsid w:val="7BF429B9"/>
    <w:rsid w:val="7C7154A6"/>
    <w:rsid w:val="7CBA6985"/>
    <w:rsid w:val="7CC0084B"/>
    <w:rsid w:val="7E176B90"/>
    <w:rsid w:val="7E970FC6"/>
    <w:rsid w:val="7E9A0A8C"/>
    <w:rsid w:val="7EF706D4"/>
    <w:rsid w:val="7FC56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4">
    <w:name w:val="annotation text"/>
    <w:basedOn w:val="1"/>
    <w:link w:val="18"/>
    <w:qFormat/>
    <w:uiPriority w:val="99"/>
    <w:pPr>
      <w:jc w:val="left"/>
    </w:pPr>
  </w:style>
  <w:style w:type="paragraph" w:styleId="5">
    <w:name w:val="Body Text"/>
    <w:basedOn w:val="1"/>
    <w:next w:val="1"/>
    <w:unhideWhenUsed/>
    <w:qFormat/>
    <w:uiPriority w:val="0"/>
    <w:pPr>
      <w:spacing w:after="120"/>
    </w:pPr>
  </w:style>
  <w:style w:type="paragraph" w:styleId="6">
    <w:name w:val="Plain Text"/>
    <w:basedOn w:val="1"/>
    <w:link w:val="20"/>
    <w:qFormat/>
    <w:uiPriority w:val="0"/>
    <w:rPr>
      <w:rFonts w:ascii="宋体" w:hAnsi="Courier New"/>
    </w:rPr>
  </w:style>
  <w:style w:type="paragraph" w:styleId="7">
    <w:name w:val="Balloon Text"/>
    <w:basedOn w:val="1"/>
    <w:link w:val="29"/>
    <w:semiHidden/>
    <w:unhideWhenUsed/>
    <w:qFormat/>
    <w:uiPriority w:val="99"/>
    <w:rPr>
      <w:sz w:val="18"/>
      <w:szCs w:val="18"/>
    </w:rPr>
  </w:style>
  <w:style w:type="paragraph" w:styleId="8">
    <w:name w:val="footer"/>
    <w:basedOn w:val="1"/>
    <w:link w:val="24"/>
    <w:unhideWhenUsed/>
    <w:qFormat/>
    <w:uiPriority w:val="99"/>
    <w:pPr>
      <w:tabs>
        <w:tab w:val="center" w:pos="4153"/>
        <w:tab w:val="right" w:pos="8306"/>
      </w:tabs>
      <w:snapToGrid w:val="0"/>
      <w:jc w:val="left"/>
    </w:pPr>
    <w:rPr>
      <w:sz w:val="18"/>
      <w:szCs w:val="18"/>
    </w:rPr>
  </w:style>
  <w:style w:type="paragraph" w:styleId="9">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9"/>
    <w:semiHidden/>
    <w:unhideWhenUsed/>
    <w:qFormat/>
    <w:uiPriority w:val="99"/>
    <w:rPr>
      <w:b/>
      <w:bCs/>
    </w:rPr>
  </w:style>
  <w:style w:type="paragraph" w:styleId="11">
    <w:name w:val="Body Text First Indent"/>
    <w:basedOn w:val="5"/>
    <w:unhideWhenUsed/>
    <w:qFormat/>
    <w:uiPriority w:val="99"/>
    <w:pPr>
      <w:ind w:firstLine="420" w:firstLineChars="100"/>
    </w:p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annotation reference"/>
    <w:semiHidden/>
    <w:qFormat/>
    <w:uiPriority w:val="99"/>
    <w:rPr>
      <w:sz w:val="21"/>
      <w:szCs w:val="21"/>
    </w:rPr>
  </w:style>
  <w:style w:type="character" w:customStyle="1" w:styleId="17">
    <w:name w:val="批注文字 字符"/>
    <w:basedOn w:val="14"/>
    <w:qFormat/>
    <w:uiPriority w:val="99"/>
    <w:rPr>
      <w:rFonts w:ascii="Times New Roman" w:hAnsi="Times New Roman" w:eastAsia="宋体" w:cs="Times New Roman"/>
      <w:szCs w:val="21"/>
    </w:rPr>
  </w:style>
  <w:style w:type="character" w:customStyle="1" w:styleId="18">
    <w:name w:val="批注文字 字符1"/>
    <w:link w:val="4"/>
    <w:semiHidden/>
    <w:qFormat/>
    <w:uiPriority w:val="99"/>
    <w:rPr>
      <w:rFonts w:ascii="Times New Roman" w:hAnsi="Times New Roman" w:eastAsia="宋体" w:cs="Times New Roman"/>
      <w:szCs w:val="21"/>
    </w:rPr>
  </w:style>
  <w:style w:type="character" w:customStyle="1" w:styleId="19">
    <w:name w:val="批注主题 字符"/>
    <w:basedOn w:val="18"/>
    <w:link w:val="10"/>
    <w:semiHidden/>
    <w:qFormat/>
    <w:uiPriority w:val="99"/>
    <w:rPr>
      <w:rFonts w:ascii="Times New Roman" w:hAnsi="Times New Roman" w:eastAsia="宋体" w:cs="Times New Roman"/>
      <w:b/>
      <w:bCs/>
      <w:szCs w:val="21"/>
    </w:rPr>
  </w:style>
  <w:style w:type="character" w:customStyle="1" w:styleId="20">
    <w:name w:val="纯文本 字符"/>
    <w:basedOn w:val="14"/>
    <w:link w:val="6"/>
    <w:qFormat/>
    <w:uiPriority w:val="0"/>
    <w:rPr>
      <w:rFonts w:ascii="宋体" w:hAnsi="Courier New" w:eastAsia="宋体" w:cs="Times New Roman"/>
      <w:szCs w:val="21"/>
    </w:rPr>
  </w:style>
  <w:style w:type="paragraph" w:customStyle="1" w:styleId="21">
    <w:name w:val="表格文字"/>
    <w:basedOn w:val="1"/>
    <w:qFormat/>
    <w:uiPriority w:val="0"/>
    <w:pPr>
      <w:spacing w:before="25" w:after="25"/>
      <w:jc w:val="left"/>
    </w:pPr>
    <w:rPr>
      <w:rFonts w:ascii="Calibri" w:hAnsi="Calibri"/>
      <w:bCs/>
      <w:spacing w:val="10"/>
      <w:kern w:val="0"/>
      <w:sz w:val="24"/>
      <w:szCs w:val="20"/>
    </w:rPr>
  </w:style>
  <w:style w:type="character" w:customStyle="1" w:styleId="22">
    <w:name w:val="fontstyle01"/>
    <w:qFormat/>
    <w:uiPriority w:val="0"/>
    <w:rPr>
      <w:rFonts w:hint="eastAsia" w:ascii="宋体" w:hAnsi="宋体" w:eastAsia="宋体"/>
      <w:color w:val="000000"/>
      <w:sz w:val="24"/>
      <w:szCs w:val="24"/>
    </w:rPr>
  </w:style>
  <w:style w:type="character" w:customStyle="1" w:styleId="23">
    <w:name w:val="页眉 字符"/>
    <w:basedOn w:val="14"/>
    <w:link w:val="9"/>
    <w:qFormat/>
    <w:uiPriority w:val="99"/>
    <w:rPr>
      <w:rFonts w:ascii="Times New Roman" w:hAnsi="Times New Roman" w:eastAsia="宋体" w:cs="Times New Roman"/>
      <w:sz w:val="18"/>
      <w:szCs w:val="18"/>
    </w:rPr>
  </w:style>
  <w:style w:type="character" w:customStyle="1" w:styleId="24">
    <w:name w:val="页脚 字符"/>
    <w:basedOn w:val="14"/>
    <w:link w:val="8"/>
    <w:qFormat/>
    <w:uiPriority w:val="99"/>
    <w:rPr>
      <w:rFonts w:ascii="Times New Roman" w:hAnsi="Times New Roman" w:eastAsia="宋体" w:cs="Times New Roman"/>
      <w:sz w:val="18"/>
      <w:szCs w:val="18"/>
    </w:rPr>
  </w:style>
  <w:style w:type="character" w:styleId="25">
    <w:name w:val="Placeholder Text"/>
    <w:basedOn w:val="14"/>
    <w:semiHidden/>
    <w:qFormat/>
    <w:uiPriority w:val="99"/>
    <w:rPr>
      <w:color w:val="808080"/>
    </w:rPr>
  </w:style>
  <w:style w:type="paragraph" w:customStyle="1" w:styleId="26">
    <w:name w:val="样式1"/>
    <w:basedOn w:val="1"/>
    <w:qFormat/>
    <w:uiPriority w:val="0"/>
  </w:style>
  <w:style w:type="paragraph" w:customStyle="1" w:styleId="27">
    <w:name w:val="列出段落1"/>
    <w:basedOn w:val="1"/>
    <w:qFormat/>
    <w:uiPriority w:val="34"/>
    <w:pPr>
      <w:ind w:firstLine="420"/>
    </w:pPr>
  </w:style>
  <w:style w:type="paragraph" w:styleId="28">
    <w:name w:val="List Paragraph"/>
    <w:basedOn w:val="1"/>
    <w:qFormat/>
    <w:uiPriority w:val="34"/>
    <w:pPr>
      <w:ind w:firstLine="420" w:firstLineChars="200"/>
    </w:pPr>
    <w:rPr>
      <w:rFonts w:ascii="Calibri" w:hAnsi="Calibri" w:cs="宋体"/>
      <w:szCs w:val="22"/>
    </w:rPr>
  </w:style>
  <w:style w:type="character" w:customStyle="1" w:styleId="29">
    <w:name w:val="批注框文本 字符"/>
    <w:basedOn w:val="14"/>
    <w:link w:val="7"/>
    <w:semiHidden/>
    <w:qFormat/>
    <w:uiPriority w:val="99"/>
    <w:rPr>
      <w:kern w:val="2"/>
      <w:sz w:val="18"/>
      <w:szCs w:val="18"/>
    </w:rPr>
  </w:style>
  <w:style w:type="paragraph" w:customStyle="1" w:styleId="30">
    <w:name w:val="表格文字（两侧对齐）"/>
    <w:basedOn w:val="1"/>
    <w:qFormat/>
    <w:uiPriority w:val="0"/>
    <w:pPr>
      <w:snapToGrid w:val="0"/>
    </w:pPr>
    <w:rPr>
      <w:rFonts w:ascii="Calibri" w:hAnsi="Calibri"/>
      <w:kern w:val="0"/>
      <w:sz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eb852781-3280-4809-add0-045060ef4cce}"/>
        <w:style w:val=""/>
        <w:category>
          <w:name w:val="常规"/>
          <w:gallery w:val="placeholder"/>
        </w:category>
        <w:types>
          <w:type w:val="bbPlcHdr"/>
        </w:types>
        <w:behaviors>
          <w:behavior w:val="content"/>
        </w:behaviors>
        <w:description w:val=""/>
        <w:guid w:val="{EB852781-3280-4809-ADD0-045060EF4CCE}"/>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85A"/>
    <w:rsid w:val="00013D5D"/>
    <w:rsid w:val="0004141A"/>
    <w:rsid w:val="000C3D92"/>
    <w:rsid w:val="00102898"/>
    <w:rsid w:val="001B2DBA"/>
    <w:rsid w:val="00207D17"/>
    <w:rsid w:val="0048475D"/>
    <w:rsid w:val="004E09A9"/>
    <w:rsid w:val="00682997"/>
    <w:rsid w:val="00690681"/>
    <w:rsid w:val="006F68E2"/>
    <w:rsid w:val="00701D3A"/>
    <w:rsid w:val="007311C2"/>
    <w:rsid w:val="00750563"/>
    <w:rsid w:val="0080285A"/>
    <w:rsid w:val="00A662F6"/>
    <w:rsid w:val="00A87B35"/>
    <w:rsid w:val="00AD2810"/>
    <w:rsid w:val="00B71BFC"/>
    <w:rsid w:val="00CF77D0"/>
    <w:rsid w:val="00D661F9"/>
    <w:rsid w:val="00F224DE"/>
    <w:rsid w:val="00FB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A971-D2C1-4069-85A6-40112335009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4385</Words>
  <Characters>4663</Characters>
  <Lines>94</Lines>
  <Paragraphs>26</Paragraphs>
  <TotalTime>4</TotalTime>
  <ScaleCrop>false</ScaleCrop>
  <LinksUpToDate>false</LinksUpToDate>
  <CharactersWithSpaces>4811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2022-07-25T15:22:00Z</dcterms:created>
  <dc:creator>c k</dc:creator>
  <cp:lastModifiedBy>Administrator</cp:lastModifiedBy>
  <cp:lastPrinted>2021-01-18T07:59:00Z</cp:lastPrinted>
  <dcterms:modified xsi:type="dcterms:W3CDTF">2022-12-06T07:00:50Z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DA85F7DD29B34C3EB82EE6F666F94D2D</vt:lpwstr>
  </property>
</Properties>
</file>