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6"/>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6"/>
        <w:ind w:left="-708" w:leftChars="-337"/>
        <w:rPr>
          <w:rFonts w:cs="宋体"/>
          <w:b/>
          <w:bCs/>
          <w:sz w:val="28"/>
          <w:szCs w:val="28"/>
        </w:rPr>
      </w:pPr>
      <w:r>
        <w:rPr>
          <w:rFonts w:hint="eastAsia" w:cs="宋体"/>
          <w:b/>
          <w:bCs/>
          <w:sz w:val="28"/>
          <w:szCs w:val="28"/>
        </w:rPr>
        <w:t>一、采购清单、技术规格参数、质量标准和要求</w:t>
      </w:r>
    </w:p>
    <w:p>
      <w:pPr>
        <w:pStyle w:val="6"/>
        <w:ind w:left="-708" w:leftChars="-337"/>
        <w:rPr>
          <w:b/>
          <w:bCs/>
        </w:rPr>
      </w:pPr>
      <w:r>
        <w:rPr>
          <w:rFonts w:hint="eastAsia" w:cs="宋体"/>
          <w:b/>
          <w:bCs/>
        </w:rPr>
        <w:t>（一）采购清单</w:t>
      </w:r>
      <w:r>
        <w:rPr>
          <w:b/>
          <w:bCs/>
        </w:rPr>
        <w:t> </w:t>
      </w:r>
    </w:p>
    <w:tbl>
      <w:tblPr>
        <w:tblStyle w:val="12"/>
        <w:tblW w:w="9630"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885"/>
        <w:gridCol w:w="1575"/>
        <w:gridCol w:w="4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65" w:type="dxa"/>
          </w:tcPr>
          <w:p>
            <w:pPr>
              <w:pStyle w:val="6"/>
              <w:ind w:firstLine="480" w:firstLineChars="200"/>
              <w:jc w:val="both"/>
              <w:rPr>
                <w:rFonts w:hint="default" w:eastAsia="宋体"/>
                <w:b w:val="0"/>
                <w:bCs w:val="0"/>
                <w:vertAlign w:val="baseline"/>
                <w:lang w:val="en-US" w:eastAsia="zh-CN"/>
              </w:rPr>
            </w:pPr>
            <w:r>
              <w:rPr>
                <w:rFonts w:hint="eastAsia"/>
                <w:b w:val="0"/>
                <w:bCs w:val="0"/>
                <w:vertAlign w:val="baseline"/>
                <w:lang w:val="en-US" w:eastAsia="zh-CN"/>
              </w:rPr>
              <w:t>名 称</w:t>
            </w:r>
          </w:p>
        </w:tc>
        <w:tc>
          <w:tcPr>
            <w:tcW w:w="885" w:type="dxa"/>
          </w:tcPr>
          <w:p>
            <w:pPr>
              <w:pStyle w:val="6"/>
              <w:jc w:val="both"/>
              <w:rPr>
                <w:rFonts w:hint="default" w:eastAsia="宋体"/>
                <w:b w:val="0"/>
                <w:bCs w:val="0"/>
                <w:vertAlign w:val="baseline"/>
                <w:lang w:val="en-US" w:eastAsia="zh-CN"/>
              </w:rPr>
            </w:pPr>
            <w:r>
              <w:rPr>
                <w:rFonts w:hint="eastAsia"/>
                <w:b w:val="0"/>
                <w:bCs w:val="0"/>
                <w:vertAlign w:val="baseline"/>
                <w:lang w:val="en-US" w:eastAsia="zh-CN"/>
              </w:rPr>
              <w:t>数 量</w:t>
            </w:r>
          </w:p>
        </w:tc>
        <w:tc>
          <w:tcPr>
            <w:tcW w:w="1575" w:type="dxa"/>
            <w:vAlign w:val="top"/>
          </w:tcPr>
          <w:p>
            <w:pPr>
              <w:pStyle w:val="6"/>
              <w:jc w:val="both"/>
              <w:rPr>
                <w:rFonts w:hint="eastAsia" w:ascii="Times New Roman" w:hAnsi="Times New Roman" w:eastAsia="宋体" w:cs="Times New Roman"/>
                <w:b w:val="0"/>
                <w:bCs w:val="0"/>
                <w:color w:val="000000"/>
                <w:kern w:val="0"/>
                <w:sz w:val="24"/>
                <w:szCs w:val="24"/>
                <w:vertAlign w:val="baseline"/>
                <w:lang w:val="en-US" w:eastAsia="zh-CN" w:bidi="ar-SA"/>
              </w:rPr>
            </w:pPr>
            <w:r>
              <w:rPr>
                <w:rFonts w:hint="eastAsia"/>
                <w:b w:val="0"/>
                <w:bCs w:val="0"/>
                <w:vertAlign w:val="baseline"/>
                <w:lang w:val="en-US" w:eastAsia="zh-CN"/>
              </w:rPr>
              <w:t>限价（万元）</w:t>
            </w:r>
          </w:p>
        </w:tc>
        <w:tc>
          <w:tcPr>
            <w:tcW w:w="4605" w:type="dxa"/>
          </w:tcPr>
          <w:p>
            <w:pPr>
              <w:pStyle w:val="6"/>
              <w:ind w:firstLine="720" w:firstLineChars="300"/>
              <w:jc w:val="both"/>
              <w:rPr>
                <w:rFonts w:hint="default" w:eastAsia="宋体"/>
                <w:b w:val="0"/>
                <w:bCs w:val="0"/>
                <w:vertAlign w:val="baseline"/>
                <w:lang w:val="en-US" w:eastAsia="zh-CN"/>
              </w:rPr>
            </w:pPr>
            <w:r>
              <w:rPr>
                <w:rFonts w:hint="eastAsia" w:ascii="宋体" w:hAnsi="宋体" w:cs="宋体"/>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65" w:type="dxa"/>
          </w:tcPr>
          <w:p>
            <w:pPr>
              <w:pStyle w:val="6"/>
              <w:jc w:val="both"/>
              <w:rPr>
                <w:rFonts w:hint="default" w:eastAsia="宋体"/>
                <w:b w:val="0"/>
                <w:bCs w:val="0"/>
                <w:sz w:val="24"/>
                <w:szCs w:val="24"/>
                <w:vertAlign w:val="baseline"/>
                <w:lang w:val="en-US" w:eastAsia="zh-CN"/>
              </w:rPr>
            </w:pPr>
            <w:r>
              <w:rPr>
                <w:rFonts w:hint="eastAsia" w:ascii="宋体" w:hAnsi="宋体" w:cs="宋体"/>
                <w:b w:val="0"/>
                <w:bCs/>
                <w:sz w:val="24"/>
                <w:szCs w:val="24"/>
              </w:rPr>
              <w:t>空气波压力治疗仪</w:t>
            </w:r>
          </w:p>
        </w:tc>
        <w:tc>
          <w:tcPr>
            <w:tcW w:w="885" w:type="dxa"/>
          </w:tcPr>
          <w:p>
            <w:pPr>
              <w:pStyle w:val="6"/>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1台</w:t>
            </w:r>
          </w:p>
        </w:tc>
        <w:tc>
          <w:tcPr>
            <w:tcW w:w="1575" w:type="dxa"/>
            <w:vAlign w:val="top"/>
          </w:tcPr>
          <w:p>
            <w:pPr>
              <w:pStyle w:val="7"/>
              <w:widowControl w:val="0"/>
              <w:ind w:left="0" w:leftChars="0" w:firstLine="0" w:firstLineChars="0"/>
              <w:rPr>
                <w:rFonts w:hint="default" w:ascii="Times New Roman" w:hAnsi="Times New Roman" w:eastAsia="宋体" w:cs="Times New Roman"/>
                <w:kern w:val="0"/>
                <w:sz w:val="21"/>
                <w:szCs w:val="22"/>
                <w:lang w:val="en-US" w:eastAsia="zh-CN" w:bidi="ar-SA"/>
              </w:rPr>
            </w:pPr>
            <w:r>
              <w:rPr>
                <w:rFonts w:hint="eastAsia"/>
                <w:kern w:val="0"/>
                <w:lang w:val="en-US" w:eastAsia="zh-CN"/>
              </w:rPr>
              <w:t>10</w:t>
            </w:r>
          </w:p>
        </w:tc>
        <w:tc>
          <w:tcPr>
            <w:tcW w:w="4605" w:type="dxa"/>
          </w:tcPr>
          <w:p>
            <w:pPr>
              <w:pStyle w:val="6"/>
              <w:jc w:val="both"/>
              <w:rPr>
                <w:rFonts w:hint="eastAsia" w:eastAsia="宋体"/>
                <w:b/>
                <w:bCs/>
                <w:sz w:val="24"/>
                <w:szCs w:val="24"/>
                <w:vertAlign w:val="baseline"/>
                <w:lang w:val="en-US" w:eastAsia="zh-CN"/>
              </w:rPr>
            </w:pPr>
            <w:r>
              <w:rPr>
                <w:rFonts w:hint="eastAsia" w:ascii="宋体" w:hAnsi="宋体" w:cs="宋体"/>
              </w:rPr>
              <w:t>详见技术参数、性能（配置）及要其他求</w:t>
            </w:r>
          </w:p>
        </w:tc>
      </w:tr>
    </w:tbl>
    <w:p>
      <w:pPr>
        <w:pStyle w:val="6"/>
        <w:rPr>
          <w:rFonts w:hint="default" w:eastAsia="宋体"/>
          <w:b/>
          <w:bCs/>
          <w:lang w:val="en-US" w:eastAsia="zh-CN"/>
        </w:rPr>
      </w:pP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r>
        <w:rPr>
          <w:rFonts w:hint="eastAsia" w:cs="宋体"/>
          <w:b/>
          <w:bCs/>
          <w:kern w:val="0"/>
          <w:sz w:val="24"/>
          <w:szCs w:val="24"/>
          <w:lang w:eastAsia="zh-CN"/>
        </w:rPr>
        <w:t>要求</w:t>
      </w:r>
    </w:p>
    <w:p>
      <w:pPr>
        <w:spacing w:line="276" w:lineRule="auto"/>
        <w:rPr>
          <w:rFonts w:ascii="宋体" w:hAnsi="宋体"/>
          <w:b w:val="0"/>
          <w:bCs/>
        </w:rPr>
      </w:pPr>
      <w:r>
        <w:rPr>
          <w:rFonts w:hint="eastAsia" w:ascii="宋体" w:hAnsi="宋体"/>
          <w:b w:val="0"/>
          <w:bCs/>
          <w:lang w:val="en-US" w:eastAsia="zh-CN"/>
        </w:rPr>
        <w:t>1.</w:t>
      </w:r>
      <w:r>
        <w:rPr>
          <w:rFonts w:hint="eastAsia" w:ascii="宋体" w:hAnsi="宋体"/>
          <w:b w:val="0"/>
          <w:bCs/>
        </w:rPr>
        <w:t>设备用途：通过对肢体施加周期性变化的压力，促进肢体静脉和淋巴回流。</w:t>
      </w:r>
    </w:p>
    <w:p>
      <w:pPr>
        <w:spacing w:line="276" w:lineRule="auto"/>
        <w:rPr>
          <w:rFonts w:ascii="宋体" w:hAnsi="宋体"/>
          <w:b w:val="0"/>
          <w:bCs/>
        </w:rPr>
      </w:pPr>
      <w:r>
        <w:rPr>
          <w:rFonts w:hint="eastAsia" w:ascii="宋体" w:hAnsi="宋体"/>
          <w:b w:val="0"/>
          <w:bCs/>
          <w:lang w:val="en-US" w:eastAsia="zh-CN"/>
        </w:rPr>
        <w:t>2.</w:t>
      </w:r>
      <w:r>
        <w:rPr>
          <w:rFonts w:hint="eastAsia" w:ascii="宋体" w:hAnsi="宋体"/>
          <w:b w:val="0"/>
          <w:bCs/>
        </w:rPr>
        <w:t>性能要求：</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w:t>
      </w:r>
      <w:r>
        <w:rPr>
          <w:rFonts w:hint="eastAsia" w:ascii="宋体" w:hAnsi="宋体"/>
          <w:b w:val="0"/>
          <w:bCs/>
        </w:rPr>
        <w:t>设备配有电脑软件，可以在电脑上设置并保存压力处方，并可将压力处方通过数据线传到主机；</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2.2</w:t>
      </w:r>
      <w:r>
        <w:rPr>
          <w:rFonts w:hint="eastAsia" w:ascii="宋体" w:hAnsi="宋体"/>
          <w:b w:val="0"/>
          <w:bCs/>
        </w:rPr>
        <w:t>压力处方储存在电脑上，数量不受限制；</w:t>
      </w:r>
      <w:r>
        <w:rPr>
          <w:rFonts w:ascii="宋体" w:hAnsi="宋体"/>
          <w:b w:val="0"/>
          <w:bCs/>
        </w:rPr>
        <w:t xml:space="preserve"> </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2.3</w:t>
      </w:r>
      <w:r>
        <w:rPr>
          <w:rFonts w:hint="eastAsia" w:ascii="宋体" w:hAnsi="宋体"/>
          <w:b w:val="0"/>
          <w:bCs/>
        </w:rPr>
        <w:t>主机配备显示屏,可显示压力、时间、模式等工作状态；</w:t>
      </w:r>
    </w:p>
    <w:p>
      <w:pPr>
        <w:pStyle w:val="25"/>
        <w:numPr>
          <w:ilvl w:val="0"/>
          <w:numId w:val="0"/>
        </w:numPr>
        <w:ind w:leftChars="0"/>
        <w:rPr>
          <w:rFonts w:ascii="宋体" w:hAnsi="宋体"/>
          <w:b w:val="0"/>
          <w:bCs/>
        </w:rPr>
      </w:pPr>
      <w:r>
        <w:rPr>
          <w:rFonts w:hint="eastAsia" w:ascii="宋体" w:hAnsi="宋体"/>
          <w:b w:val="0"/>
          <w:bCs/>
          <w:lang w:val="en-US" w:eastAsia="zh-CN"/>
        </w:rPr>
        <w:t>2.4</w:t>
      </w:r>
      <w:r>
        <w:rPr>
          <w:rFonts w:hint="eastAsia" w:ascii="宋体" w:hAnsi="宋体"/>
          <w:b w:val="0"/>
          <w:bCs/>
        </w:rPr>
        <w:t>设备断电后，可自动抽出压力套内的空气；</w:t>
      </w:r>
    </w:p>
    <w:p>
      <w:pPr>
        <w:pStyle w:val="25"/>
        <w:numPr>
          <w:ilvl w:val="0"/>
          <w:numId w:val="0"/>
        </w:numPr>
        <w:ind w:leftChars="0"/>
        <w:rPr>
          <w:rFonts w:ascii="宋体" w:hAnsi="宋体"/>
          <w:b w:val="0"/>
          <w:bCs/>
        </w:rPr>
      </w:pPr>
      <w:r>
        <w:rPr>
          <w:rFonts w:hint="eastAsia" w:ascii="宋体" w:hAnsi="宋体"/>
          <w:b w:val="0"/>
          <w:bCs/>
          <w:lang w:eastAsia="zh-CN"/>
        </w:rPr>
        <w:t>★</w:t>
      </w:r>
      <w:r>
        <w:rPr>
          <w:rFonts w:hint="eastAsia" w:ascii="宋体" w:hAnsi="宋体"/>
          <w:b w:val="0"/>
          <w:bCs/>
          <w:lang w:val="en-US" w:eastAsia="zh-CN"/>
        </w:rPr>
        <w:t>2.5</w:t>
      </w:r>
      <w:r>
        <w:rPr>
          <w:rFonts w:hint="eastAsia" w:ascii="宋体" w:hAnsi="宋体"/>
          <w:b w:val="0"/>
          <w:bCs/>
        </w:rPr>
        <w:t>设备压力范围31mmHg-90mmHg可调；</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2.6</w:t>
      </w:r>
      <w:r>
        <w:rPr>
          <w:rFonts w:hint="eastAsia" w:ascii="宋体" w:hAnsi="宋体"/>
          <w:b w:val="0"/>
          <w:bCs/>
        </w:rPr>
        <w:t>设备可通过电脑软件对每腔气囊压力进行调节，但远心端气囊可设置的压力值不会低于近心端气囊可设置的压力值；</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2.7</w:t>
      </w:r>
      <w:r>
        <w:rPr>
          <w:rFonts w:hint="eastAsia" w:ascii="宋体" w:hAnsi="宋体"/>
          <w:b w:val="0"/>
          <w:bCs/>
        </w:rPr>
        <w:t>设备治疗时间20-90min可调；</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2.8</w:t>
      </w:r>
      <w:r>
        <w:rPr>
          <w:rFonts w:ascii="宋体" w:hAnsi="宋体"/>
          <w:b w:val="0"/>
          <w:bCs/>
        </w:rPr>
        <w:t>主机有</w:t>
      </w:r>
      <w:r>
        <w:rPr>
          <w:rFonts w:ascii="宋体" w:hAnsi="宋体"/>
          <w:b w:val="0"/>
          <w:bCs/>
          <w:lang w:val="zh-CN"/>
        </w:rPr>
        <w:t>24</w:t>
      </w:r>
      <w:r>
        <w:rPr>
          <w:rFonts w:ascii="宋体" w:hAnsi="宋体"/>
          <w:b w:val="0"/>
          <w:bCs/>
        </w:rPr>
        <w:t>个出气孔，每个出气孔需单独对应可选配的肢体压力套的一个气囊；</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2.9</w:t>
      </w:r>
      <w:r>
        <w:rPr>
          <w:rFonts w:hint="eastAsia" w:ascii="宋体" w:hAnsi="宋体"/>
          <w:b w:val="0"/>
          <w:bCs/>
        </w:rPr>
        <w:t>设备加压循环周期不高于1分钟；</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2.10</w:t>
      </w:r>
      <w:r>
        <w:rPr>
          <w:rFonts w:hint="eastAsia" w:ascii="宋体" w:hAnsi="宋体"/>
          <w:b w:val="0"/>
          <w:bCs/>
        </w:rPr>
        <w:t>具有防高压活门，能确保压力套内的气压不会高于正常动脉收缩压；</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2.11</w:t>
      </w:r>
      <w:r>
        <w:rPr>
          <w:rFonts w:hint="eastAsia" w:ascii="宋体" w:hAnsi="宋体"/>
          <w:b w:val="0"/>
          <w:bCs/>
        </w:rPr>
        <w:t>设备有开机检测功能，可以检测设备连接状态；</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2.12</w:t>
      </w:r>
      <w:r>
        <w:rPr>
          <w:rFonts w:hint="eastAsia" w:ascii="宋体" w:hAnsi="宋体"/>
          <w:b w:val="0"/>
          <w:bCs/>
        </w:rPr>
        <w:t>设备有回吸功能，在治疗暂停或结束时能快速排空气体，并实时显示气囊内气体排空进度；</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2.13</w:t>
      </w:r>
      <w:r>
        <w:rPr>
          <w:rFonts w:hint="eastAsia" w:ascii="宋体" w:hAnsi="宋体"/>
          <w:b w:val="0"/>
          <w:bCs/>
        </w:rPr>
        <w:t>设备有“热身”模式、淋巴治疗模式以及蠕动加压模式；</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2.14</w:t>
      </w:r>
      <w:r>
        <w:rPr>
          <w:rFonts w:hint="eastAsia" w:ascii="宋体" w:hAnsi="宋体"/>
          <w:b w:val="0"/>
          <w:bCs/>
        </w:rPr>
        <w:t>所有治疗模式的气囊充气方向必须是从远心端往近心端，不得有反向加压顺序的模式；</w:t>
      </w:r>
    </w:p>
    <w:p>
      <w:pPr>
        <w:pStyle w:val="25"/>
        <w:numPr>
          <w:ilvl w:val="0"/>
          <w:numId w:val="0"/>
        </w:numPr>
        <w:spacing w:line="276" w:lineRule="auto"/>
        <w:ind w:leftChars="0"/>
        <w:rPr>
          <w:rFonts w:ascii="宋体" w:hAnsi="宋体"/>
          <w:b w:val="0"/>
          <w:bCs/>
        </w:rPr>
      </w:pPr>
      <w:r>
        <w:rPr>
          <w:rFonts w:hint="eastAsia" w:ascii="宋体" w:hAnsi="宋体"/>
          <w:b w:val="0"/>
          <w:bCs/>
          <w:lang w:eastAsia="zh-CN"/>
        </w:rPr>
        <w:t>★</w:t>
      </w:r>
      <w:r>
        <w:rPr>
          <w:rFonts w:hint="eastAsia" w:ascii="宋体" w:hAnsi="宋体"/>
          <w:b w:val="0"/>
          <w:bCs/>
          <w:lang w:val="en-US" w:eastAsia="zh-CN"/>
        </w:rPr>
        <w:t>2.15</w:t>
      </w:r>
      <w:r>
        <w:rPr>
          <w:rFonts w:hint="eastAsia" w:ascii="宋体" w:hAnsi="宋体"/>
          <w:b w:val="0"/>
          <w:bCs/>
        </w:rPr>
        <w:t>主机</w:t>
      </w:r>
      <w:r>
        <w:rPr>
          <w:rFonts w:hint="eastAsia" w:ascii="宋体" w:hAnsi="宋体"/>
          <w:b w:val="0"/>
          <w:bCs/>
          <w:lang w:eastAsia="zh-CN"/>
        </w:rPr>
        <w:t>至少</w:t>
      </w:r>
      <w:r>
        <w:rPr>
          <w:rFonts w:hint="eastAsia" w:ascii="宋体" w:hAnsi="宋体"/>
          <w:b w:val="0"/>
          <w:bCs/>
        </w:rPr>
        <w:t>有4个治疗方案可供选择；</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2.16</w:t>
      </w:r>
      <w:r>
        <w:rPr>
          <w:rFonts w:hint="eastAsia" w:ascii="宋体" w:hAnsi="宋体"/>
          <w:b w:val="0"/>
          <w:bCs/>
        </w:rPr>
        <w:t>“热身”模式和淋巴治疗模式、蠕动加压模式分别结合成两个组合模式，没有单独的预治疗模式；</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2.17</w:t>
      </w:r>
      <w:r>
        <w:rPr>
          <w:rFonts w:hint="eastAsia" w:ascii="宋体" w:hAnsi="宋体"/>
          <w:b w:val="0"/>
          <w:bCs/>
        </w:rPr>
        <w:t>“热身”模式的压力预设为4</w:t>
      </w:r>
      <w:r>
        <w:rPr>
          <w:rFonts w:ascii="宋体" w:hAnsi="宋体"/>
          <w:b w:val="0"/>
          <w:bCs/>
        </w:rPr>
        <w:t>0</w:t>
      </w:r>
      <w:r>
        <w:rPr>
          <w:rFonts w:hint="eastAsia" w:ascii="宋体" w:hAnsi="宋体"/>
          <w:b w:val="0"/>
          <w:bCs/>
        </w:rPr>
        <w:t>mmHg，不可调节；</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2.18</w:t>
      </w:r>
      <w:r>
        <w:rPr>
          <w:rFonts w:hint="eastAsia" w:ascii="宋体" w:hAnsi="宋体"/>
          <w:b w:val="0"/>
          <w:bCs/>
        </w:rPr>
        <w:t>肢体压力套采用“瓦片式”层叠结构；</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2.19</w:t>
      </w:r>
      <w:r>
        <w:rPr>
          <w:rFonts w:hint="eastAsia" w:ascii="宋体" w:hAnsi="宋体"/>
          <w:b w:val="0"/>
          <w:bCs/>
        </w:rPr>
        <w:t>肢体压力套可重复使用，可用酒精擦拭消毒；</w:t>
      </w:r>
    </w:p>
    <w:p>
      <w:pPr>
        <w:pStyle w:val="25"/>
        <w:numPr>
          <w:ilvl w:val="0"/>
          <w:numId w:val="0"/>
        </w:numPr>
        <w:spacing w:line="276" w:lineRule="auto"/>
        <w:ind w:leftChars="0"/>
        <w:rPr>
          <w:rFonts w:ascii="宋体" w:hAnsi="宋体"/>
          <w:b w:val="0"/>
          <w:bCs/>
        </w:rPr>
      </w:pPr>
      <w:r>
        <w:rPr>
          <w:rFonts w:hint="eastAsia" w:ascii="宋体" w:hAnsi="宋体"/>
          <w:b w:val="0"/>
          <w:bCs/>
          <w:lang w:val="en-US" w:eastAsia="zh-CN"/>
        </w:rPr>
        <w:t>2.20</w:t>
      </w:r>
      <w:r>
        <w:rPr>
          <w:rFonts w:hint="eastAsia" w:ascii="宋体" w:hAnsi="宋体"/>
          <w:b w:val="0"/>
          <w:bCs/>
        </w:rPr>
        <w:t>可选配的肢体压力套均自带连接管，连接管可直接连接主机，无需转接，方便使用；</w:t>
      </w:r>
    </w:p>
    <w:p>
      <w:pPr>
        <w:pStyle w:val="25"/>
        <w:numPr>
          <w:ilvl w:val="0"/>
          <w:numId w:val="0"/>
        </w:numPr>
        <w:ind w:leftChars="0"/>
        <w:rPr>
          <w:rFonts w:ascii="宋体" w:hAnsi="宋体"/>
          <w:b w:val="0"/>
          <w:bCs/>
        </w:rPr>
      </w:pPr>
      <w:r>
        <w:rPr>
          <w:rFonts w:hint="eastAsia" w:ascii="宋体" w:hAnsi="宋体"/>
          <w:b w:val="0"/>
          <w:bCs/>
          <w:lang w:val="en-US" w:eastAsia="zh-CN"/>
        </w:rPr>
        <w:t>2.21</w:t>
      </w:r>
      <w:r>
        <w:rPr>
          <w:rFonts w:hint="eastAsia" w:ascii="宋体" w:hAnsi="宋体"/>
          <w:b w:val="0"/>
          <w:bCs/>
        </w:rPr>
        <w:t>所有肢体压力套均有独立的注册证；</w:t>
      </w:r>
    </w:p>
    <w:p>
      <w:pPr>
        <w:spacing w:line="276" w:lineRule="auto"/>
        <w:rPr>
          <w:rFonts w:hint="eastAsia" w:ascii="宋体" w:hAnsi="宋体"/>
          <w:bCs/>
          <w:lang w:val="en-US" w:eastAsia="zh-CN"/>
        </w:rPr>
      </w:pPr>
      <w:r>
        <w:rPr>
          <w:rFonts w:hint="eastAsia" w:ascii="宋体" w:hAnsi="宋体"/>
          <w:bCs/>
          <w:lang w:val="en-US" w:eastAsia="zh-CN"/>
        </w:rPr>
        <w:t>3.配置清单要求</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528"/>
        <w:gridCol w:w="3298"/>
        <w:gridCol w:w="1337"/>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2528" w:type="dxa"/>
          </w:tcPr>
          <w:p>
            <w:pPr>
              <w:jc w:val="center"/>
              <w:rPr>
                <w:rFonts w:hint="eastAsia" w:ascii="宋体" w:hAnsi="宋体" w:eastAsia="宋体" w:cs="宋体"/>
                <w:sz w:val="24"/>
                <w:szCs w:val="24"/>
              </w:rPr>
            </w:pPr>
            <w:r>
              <w:rPr>
                <w:rFonts w:hint="eastAsia" w:ascii="宋体" w:hAnsi="宋体" w:eastAsia="宋体" w:cs="宋体"/>
                <w:sz w:val="24"/>
                <w:szCs w:val="24"/>
              </w:rPr>
              <w:t>名称</w:t>
            </w:r>
          </w:p>
        </w:tc>
        <w:tc>
          <w:tcPr>
            <w:tcW w:w="3298" w:type="dxa"/>
          </w:tcPr>
          <w:p>
            <w:pPr>
              <w:jc w:val="center"/>
              <w:rPr>
                <w:rFonts w:hint="eastAsia" w:ascii="宋体" w:hAnsi="宋体" w:eastAsia="宋体" w:cs="宋体"/>
                <w:sz w:val="24"/>
                <w:szCs w:val="24"/>
              </w:rPr>
            </w:pPr>
            <w:r>
              <w:rPr>
                <w:rFonts w:hint="eastAsia" w:ascii="宋体" w:hAnsi="宋体" w:eastAsia="宋体" w:cs="宋体"/>
                <w:sz w:val="24"/>
                <w:szCs w:val="24"/>
              </w:rPr>
              <w:t>型号规格</w:t>
            </w:r>
          </w:p>
        </w:tc>
        <w:tc>
          <w:tcPr>
            <w:tcW w:w="1337" w:type="dxa"/>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1022" w:type="dxa"/>
          </w:tcPr>
          <w:p>
            <w:pPr>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528"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空气波压力治疗仪</w:t>
            </w:r>
          </w:p>
        </w:tc>
        <w:tc>
          <w:tcPr>
            <w:tcW w:w="3298" w:type="dxa"/>
          </w:tcPr>
          <w:p>
            <w:pPr>
              <w:jc w:val="center"/>
              <w:rPr>
                <w:rFonts w:hint="eastAsia" w:ascii="宋体" w:hAnsi="宋体" w:eastAsia="宋体" w:cs="宋体"/>
                <w:sz w:val="24"/>
                <w:szCs w:val="24"/>
              </w:rPr>
            </w:pPr>
          </w:p>
        </w:tc>
        <w:tc>
          <w:tcPr>
            <w:tcW w:w="1337" w:type="dxa"/>
          </w:tcPr>
          <w:p>
            <w:pPr>
              <w:jc w:val="center"/>
              <w:rPr>
                <w:rFonts w:hint="eastAsia" w:ascii="宋体" w:hAnsi="宋体" w:eastAsia="宋体" w:cs="宋体"/>
                <w:sz w:val="24"/>
                <w:szCs w:val="24"/>
              </w:rPr>
            </w:pPr>
            <w:r>
              <w:rPr>
                <w:rFonts w:hint="eastAsia" w:ascii="宋体" w:hAnsi="宋体" w:eastAsia="宋体" w:cs="宋体"/>
                <w:sz w:val="24"/>
                <w:szCs w:val="24"/>
              </w:rPr>
              <w:t>台</w:t>
            </w:r>
          </w:p>
        </w:tc>
        <w:tc>
          <w:tcPr>
            <w:tcW w:w="1022" w:type="dxa"/>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w:t>
            </w:r>
          </w:p>
        </w:tc>
        <w:tc>
          <w:tcPr>
            <w:tcW w:w="2528" w:type="dxa"/>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肢体压力套</w:t>
            </w:r>
          </w:p>
        </w:tc>
        <w:tc>
          <w:tcPr>
            <w:tcW w:w="3298" w:type="dxa"/>
            <w:vAlign w:val="top"/>
          </w:tcPr>
          <w:p>
            <w:pPr>
              <w:jc w:val="center"/>
              <w:rPr>
                <w:rFonts w:hint="default" w:ascii="宋体" w:hAnsi="宋体" w:eastAsia="宋体" w:cs="宋体"/>
                <w:sz w:val="24"/>
                <w:szCs w:val="24"/>
                <w:lang w:val="en-US"/>
              </w:rPr>
            </w:pPr>
            <w:r>
              <w:rPr>
                <w:rFonts w:hint="eastAsia" w:ascii="宋体" w:hAnsi="宋体" w:cs="宋体"/>
                <w:sz w:val="24"/>
                <w:szCs w:val="24"/>
                <w:lang w:val="en-US" w:eastAsia="zh-CN"/>
              </w:rPr>
              <w:t>12腔带管复用型臂套</w:t>
            </w:r>
          </w:p>
        </w:tc>
        <w:tc>
          <w:tcPr>
            <w:tcW w:w="1337" w:type="dxa"/>
            <w:vAlign w:val="top"/>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只</w:t>
            </w:r>
          </w:p>
        </w:tc>
        <w:tc>
          <w:tcPr>
            <w:tcW w:w="1022" w:type="dxa"/>
            <w:vAlign w:val="top"/>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2528" w:type="dxa"/>
          </w:tcPr>
          <w:p>
            <w:pPr>
              <w:jc w:val="center"/>
              <w:rPr>
                <w:rFonts w:hint="eastAsia" w:ascii="宋体" w:hAnsi="宋体" w:eastAsia="宋体" w:cs="宋体"/>
                <w:sz w:val="24"/>
                <w:szCs w:val="24"/>
              </w:rPr>
            </w:pPr>
            <w:r>
              <w:rPr>
                <w:rFonts w:hint="eastAsia" w:ascii="宋体" w:hAnsi="宋体" w:eastAsia="宋体" w:cs="宋体"/>
                <w:sz w:val="24"/>
                <w:szCs w:val="24"/>
              </w:rPr>
              <w:t>阻塞器</w:t>
            </w:r>
          </w:p>
        </w:tc>
        <w:tc>
          <w:tcPr>
            <w:tcW w:w="3298" w:type="dxa"/>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12腔通用型</w:t>
            </w:r>
          </w:p>
        </w:tc>
        <w:tc>
          <w:tcPr>
            <w:tcW w:w="1337" w:type="dxa"/>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个</w:t>
            </w:r>
          </w:p>
        </w:tc>
        <w:tc>
          <w:tcPr>
            <w:tcW w:w="1022" w:type="dxa"/>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r>
    </w:tbl>
    <w:p>
      <w:pPr>
        <w:pStyle w:val="6"/>
        <w:rPr>
          <w:rFonts w:hint="default"/>
          <w:lang w:val="en-US" w:eastAsia="zh-CN"/>
        </w:rPr>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pStyle w:val="6"/>
        <w:ind w:left="-708" w:leftChars="-337"/>
        <w:rPr>
          <w:color w:val="auto"/>
        </w:rPr>
      </w:pPr>
      <w:r>
        <w:rPr>
          <w:rFonts w:hint="eastAsia"/>
          <w:color w:val="auto"/>
        </w:rPr>
        <w:t>1</w:t>
      </w:r>
      <w:r>
        <w:rPr>
          <w:rFonts w:hint="eastAsia"/>
          <w:color w:val="auto"/>
          <w:lang w:val="en-US" w:eastAsia="zh-CN"/>
        </w:rPr>
        <w:t>.</w:t>
      </w:r>
      <w:r>
        <w:rPr>
          <w:rFonts w:hint="eastAsia"/>
          <w:color w:val="auto"/>
        </w:rPr>
        <w:t>以上产品必须是具备合法资质的制造商生产的</w:t>
      </w:r>
      <w:r>
        <w:rPr>
          <w:rFonts w:hint="eastAsia"/>
          <w:b/>
          <w:bCs/>
          <w:color w:val="auto"/>
        </w:rPr>
        <w:t>全新正品</w:t>
      </w:r>
      <w:r>
        <w:rPr>
          <w:rFonts w:hint="eastAsia"/>
          <w:color w:val="auto"/>
        </w:rPr>
        <w:t>，并满足招标采购文件的要求，若产品在运输或安装过程中损坏或擦伤须无偿调换相同产品。</w:t>
      </w:r>
    </w:p>
    <w:p>
      <w:pPr>
        <w:pStyle w:val="6"/>
        <w:ind w:left="-708" w:leftChars="-337"/>
        <w:rPr>
          <w:color w:val="auto"/>
        </w:rPr>
      </w:pPr>
      <w:r>
        <w:rPr>
          <w:rFonts w:hint="eastAsia"/>
          <w:color w:val="auto"/>
        </w:rPr>
        <w:t>2</w:t>
      </w:r>
      <w:r>
        <w:rPr>
          <w:rFonts w:hint="eastAsia"/>
          <w:color w:val="auto"/>
          <w:lang w:val="en-US" w:eastAsia="zh-CN"/>
        </w:rPr>
        <w:t>.</w:t>
      </w:r>
      <w:r>
        <w:rPr>
          <w:rFonts w:hint="eastAsia"/>
          <w:color w:val="auto"/>
        </w:rPr>
        <w:t>投标人所投产品参数应同等或优于以上各项参数要求，产品、辅材及生产工艺符合国家相关规范。</w:t>
      </w:r>
    </w:p>
    <w:p>
      <w:pPr>
        <w:pStyle w:val="6"/>
        <w:ind w:left="-708" w:leftChars="-337"/>
        <w:rPr>
          <w:color w:val="auto"/>
        </w:rPr>
      </w:pPr>
      <w:r>
        <w:rPr>
          <w:rFonts w:hint="eastAsia"/>
          <w:color w:val="auto"/>
        </w:rPr>
        <w:t>3</w:t>
      </w:r>
      <w:r>
        <w:rPr>
          <w:rFonts w:hint="eastAsia"/>
          <w:color w:val="auto"/>
          <w:lang w:val="en-US" w:eastAsia="zh-CN"/>
        </w:rPr>
        <w:t>.</w:t>
      </w:r>
      <w:r>
        <w:rPr>
          <w:rFonts w:hint="eastAsia"/>
          <w:color w:val="auto"/>
        </w:rPr>
        <w:t>投标人应保证所提供的货物或其任何一部分均不会侵犯任何第三方的专利权、商标权等，如在使用过程中出现的一切经济和法律责任均由投标人负责。</w:t>
      </w:r>
    </w:p>
    <w:p>
      <w:pPr>
        <w:pStyle w:val="6"/>
        <w:ind w:left="-708" w:leftChars="-337"/>
        <w:rPr>
          <w:color w:val="auto"/>
        </w:rPr>
      </w:pPr>
      <w:r>
        <w:rPr>
          <w:rFonts w:hint="eastAsia"/>
          <w:color w:val="auto"/>
        </w:rPr>
        <w:t>4</w:t>
      </w:r>
      <w:r>
        <w:rPr>
          <w:rFonts w:hint="eastAsia"/>
          <w:color w:val="auto"/>
          <w:lang w:val="en-US" w:eastAsia="zh-CN"/>
        </w:rPr>
        <w:t>.</w:t>
      </w:r>
      <w:r>
        <w:rPr>
          <w:rFonts w:hint="eastAsia"/>
          <w:color w:val="auto"/>
        </w:rPr>
        <w:t>投标总价必须包含货物及货物运抵指定交货地点的各种费用和安装调校、售后服务、税金、验收检验及其它所有费用的总和，如另有要求请在投标文件中注明。</w:t>
      </w:r>
    </w:p>
    <w:p>
      <w:pPr>
        <w:pStyle w:val="6"/>
        <w:ind w:left="-708" w:leftChars="-337"/>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pPr>
        <w:pStyle w:val="6"/>
        <w:ind w:left="-708" w:leftChars="-337"/>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6"/>
        <w:ind w:left="-708" w:leftChars="-337"/>
        <w:rPr>
          <w:rFonts w:hint="eastAsia" w:cs="宋体"/>
          <w:b/>
          <w:bCs/>
        </w:rPr>
      </w:pPr>
      <w:r>
        <w:rPr>
          <w:rFonts w:hint="eastAsia" w:cs="宋体"/>
          <w:b/>
          <w:bCs/>
        </w:rPr>
        <w:t>（四）商务要求</w:t>
      </w:r>
    </w:p>
    <w:p>
      <w:pPr>
        <w:pStyle w:val="6"/>
        <w:ind w:left="-708" w:leftChars="-337"/>
        <w:rPr>
          <w:rFonts w:hint="default" w:eastAsia="宋体" w:cs="宋体"/>
          <w:b w:val="0"/>
          <w:bCs w:val="0"/>
          <w:lang w:val="en-US" w:eastAsia="zh-CN"/>
        </w:rPr>
      </w:pPr>
      <w:r>
        <w:rPr>
          <w:rFonts w:hint="eastAsia" w:cs="宋体"/>
          <w:b/>
          <w:bCs/>
          <w:lang w:val="en-US" w:eastAsia="zh-CN"/>
        </w:rPr>
        <w:t>1.投标人资格要求</w:t>
      </w:r>
    </w:p>
    <w:p>
      <w:pPr>
        <w:pStyle w:val="6"/>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6"/>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6"/>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pPr>
        <w:pStyle w:val="6"/>
        <w:ind w:left="-708" w:leftChars="-337"/>
        <w:rPr>
          <w:rFonts w:hint="default" w:cs="宋体"/>
          <w:b/>
          <w:bCs/>
          <w:lang w:val="en-US" w:eastAsia="zh-CN"/>
        </w:rPr>
      </w:pPr>
      <w:r>
        <w:rPr>
          <w:rFonts w:hint="eastAsia" w:cs="宋体"/>
          <w:b/>
          <w:bCs/>
          <w:lang w:val="en-US" w:eastAsia="zh-CN"/>
        </w:rPr>
        <w:t>2.投标产品资格要求</w:t>
      </w:r>
    </w:p>
    <w:p>
      <w:pPr>
        <w:pStyle w:val="6"/>
        <w:ind w:left="-708" w:leftChars="-337" w:firstLine="480" w:firstLineChars="200"/>
        <w:rPr>
          <w:rFonts w:hint="eastAsia"/>
          <w:highlight w:val="yellow"/>
        </w:rPr>
      </w:pPr>
      <w:r>
        <w:rPr>
          <w:rFonts w:hint="eastAsia"/>
        </w:rPr>
        <w:t>投标人所投产品要求包含以下相关证件：</w:t>
      </w:r>
      <w:r>
        <w:rPr>
          <w:rFonts w:hint="eastAsia"/>
          <w:highlight w:val="yellow"/>
        </w:rPr>
        <w:t>投标公司的《医疗器械经营许可证》、生产厂家的《医疗器械生产许可证》、《中华人民共和国医疗器械注册证》</w:t>
      </w:r>
    </w:p>
    <w:p>
      <w:pPr>
        <w:pStyle w:val="6"/>
        <w:ind w:left="-708" w:leftChars="-337"/>
        <w:rPr>
          <w:rFonts w:hint="eastAsia"/>
        </w:rPr>
      </w:pPr>
      <w:r>
        <w:rPr>
          <w:rFonts w:hint="eastAsia"/>
          <w:b/>
          <w:bCs/>
        </w:rPr>
        <w:t>3</w:t>
      </w:r>
      <w:r>
        <w:rPr>
          <w:rFonts w:hint="eastAsia"/>
          <w:b/>
          <w:bCs/>
          <w:lang w:val="en-US" w:eastAsia="zh-CN"/>
        </w:rPr>
        <w:t>.</w:t>
      </w:r>
      <w:r>
        <w:rPr>
          <w:rFonts w:hint="eastAsia"/>
          <w:b/>
          <w:bCs/>
        </w:rPr>
        <w:t>售后服务和</w:t>
      </w:r>
      <w:r>
        <w:rPr>
          <w:rFonts w:hint="eastAsia"/>
          <w:b/>
          <w:bCs/>
          <w:lang w:val="en-US" w:eastAsia="zh-CN"/>
        </w:rPr>
        <w:t>资质</w:t>
      </w:r>
    </w:p>
    <w:p>
      <w:pPr>
        <w:pStyle w:val="6"/>
        <w:ind w:left="-708" w:leftChars="-337"/>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6"/>
        <w:ind w:left="-708" w:leftChars="-337"/>
        <w:rPr>
          <w:rFonts w:hint="eastAsia"/>
        </w:rPr>
      </w:pPr>
      <w:r>
        <w:rPr>
          <w:rFonts w:hint="eastAsia"/>
          <w:lang w:val="en-US" w:eastAsia="zh-CN"/>
        </w:rPr>
        <w:t>（2）</w:t>
      </w:r>
      <w:r>
        <w:rPr>
          <w:rFonts w:hint="eastAsia"/>
        </w:rPr>
        <w:t>质保期：设备安装完毕通过验收投入使用之日起不少于</w:t>
      </w:r>
      <w:r>
        <w:rPr>
          <w:rFonts w:hint="eastAsia"/>
          <w:color w:val="FF0000"/>
          <w:highlight w:val="yellow"/>
          <w:lang w:val="en-US" w:eastAsia="zh-CN"/>
        </w:rPr>
        <w:t>2</w:t>
      </w:r>
      <w:r>
        <w:rPr>
          <w:rFonts w:hint="eastAsia"/>
          <w:color w:val="FF0000"/>
        </w:rPr>
        <w:t>年</w:t>
      </w:r>
      <w:r>
        <w:rPr>
          <w:rFonts w:hint="eastAsia"/>
        </w:rPr>
        <w:t>。</w:t>
      </w:r>
    </w:p>
    <w:p>
      <w:pPr>
        <w:pStyle w:val="6"/>
        <w:ind w:left="-708" w:leftChars="-337"/>
        <w:rPr>
          <w:rFonts w:hint="eastAsia"/>
          <w:color w:val="000000"/>
        </w:rPr>
      </w:pPr>
      <w:r>
        <w:rPr>
          <w:rFonts w:hint="eastAsia"/>
          <w:lang w:eastAsia="zh-CN"/>
        </w:rPr>
        <w:t>（</w:t>
      </w:r>
      <w:r>
        <w:rPr>
          <w:rFonts w:hint="eastAsia"/>
          <w:lang w:val="en-US" w:eastAsia="zh-CN"/>
        </w:rPr>
        <w:t>3)</w:t>
      </w:r>
      <w:r>
        <w:rPr>
          <w:rFonts w:hint="eastAsia"/>
          <w:color w:val="000000"/>
        </w:rPr>
        <w:t>免费送货上门，免费由技术人员现场安装、调试和技术指导，并在用户使用处免费现场培训 2～3 名操作人员（培训内容：包含设备功能、安装、操作、维护等内容）， 直至采购人操作人员能熟练操作各项功能。</w:t>
      </w:r>
    </w:p>
    <w:p>
      <w:pPr>
        <w:pStyle w:val="6"/>
        <w:ind w:left="-708" w:leftChars="-337"/>
        <w:rPr>
          <w:rFonts w:hint="eastAsia"/>
        </w:rPr>
      </w:pPr>
      <w:r>
        <w:rPr>
          <w:rFonts w:hint="eastAsia"/>
          <w:lang w:val="en-US" w:eastAsia="zh-CN"/>
        </w:rPr>
        <w:t>（4）</w:t>
      </w:r>
      <w:r>
        <w:rPr>
          <w:rFonts w:hint="eastAsia"/>
        </w:rPr>
        <w:t>故障处理：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6"/>
        <w:ind w:left="-708" w:leftChars="-337"/>
        <w:rPr>
          <w:rFonts w:hint="eastAsia" w:cs="宋体"/>
          <w:kern w:val="0"/>
          <w:sz w:val="24"/>
          <w:szCs w:val="24"/>
        </w:rPr>
      </w:pPr>
      <w:r>
        <w:rPr>
          <w:rFonts w:hint="eastAsia"/>
          <w:lang w:val="en-US" w:eastAsia="zh-CN"/>
        </w:rPr>
        <w:t>8）</w:t>
      </w:r>
      <w:r>
        <w:rPr>
          <w:rFonts w:hint="eastAsia" w:cs="宋体"/>
          <w:kern w:val="0"/>
          <w:sz w:val="24"/>
          <w:szCs w:val="24"/>
        </w:rPr>
        <w:t>签订合同后，</w:t>
      </w:r>
      <w:r>
        <w:rPr>
          <w:rFonts w:hint="eastAsia"/>
          <w:color w:val="FF0000"/>
          <w:kern w:val="0"/>
          <w:sz w:val="24"/>
          <w:szCs w:val="24"/>
          <w:u w:val="single"/>
          <w:lang w:val="en-US" w:eastAsia="zh-CN"/>
        </w:rPr>
        <w:t>30</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pStyle w:val="6"/>
        <w:ind w:left="-708" w:leftChars="-337"/>
        <w:rPr>
          <w:kern w:val="0"/>
          <w:sz w:val="24"/>
          <w:szCs w:val="24"/>
        </w:rPr>
      </w:pPr>
      <w:r>
        <w:rPr>
          <w:rFonts w:hint="eastAsia" w:cs="宋体"/>
          <w:kern w:val="0"/>
          <w:sz w:val="24"/>
          <w:szCs w:val="24"/>
          <w:lang w:val="en-US" w:eastAsia="zh-CN"/>
        </w:rPr>
        <w:t>9）</w:t>
      </w:r>
      <w:r>
        <w:rPr>
          <w:rFonts w:hint="eastAsia" w:cs="宋体"/>
          <w:kern w:val="0"/>
          <w:sz w:val="24"/>
          <w:szCs w:val="24"/>
        </w:rPr>
        <w:t>交货地点为：</w:t>
      </w:r>
      <w:r>
        <w:rPr>
          <w:rFonts w:hint="eastAsia" w:cs="宋体"/>
          <w:kern w:val="0"/>
          <w:sz w:val="24"/>
          <w:szCs w:val="24"/>
          <w:highlight w:val="yellow"/>
        </w:rPr>
        <w:t>广西壮族自治区桂东人民医院</w:t>
      </w:r>
      <w:r>
        <w:rPr>
          <w:kern w:val="0"/>
          <w:sz w:val="24"/>
          <w:szCs w:val="24"/>
        </w:rPr>
        <w:t xml:space="preserve">     </w:t>
      </w:r>
    </w:p>
    <w:p>
      <w:pPr>
        <w:pStyle w:val="6"/>
        <w:ind w:left="-708" w:leftChars="-337"/>
        <w:rPr>
          <w:rFonts w:hint="eastAsia"/>
          <w:kern w:val="0"/>
          <w:sz w:val="24"/>
          <w:szCs w:val="24"/>
          <w:lang w:val="en-US" w:eastAsia="zh-CN"/>
        </w:rPr>
      </w:pPr>
      <w:r>
        <w:rPr>
          <w:rFonts w:hint="eastAsia"/>
          <w:kern w:val="0"/>
          <w:sz w:val="24"/>
          <w:szCs w:val="24"/>
          <w:lang w:val="en-US" w:eastAsia="zh-CN"/>
        </w:rPr>
        <w:t>10）付款条件（进度和方式）：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rPr>
        <w:t>90%</w:t>
      </w:r>
      <w:r>
        <w:rPr>
          <w:rFonts w:hint="eastAsia" w:cs="宋体"/>
          <w:kern w:val="0"/>
          <w:sz w:val="24"/>
          <w:szCs w:val="24"/>
        </w:rPr>
        <w:t xml:space="preserve"> ，其</w:t>
      </w:r>
      <w:r>
        <w:rPr>
          <w:rFonts w:hint="eastAsia" w:ascii="宋体" w:hAnsi="宋体" w:cs="宋体"/>
          <w:b/>
          <w:bCs/>
          <w:sz w:val="24"/>
          <w:szCs w:val="24"/>
          <w:u w:val="single"/>
        </w:rPr>
        <w:t>余10% 作为履约保证金，</w:t>
      </w:r>
      <w:r>
        <w:rPr>
          <w:rFonts w:hint="eastAsia" w:cs="宋体"/>
          <w:kern w:val="0"/>
          <w:sz w:val="24"/>
          <w:szCs w:val="24"/>
          <w:highlight w:val="yellow"/>
        </w:rPr>
        <w:t xml:space="preserve"> </w:t>
      </w:r>
      <w:r>
        <w:rPr>
          <w:rFonts w:hint="eastAsia" w:cs="宋体"/>
          <w:kern w:val="0"/>
          <w:sz w:val="24"/>
          <w:szCs w:val="24"/>
        </w:rPr>
        <w:t>质保期满后无质量问题后付清（无息）。如验收不合格以及发现伪劣产品等，招标人将视情形采取退货、拒付款、终止合同、索赔等措施，直至通过有关部门，依法维权。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r>
        <w:rPr>
          <w:rFonts w:hint="eastAsia" w:cs="宋体"/>
          <w:color w:val="FF0000"/>
          <w:kern w:val="0"/>
          <w:sz w:val="24"/>
          <w:szCs w:val="24"/>
          <w:u w:val="single"/>
          <w:lang w:val="en-US" w:eastAsia="zh-CN"/>
        </w:rPr>
        <w:t>5个工作日内</w:t>
      </w:r>
      <w:r>
        <w:rPr>
          <w:rFonts w:hint="eastAsia" w:cs="宋体"/>
          <w:kern w:val="0"/>
          <w:sz w:val="24"/>
          <w:szCs w:val="24"/>
        </w:rPr>
        <w:t>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6"/>
      </w:pP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bookmarkStart w:id="0" w:name="_GoBack"/>
      <w:bookmarkEnd w:id="0"/>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r>
        <w:rPr>
          <w:rFonts w:hint="eastAsia" w:cs="宋体"/>
          <w:b/>
          <w:bCs/>
          <w:kern w:val="0"/>
          <w:sz w:val="24"/>
          <w:szCs w:val="24"/>
          <w:u w:val="single"/>
          <w:lang w:eastAsia="zh-CN"/>
        </w:rPr>
        <w:t>综合评分法</w:t>
      </w:r>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6"/>
        <w:ind w:firstLine="480" w:firstLineChars="200"/>
      </w:pPr>
      <w:r>
        <w:t>投标报价得分=（评标基准价÷投标报价）×</w:t>
      </w:r>
      <w:r>
        <w:rPr>
          <w:rFonts w:hint="eastAsia" w:cs="宋体"/>
          <w:color w:val="auto"/>
        </w:rPr>
        <w:t>X</w:t>
      </w:r>
      <w:r>
        <w:t>（计算结果四舍五入，保留两位小数）</w:t>
      </w:r>
    </w:p>
    <w:p>
      <w:pPr>
        <w:pStyle w:val="6"/>
        <w:ind w:firstLine="480" w:firstLineChars="200"/>
      </w:pPr>
      <w:r>
        <w:rPr>
          <w:rFonts w:hint="eastAsia"/>
        </w:rPr>
        <w:t>1.4货物类报价分区间为30-60分</w:t>
      </w:r>
    </w:p>
    <w:p>
      <w:pPr>
        <w:pStyle w:val="6"/>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6"/>
      </w:pPr>
      <w:r>
        <w:rPr>
          <w:rFonts w:hint="eastAsia"/>
        </w:rPr>
        <w:t>2.1考察投标人产品技术参数、性能要求、功能特性等响应及偏离情况</w:t>
      </w:r>
    </w:p>
    <w:p>
      <w:pPr>
        <w:pStyle w:val="6"/>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6"/>
        <w:ind w:firstLine="480" w:firstLineChars="200"/>
      </w:pPr>
      <w:r>
        <w:rPr>
          <w:rFonts w:hint="eastAsia"/>
        </w:rPr>
        <w:t>3.1考察投标人的服务方案、售后服务承诺、投入人员、更长保修期等情况</w:t>
      </w:r>
    </w:p>
    <w:p>
      <w:pPr>
        <w:pStyle w:val="6"/>
        <w:ind w:firstLine="480" w:firstLineChars="200"/>
      </w:pPr>
      <w:r>
        <w:rPr>
          <w:rFonts w:hint="eastAsia"/>
        </w:rPr>
        <w:t>3.2区间为10-20分</w:t>
      </w:r>
    </w:p>
    <w:p>
      <w:pPr>
        <w:pStyle w:val="6"/>
        <w:ind w:firstLine="482" w:firstLineChars="200"/>
        <w:rPr>
          <w:b/>
          <w:bCs/>
        </w:rPr>
      </w:pPr>
      <w:r>
        <w:rPr>
          <w:rFonts w:hint="eastAsia"/>
          <w:b/>
          <w:bCs/>
        </w:rPr>
        <w:t>4.履约能力分</w:t>
      </w:r>
    </w:p>
    <w:p>
      <w:pPr>
        <w:pStyle w:val="6"/>
        <w:ind w:firstLine="480" w:firstLineChars="200"/>
      </w:pPr>
      <w:r>
        <w:rPr>
          <w:rFonts w:hint="eastAsia"/>
        </w:rPr>
        <w:t>4.1考察投标人的信誉业绩、相关资质、认证证书等情况</w:t>
      </w:r>
    </w:p>
    <w:p>
      <w:pPr>
        <w:pStyle w:val="6"/>
        <w:ind w:firstLine="480" w:firstLineChars="200"/>
      </w:pPr>
      <w:r>
        <w:rPr>
          <w:rFonts w:hint="eastAsia"/>
        </w:rPr>
        <w:t>4.2区间5-15分</w:t>
      </w:r>
    </w:p>
    <w:p>
      <w:pPr>
        <w:pStyle w:val="6"/>
        <w:ind w:firstLine="482" w:firstLineChars="200"/>
        <w:rPr>
          <w:b/>
          <w:bCs/>
        </w:rPr>
      </w:pPr>
      <w:r>
        <w:rPr>
          <w:rFonts w:hint="eastAsia"/>
          <w:b/>
          <w:bCs/>
        </w:rPr>
        <w:t>5.产品特性分</w:t>
      </w:r>
    </w:p>
    <w:p>
      <w:pPr>
        <w:pStyle w:val="6"/>
        <w:ind w:firstLine="480" w:firstLineChars="200"/>
      </w:pPr>
      <w:r>
        <w:rPr>
          <w:rFonts w:hint="eastAsia"/>
        </w:rPr>
        <w:t>5.1主要考察投标人产品的节能环保认证等情况</w:t>
      </w:r>
    </w:p>
    <w:p>
      <w:pPr>
        <w:pStyle w:val="6"/>
        <w:ind w:firstLine="480" w:firstLineChars="200"/>
      </w:pPr>
      <w:r>
        <w:rPr>
          <w:rFonts w:hint="eastAsia"/>
        </w:rPr>
        <w:t>5.2区间1-3分</w:t>
      </w:r>
    </w:p>
    <w:p>
      <w:pPr>
        <w:pStyle w:val="6"/>
        <w:ind w:firstLine="482" w:firstLineChars="200"/>
        <w:rPr>
          <w:b/>
          <w:bCs/>
        </w:rPr>
      </w:pPr>
      <w:r>
        <w:rPr>
          <w:rFonts w:hint="eastAsia"/>
          <w:b/>
          <w:bCs/>
        </w:rPr>
        <w:t>6.其他分值</w:t>
      </w:r>
    </w:p>
    <w:p>
      <w:pPr>
        <w:pStyle w:val="6"/>
        <w:ind w:firstLine="480" w:firstLineChars="200"/>
      </w:pPr>
      <w:r>
        <w:rPr>
          <w:rFonts w:hint="eastAsia"/>
        </w:rPr>
        <w:t>6.1包括演示、样品或招标人认为需要的其他评分项目</w:t>
      </w:r>
    </w:p>
    <w:p>
      <w:pPr>
        <w:pStyle w:val="6"/>
        <w:ind w:firstLine="480" w:firstLineChars="200"/>
      </w:pPr>
      <w:r>
        <w:rPr>
          <w:rFonts w:hint="eastAsia"/>
        </w:rPr>
        <w:t>6.2区间10-15分</w:t>
      </w:r>
    </w:p>
    <w:p>
      <w:pPr>
        <w:pStyle w:val="6"/>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s>
  <w:rsids>
    <w:rsidRoot w:val="00000000"/>
    <w:rsid w:val="01CC5EE4"/>
    <w:rsid w:val="028811FA"/>
    <w:rsid w:val="063B3638"/>
    <w:rsid w:val="0B386398"/>
    <w:rsid w:val="0D5A0848"/>
    <w:rsid w:val="0EFA7762"/>
    <w:rsid w:val="10D45BAD"/>
    <w:rsid w:val="12BF15EA"/>
    <w:rsid w:val="16842491"/>
    <w:rsid w:val="1816180F"/>
    <w:rsid w:val="1A912351"/>
    <w:rsid w:val="1E306736"/>
    <w:rsid w:val="212D2F94"/>
    <w:rsid w:val="21A53BE2"/>
    <w:rsid w:val="22E744D4"/>
    <w:rsid w:val="25D95E65"/>
    <w:rsid w:val="26121868"/>
    <w:rsid w:val="26C451BA"/>
    <w:rsid w:val="270E4483"/>
    <w:rsid w:val="293643AA"/>
    <w:rsid w:val="29BB3FC4"/>
    <w:rsid w:val="2CF57219"/>
    <w:rsid w:val="2D5D5D0A"/>
    <w:rsid w:val="2F8F5CD7"/>
    <w:rsid w:val="2FE449BB"/>
    <w:rsid w:val="30AA2EFF"/>
    <w:rsid w:val="3102061B"/>
    <w:rsid w:val="33F754AE"/>
    <w:rsid w:val="344E60C4"/>
    <w:rsid w:val="35BA6262"/>
    <w:rsid w:val="36201D7F"/>
    <w:rsid w:val="382D42DF"/>
    <w:rsid w:val="388760E5"/>
    <w:rsid w:val="39C0138C"/>
    <w:rsid w:val="3C5D1BB7"/>
    <w:rsid w:val="3E3B4F38"/>
    <w:rsid w:val="40112738"/>
    <w:rsid w:val="43707C19"/>
    <w:rsid w:val="4729480B"/>
    <w:rsid w:val="4FCE41A2"/>
    <w:rsid w:val="523E73BD"/>
    <w:rsid w:val="54525A49"/>
    <w:rsid w:val="56D332B2"/>
    <w:rsid w:val="58030293"/>
    <w:rsid w:val="5A1D5030"/>
    <w:rsid w:val="5BE508A9"/>
    <w:rsid w:val="5C71213D"/>
    <w:rsid w:val="5D4B0BE0"/>
    <w:rsid w:val="63AB23D8"/>
    <w:rsid w:val="67110DC2"/>
    <w:rsid w:val="67185FD7"/>
    <w:rsid w:val="676237CE"/>
    <w:rsid w:val="6DAF6CFD"/>
    <w:rsid w:val="6EBF4F8A"/>
    <w:rsid w:val="7358642E"/>
    <w:rsid w:val="760B7191"/>
    <w:rsid w:val="77297D8C"/>
    <w:rsid w:val="77E45A61"/>
    <w:rsid w:val="79614C1B"/>
    <w:rsid w:val="7A794B87"/>
    <w:rsid w:val="7EBA0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qFormat/>
    <w:uiPriority w:val="0"/>
    <w:pPr>
      <w:spacing w:after="120"/>
    </w:pPr>
  </w:style>
  <w:style w:type="paragraph" w:styleId="4">
    <w:name w:val="annotation text"/>
    <w:basedOn w:val="1"/>
    <w:link w:val="16"/>
    <w:qFormat/>
    <w:uiPriority w:val="99"/>
    <w:pPr>
      <w:jc w:val="left"/>
    </w:pPr>
  </w:style>
  <w:style w:type="paragraph" w:styleId="5">
    <w:name w:val="Plain Text"/>
    <w:basedOn w:val="1"/>
    <w:next w:val="6"/>
    <w:link w:val="18"/>
    <w:qFormat/>
    <w:uiPriority w:val="99"/>
    <w:rPr>
      <w:rFonts w:ascii="宋体" w:hAnsi="Courier New"/>
    </w:rPr>
  </w:style>
  <w:style w:type="paragraph" w:customStyle="1" w:styleId="6">
    <w:name w:val="Default"/>
    <w:next w:val="7"/>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7"/>
    <w:qFormat/>
    <w:uiPriority w:val="99"/>
    <w:rPr>
      <w:b/>
      <w:bCs/>
    </w:rPr>
  </w:style>
  <w:style w:type="table" w:styleId="12">
    <w:name w:val="Table Grid"/>
    <w:basedOn w:val="1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qFormat/>
    <w:uiPriority w:val="99"/>
    <w:rPr>
      <w:sz w:val="21"/>
      <w:szCs w:val="21"/>
    </w:rPr>
  </w:style>
  <w:style w:type="character" w:customStyle="1" w:styleId="15">
    <w:name w:val="批注文字 字符"/>
    <w:basedOn w:val="13"/>
    <w:qFormat/>
    <w:uiPriority w:val="99"/>
    <w:rPr>
      <w:rFonts w:ascii="Times New Roman" w:hAnsi="Times New Roman" w:eastAsia="宋体" w:cs="Times New Roman"/>
      <w:szCs w:val="21"/>
    </w:rPr>
  </w:style>
  <w:style w:type="character" w:customStyle="1" w:styleId="16">
    <w:name w:val="批注文字 字符1"/>
    <w:link w:val="4"/>
    <w:qFormat/>
    <w:uiPriority w:val="99"/>
    <w:rPr>
      <w:rFonts w:ascii="Times New Roman" w:hAnsi="Times New Roman" w:eastAsia="宋体" w:cs="Times New Roman"/>
      <w:szCs w:val="21"/>
    </w:rPr>
  </w:style>
  <w:style w:type="character" w:customStyle="1" w:styleId="17">
    <w:name w:val="批注主题 字符"/>
    <w:basedOn w:val="16"/>
    <w:link w:val="10"/>
    <w:qFormat/>
    <w:uiPriority w:val="99"/>
    <w:rPr>
      <w:rFonts w:ascii="Times New Roman" w:hAnsi="Times New Roman" w:eastAsia="宋体" w:cs="Times New Roman"/>
      <w:b/>
      <w:bCs/>
      <w:szCs w:val="21"/>
    </w:rPr>
  </w:style>
  <w:style w:type="character" w:customStyle="1" w:styleId="18">
    <w:name w:val="纯文本 字符"/>
    <w:basedOn w:val="13"/>
    <w:link w:val="5"/>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9"/>
    <w:qFormat/>
    <w:uiPriority w:val="99"/>
    <w:rPr>
      <w:rFonts w:ascii="Times New Roman" w:hAnsi="Times New Roman" w:eastAsia="宋体" w:cs="Times New Roman"/>
      <w:sz w:val="18"/>
      <w:szCs w:val="18"/>
    </w:rPr>
  </w:style>
  <w:style w:type="character" w:customStyle="1" w:styleId="22">
    <w:name w:val="页脚 字符"/>
    <w:basedOn w:val="13"/>
    <w:link w:val="8"/>
    <w:qFormat/>
    <w:uiPriority w:val="99"/>
    <w:rPr>
      <w:rFonts w:ascii="Times New Roman" w:hAnsi="Times New Roman" w:eastAsia="宋体" w:cs="Times New Roman"/>
      <w:sz w:val="18"/>
      <w:szCs w:val="18"/>
    </w:rPr>
  </w:style>
  <w:style w:type="character" w:styleId="23">
    <w:name w:val="Placeholder Text"/>
    <w:basedOn w:val="13"/>
    <w:qFormat/>
    <w:uiPriority w:val="99"/>
    <w:rPr>
      <w:color w:val="808080"/>
    </w:rPr>
  </w:style>
  <w:style w:type="paragraph" w:customStyle="1" w:styleId="24">
    <w:name w:val="样式1"/>
    <w:basedOn w:val="1"/>
    <w:qFormat/>
    <w:uiPriority w:val="0"/>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2544</Words>
  <Characters>2744</Characters>
  <Paragraphs>161</Paragraphs>
  <TotalTime>8</TotalTime>
  <ScaleCrop>false</ScaleCrop>
  <LinksUpToDate>false</LinksUpToDate>
  <CharactersWithSpaces>2774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2022-12-06T06:41:24Z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34FD2CB971E942EEB1549ABC57D8E9E8</vt:lpwstr>
  </property>
</Properties>
</file>