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：优于（正偏离）该条件则评审时加分，不满足（负偏离）则扣分；</w:t>
      </w:r>
    </w:p>
    <w:p>
      <w:pPr>
        <w:pStyle w:val="2"/>
        <w:ind w:left="-500" w:leftChars="-238" w:firstLine="417" w:firstLineChars="199"/>
        <w:rPr>
          <w:rFonts w:hint="default" w:eastAsia="宋体"/>
          <w:color w:val="FF0000"/>
          <w:sz w:val="21"/>
          <w:szCs w:val="21"/>
          <w:lang w:val="en-US" w:eastAsia="zh-CN"/>
        </w:rPr>
      </w:pP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tbl>
      <w:tblPr>
        <w:tblStyle w:val="13"/>
        <w:tblW w:w="7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251"/>
        <w:gridCol w:w="1358"/>
        <w:gridCol w:w="1622"/>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4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2251" w:type="dxa"/>
            <w:vAlign w:val="center"/>
          </w:tcPr>
          <w:p>
            <w:pPr>
              <w:widowControl/>
              <w:spacing w:line="360" w:lineRule="auto"/>
              <w:jc w:val="center"/>
            </w:pPr>
            <w:r>
              <w:rPr>
                <w:rFonts w:hint="eastAsia" w:cs="宋体"/>
                <w:b/>
                <w:bCs/>
                <w:kern w:val="0"/>
                <w:sz w:val="24"/>
                <w:szCs w:val="24"/>
              </w:rPr>
              <w:t>货物名称</w:t>
            </w:r>
            <w:r>
              <w:rPr>
                <w:rFonts w:hint="eastAsia"/>
                <w:b/>
                <w:bCs/>
                <w:color w:val="FF0000"/>
                <w:sz w:val="21"/>
                <w:szCs w:val="21"/>
                <w:lang w:val="en-US" w:eastAsia="zh-CN"/>
              </w:rPr>
              <w:t>＃</w:t>
            </w:r>
          </w:p>
        </w:tc>
        <w:tc>
          <w:tcPr>
            <w:tcW w:w="1358" w:type="dxa"/>
            <w:vAlign w:val="center"/>
          </w:tcPr>
          <w:p>
            <w:pPr>
              <w:widowControl/>
              <w:spacing w:line="360" w:lineRule="auto"/>
              <w:jc w:val="center"/>
            </w:pPr>
            <w:r>
              <w:rPr>
                <w:rFonts w:hint="eastAsia" w:cs="宋体"/>
                <w:b/>
                <w:bCs/>
                <w:kern w:val="0"/>
                <w:sz w:val="24"/>
                <w:szCs w:val="24"/>
              </w:rPr>
              <w:t>数量</w:t>
            </w:r>
            <w:r>
              <w:rPr>
                <w:rFonts w:hint="eastAsia"/>
                <w:b/>
                <w:bCs/>
                <w:color w:val="FF0000"/>
                <w:sz w:val="21"/>
                <w:szCs w:val="21"/>
              </w:rPr>
              <w:t xml:space="preserve">★ </w:t>
            </w:r>
          </w:p>
        </w:tc>
        <w:tc>
          <w:tcPr>
            <w:tcW w:w="1622" w:type="dxa"/>
            <w:vAlign w:val="center"/>
          </w:tcPr>
          <w:p>
            <w:pPr>
              <w:widowControl/>
              <w:spacing w:line="360" w:lineRule="auto"/>
              <w:jc w:val="center"/>
              <w:rPr>
                <w:rFonts w:hint="eastAsia" w:eastAsia="宋体" w:cs="宋体"/>
                <w:b/>
                <w:bCs/>
                <w:kern w:val="0"/>
                <w:sz w:val="24"/>
                <w:szCs w:val="24"/>
                <w:lang w:eastAsia="zh-CN"/>
              </w:rPr>
            </w:pPr>
            <w:r>
              <w:rPr>
                <w:rFonts w:hint="eastAsia" w:cs="宋体"/>
                <w:b/>
                <w:bCs/>
                <w:kern w:val="0"/>
                <w:sz w:val="24"/>
                <w:szCs w:val="24"/>
                <w:lang w:eastAsia="zh-CN"/>
              </w:rPr>
              <w:t>单位</w:t>
            </w:r>
          </w:p>
        </w:tc>
        <w:tc>
          <w:tcPr>
            <w:tcW w:w="1534" w:type="dxa"/>
            <w:vAlign w:val="center"/>
          </w:tcPr>
          <w:p>
            <w:pPr>
              <w:widowControl/>
              <w:spacing w:line="360" w:lineRule="auto"/>
              <w:jc w:val="center"/>
              <w:rPr>
                <w:rFonts w:hint="eastAsia" w:cs="宋体"/>
                <w:b/>
                <w:bCs/>
                <w:kern w:val="0"/>
                <w:sz w:val="24"/>
                <w:szCs w:val="24"/>
                <w:lang w:eastAsia="zh-CN"/>
              </w:rPr>
            </w:pPr>
            <w:r>
              <w:rPr>
                <w:rFonts w:hint="eastAsia" w:cs="宋体"/>
                <w:b/>
                <w:bCs/>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1</w:t>
            </w:r>
          </w:p>
        </w:tc>
        <w:tc>
          <w:tcPr>
            <w:tcW w:w="2251"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车位画线费</w:t>
            </w:r>
          </w:p>
        </w:tc>
        <w:tc>
          <w:tcPr>
            <w:tcW w:w="1358"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1512</w:t>
            </w:r>
          </w:p>
        </w:tc>
        <w:tc>
          <w:tcPr>
            <w:tcW w:w="1622"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米</w:t>
            </w:r>
          </w:p>
        </w:tc>
        <w:tc>
          <w:tcPr>
            <w:tcW w:w="1534"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2</w:t>
            </w:r>
          </w:p>
        </w:tc>
        <w:tc>
          <w:tcPr>
            <w:tcW w:w="2251"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地面清洁上漆</w:t>
            </w:r>
          </w:p>
        </w:tc>
        <w:tc>
          <w:tcPr>
            <w:tcW w:w="1358"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940.09</w:t>
            </w:r>
          </w:p>
        </w:tc>
        <w:tc>
          <w:tcPr>
            <w:tcW w:w="1622"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w:t>
            </w:r>
          </w:p>
        </w:tc>
        <w:tc>
          <w:tcPr>
            <w:tcW w:w="1534"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3</w:t>
            </w:r>
          </w:p>
        </w:tc>
        <w:tc>
          <w:tcPr>
            <w:tcW w:w="2251"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指示箭头及喷字</w:t>
            </w:r>
          </w:p>
        </w:tc>
        <w:tc>
          <w:tcPr>
            <w:tcW w:w="1358"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99</w:t>
            </w:r>
          </w:p>
        </w:tc>
        <w:tc>
          <w:tcPr>
            <w:tcW w:w="1622"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w:t>
            </w:r>
          </w:p>
        </w:tc>
        <w:tc>
          <w:tcPr>
            <w:tcW w:w="1534"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4</w:t>
            </w:r>
          </w:p>
        </w:tc>
        <w:tc>
          <w:tcPr>
            <w:tcW w:w="2251"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雷达感应节能灯</w:t>
            </w:r>
          </w:p>
        </w:tc>
        <w:tc>
          <w:tcPr>
            <w:tcW w:w="1358"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622"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534"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5</w:t>
            </w:r>
          </w:p>
        </w:tc>
        <w:tc>
          <w:tcPr>
            <w:tcW w:w="2251"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电源线及线管</w:t>
            </w:r>
          </w:p>
        </w:tc>
        <w:tc>
          <w:tcPr>
            <w:tcW w:w="1358" w:type="dxa"/>
            <w:vAlign w:val="center"/>
          </w:tcPr>
          <w:p>
            <w:pPr>
              <w:autoSpaceDE w:val="0"/>
              <w:autoSpaceDN w:val="0"/>
              <w:adjustRightInd w:val="0"/>
              <w:jc w:val="center"/>
              <w:rPr>
                <w:rFonts w:hint="default" w:eastAsia="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1</w:t>
            </w:r>
          </w:p>
        </w:tc>
        <w:tc>
          <w:tcPr>
            <w:tcW w:w="1622" w:type="dxa"/>
            <w:vAlign w:val="center"/>
          </w:tcPr>
          <w:p>
            <w:pPr>
              <w:autoSpaceDE w:val="0"/>
              <w:autoSpaceDN w:val="0"/>
              <w:adjustRightInd w:val="0"/>
              <w:jc w:val="center"/>
              <w:rPr>
                <w:rFonts w:hint="eastAsia"/>
                <w:color w:val="000000"/>
                <w:kern w:val="0"/>
                <w:sz w:val="24"/>
                <w:szCs w:val="24"/>
                <w:lang w:val="en-US" w:eastAsia="zh-CN"/>
              </w:rPr>
            </w:pPr>
            <w:r>
              <w:rPr>
                <w:rFonts w:hint="eastAsia" w:ascii="宋体" w:hAnsi="宋体" w:eastAsia="宋体" w:cs="宋体"/>
                <w:i w:val="0"/>
                <w:iCs w:val="0"/>
                <w:color w:val="000000"/>
                <w:kern w:val="0"/>
                <w:sz w:val="21"/>
                <w:szCs w:val="21"/>
                <w:u w:val="none"/>
                <w:lang w:val="en-US" w:eastAsia="zh-CN" w:bidi="ar"/>
              </w:rPr>
              <w:t>批</w:t>
            </w:r>
          </w:p>
        </w:tc>
        <w:tc>
          <w:tcPr>
            <w:tcW w:w="1534" w:type="dxa"/>
            <w:vAlign w:val="center"/>
          </w:tcPr>
          <w:p>
            <w:pPr>
              <w:autoSpaceDE w:val="0"/>
              <w:autoSpaceDN w:val="0"/>
              <w:adjustRightInd w:val="0"/>
              <w:jc w:val="center"/>
              <w:rPr>
                <w:rFonts w:hint="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6</w:t>
            </w:r>
          </w:p>
        </w:tc>
        <w:tc>
          <w:tcPr>
            <w:tcW w:w="2251"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双机芯立式摆闸</w:t>
            </w:r>
          </w:p>
        </w:tc>
        <w:tc>
          <w:tcPr>
            <w:tcW w:w="1358" w:type="dxa"/>
            <w:vAlign w:val="center"/>
          </w:tcPr>
          <w:p>
            <w:pPr>
              <w:autoSpaceDE w:val="0"/>
              <w:autoSpaceDN w:val="0"/>
              <w:adjustRightInd w:val="0"/>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622" w:type="dxa"/>
            <w:vAlign w:val="center"/>
          </w:tcPr>
          <w:p>
            <w:pPr>
              <w:autoSpaceDE w:val="0"/>
              <w:autoSpaceDN w:val="0"/>
              <w:adjustRightInd w:val="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c>
          <w:tcPr>
            <w:tcW w:w="1534" w:type="dxa"/>
            <w:vAlign w:val="center"/>
          </w:tcPr>
          <w:p>
            <w:pPr>
              <w:autoSpaceDE w:val="0"/>
              <w:autoSpaceDN w:val="0"/>
              <w:adjustRightInd w:val="0"/>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7</w:t>
            </w:r>
          </w:p>
        </w:tc>
        <w:tc>
          <w:tcPr>
            <w:tcW w:w="2251"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RFID天线</w:t>
            </w:r>
          </w:p>
        </w:tc>
        <w:tc>
          <w:tcPr>
            <w:tcW w:w="1358" w:type="dxa"/>
            <w:vAlign w:val="center"/>
          </w:tcPr>
          <w:p>
            <w:pPr>
              <w:autoSpaceDE w:val="0"/>
              <w:autoSpaceDN w:val="0"/>
              <w:adjustRightInd w:val="0"/>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622" w:type="dxa"/>
            <w:vAlign w:val="center"/>
          </w:tcPr>
          <w:p>
            <w:pPr>
              <w:autoSpaceDE w:val="0"/>
              <w:autoSpaceDN w:val="0"/>
              <w:adjustRightInd w:val="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c>
          <w:tcPr>
            <w:tcW w:w="1534" w:type="dxa"/>
            <w:vAlign w:val="center"/>
          </w:tcPr>
          <w:p>
            <w:pPr>
              <w:autoSpaceDE w:val="0"/>
              <w:autoSpaceDN w:val="0"/>
              <w:adjustRightInd w:val="0"/>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8</w:t>
            </w:r>
          </w:p>
        </w:tc>
        <w:tc>
          <w:tcPr>
            <w:tcW w:w="2251"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RFID天线立杆</w:t>
            </w:r>
          </w:p>
        </w:tc>
        <w:tc>
          <w:tcPr>
            <w:tcW w:w="1358" w:type="dxa"/>
            <w:vAlign w:val="center"/>
          </w:tcPr>
          <w:p>
            <w:pPr>
              <w:autoSpaceDE w:val="0"/>
              <w:autoSpaceDN w:val="0"/>
              <w:adjustRightInd w:val="0"/>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622" w:type="dxa"/>
            <w:vAlign w:val="center"/>
          </w:tcPr>
          <w:p>
            <w:pPr>
              <w:autoSpaceDE w:val="0"/>
              <w:autoSpaceDN w:val="0"/>
              <w:adjustRightInd w:val="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支</w:t>
            </w:r>
          </w:p>
        </w:tc>
        <w:tc>
          <w:tcPr>
            <w:tcW w:w="1534" w:type="dxa"/>
            <w:vAlign w:val="center"/>
          </w:tcPr>
          <w:p>
            <w:pPr>
              <w:autoSpaceDE w:val="0"/>
              <w:autoSpaceDN w:val="0"/>
              <w:adjustRightInd w:val="0"/>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9</w:t>
            </w:r>
          </w:p>
        </w:tc>
        <w:tc>
          <w:tcPr>
            <w:tcW w:w="2251"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RFID卡</w:t>
            </w:r>
          </w:p>
        </w:tc>
        <w:tc>
          <w:tcPr>
            <w:tcW w:w="1358" w:type="dxa"/>
            <w:vAlign w:val="center"/>
          </w:tcPr>
          <w:p>
            <w:pPr>
              <w:autoSpaceDE w:val="0"/>
              <w:autoSpaceDN w:val="0"/>
              <w:adjustRightInd w:val="0"/>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w:t>
            </w:r>
            <w:r>
              <w:rPr>
                <w:rFonts w:hint="eastAsia" w:ascii="宋体" w:hAnsi="宋体" w:eastAsia="宋体" w:cs="宋体"/>
                <w:i w:val="0"/>
                <w:iCs w:val="0"/>
                <w:color w:val="000000"/>
                <w:kern w:val="0"/>
                <w:sz w:val="21"/>
                <w:szCs w:val="21"/>
                <w:u w:val="none"/>
                <w:lang w:val="en-US" w:eastAsia="zh-CN" w:bidi="ar"/>
              </w:rPr>
              <w:t>00</w:t>
            </w:r>
          </w:p>
        </w:tc>
        <w:tc>
          <w:tcPr>
            <w:tcW w:w="1622" w:type="dxa"/>
            <w:vAlign w:val="center"/>
          </w:tcPr>
          <w:p>
            <w:pPr>
              <w:autoSpaceDE w:val="0"/>
              <w:autoSpaceDN w:val="0"/>
              <w:adjustRightInd w:val="0"/>
              <w:jc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张</w:t>
            </w:r>
          </w:p>
        </w:tc>
        <w:tc>
          <w:tcPr>
            <w:tcW w:w="1534" w:type="dxa"/>
            <w:vAlign w:val="center"/>
          </w:tcPr>
          <w:p>
            <w:pPr>
              <w:autoSpaceDE w:val="0"/>
              <w:autoSpaceDN w:val="0"/>
              <w:adjustRightInd w:val="0"/>
              <w:jc w:val="center"/>
              <w:rPr>
                <w:rFonts w:hint="eastAsia" w:ascii="宋体" w:hAnsi="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default" w:eastAsia="宋体"/>
                <w:color w:val="000000"/>
                <w:kern w:val="0"/>
                <w:sz w:val="24"/>
                <w:szCs w:val="24"/>
                <w:lang w:val="en-US" w:eastAsia="zh-CN"/>
              </w:rPr>
            </w:pPr>
            <w:r>
              <w:rPr>
                <w:rFonts w:hint="eastAsia"/>
                <w:color w:val="000000"/>
                <w:kern w:val="0"/>
                <w:sz w:val="24"/>
                <w:szCs w:val="24"/>
                <w:lang w:val="en-US" w:eastAsia="zh-CN"/>
              </w:rPr>
              <w:t>10</w:t>
            </w:r>
          </w:p>
        </w:tc>
        <w:tc>
          <w:tcPr>
            <w:tcW w:w="2251"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安装制作费</w:t>
            </w:r>
          </w:p>
        </w:tc>
        <w:tc>
          <w:tcPr>
            <w:tcW w:w="1358" w:type="dxa"/>
            <w:vAlign w:val="center"/>
          </w:tcPr>
          <w:p>
            <w:pPr>
              <w:autoSpaceDE w:val="0"/>
              <w:autoSpaceDN w:val="0"/>
              <w:adjustRightInd w:val="0"/>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622" w:type="dxa"/>
            <w:vAlign w:val="center"/>
          </w:tcPr>
          <w:p>
            <w:pPr>
              <w:autoSpaceDE w:val="0"/>
              <w:autoSpaceDN w:val="0"/>
              <w:adjustRightInd w:val="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批</w:t>
            </w:r>
          </w:p>
        </w:tc>
        <w:tc>
          <w:tcPr>
            <w:tcW w:w="1534" w:type="dxa"/>
            <w:vAlign w:val="center"/>
          </w:tcPr>
          <w:p>
            <w:pPr>
              <w:autoSpaceDE w:val="0"/>
              <w:autoSpaceDN w:val="0"/>
              <w:adjustRightInd w:val="0"/>
              <w:jc w:val="center"/>
              <w:rPr>
                <w:rFonts w:hint="eastAsia" w:ascii="宋体" w:hAnsi="宋体" w:eastAsia="宋体" w:cs="宋体"/>
                <w:i w:val="0"/>
                <w:iCs w:val="0"/>
                <w:color w:val="000000"/>
                <w:kern w:val="0"/>
                <w:sz w:val="21"/>
                <w:szCs w:val="21"/>
                <w:u w:val="none"/>
                <w:lang w:val="en-US" w:eastAsia="zh-CN" w:bidi="ar"/>
              </w:rPr>
            </w:pPr>
          </w:p>
        </w:tc>
      </w:tr>
    </w:tbl>
    <w:p>
      <w:pPr>
        <w:pStyle w:val="2"/>
        <w:ind w:left="-708" w:leftChars="-337"/>
        <w:rPr>
          <w:rFonts w:hint="eastAsia" w:eastAsia="宋体" w:cs="宋体"/>
          <w:b/>
          <w:bCs/>
          <w:lang w:eastAsia="zh-CN"/>
        </w:rPr>
      </w:pPr>
    </w:p>
    <w:p>
      <w:pPr>
        <w:pStyle w:val="2"/>
        <w:ind w:left="-708" w:leftChars="-337"/>
        <w:rPr>
          <w:rFonts w:hint="default" w:eastAsia="宋体" w:cs="宋体"/>
          <w:b/>
          <w:bCs/>
          <w:lang w:val="en-US" w:eastAsia="zh-CN"/>
        </w:rPr>
      </w:pPr>
      <w:r>
        <w:rPr>
          <w:rFonts w:hint="eastAsia" w:eastAsia="宋体" w:cs="宋体"/>
          <w:b/>
          <w:bCs/>
          <w:lang w:eastAsia="zh-CN"/>
        </w:rPr>
        <w:t>（二）</w:t>
      </w:r>
      <w:r>
        <w:rPr>
          <w:rFonts w:hint="eastAsia" w:eastAsia="宋体" w:cs="宋体"/>
          <w:b/>
          <w:bCs/>
        </w:rPr>
        <w:t>技术规格参数</w:t>
      </w:r>
    </w:p>
    <w:tbl>
      <w:tblPr>
        <w:tblStyle w:val="13"/>
        <w:tblW w:w="10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745"/>
        <w:gridCol w:w="7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4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1745" w:type="dxa"/>
            <w:vAlign w:val="center"/>
          </w:tcPr>
          <w:p>
            <w:pPr>
              <w:widowControl/>
              <w:spacing w:line="360" w:lineRule="auto"/>
              <w:jc w:val="center"/>
            </w:pPr>
            <w:r>
              <w:rPr>
                <w:rFonts w:hint="eastAsia" w:cs="宋体"/>
                <w:b/>
                <w:bCs/>
                <w:kern w:val="0"/>
                <w:sz w:val="24"/>
                <w:szCs w:val="24"/>
              </w:rPr>
              <w:t>货物名称</w:t>
            </w:r>
            <w:r>
              <w:rPr>
                <w:rFonts w:hint="eastAsia"/>
                <w:b/>
                <w:bCs/>
                <w:color w:val="FF0000"/>
                <w:sz w:val="21"/>
                <w:szCs w:val="21"/>
                <w:lang w:val="en-US" w:eastAsia="zh-CN"/>
              </w:rPr>
              <w:t>＃</w:t>
            </w:r>
          </w:p>
        </w:tc>
        <w:tc>
          <w:tcPr>
            <w:tcW w:w="7595" w:type="dxa"/>
            <w:vAlign w:val="center"/>
          </w:tcPr>
          <w:p>
            <w:pPr>
              <w:widowControl/>
              <w:spacing w:line="360" w:lineRule="auto"/>
              <w:jc w:val="center"/>
            </w:pPr>
            <w:r>
              <w:rPr>
                <w:rFonts w:hint="eastAsia" w:cs="宋体"/>
                <w:b/>
                <w:bCs/>
                <w:kern w:val="0"/>
                <w:sz w:val="24"/>
                <w:szCs w:val="24"/>
              </w:rPr>
              <w:t>配置参数等相关说明</w:t>
            </w:r>
            <w:r>
              <w:rPr>
                <w:rFonts w:hint="eastAsia"/>
                <w:b/>
                <w:bCs/>
                <w:color w:val="FF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1</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车位画线费</w:t>
            </w:r>
          </w:p>
        </w:tc>
        <w:tc>
          <w:tcPr>
            <w:tcW w:w="7595"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5.4米/车位</w:t>
            </w:r>
            <w:r>
              <w:rPr>
                <w:rFonts w:hint="eastAsia" w:ascii="宋体" w:hAnsi="宋体" w:cs="宋体"/>
                <w:i w:val="0"/>
                <w:iCs w:val="0"/>
                <w:color w:val="000000"/>
                <w:kern w:val="0"/>
                <w:sz w:val="21"/>
                <w:szCs w:val="21"/>
                <w:u w:val="none"/>
                <w:lang w:val="en-US" w:eastAsia="zh-CN" w:bidi="ar"/>
              </w:rPr>
              <w:t>，停车位颜色为蓝色，车位线颜色为白色，车位不少于280个，车位线宽10-12cm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2</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地面清洁上漆</w:t>
            </w:r>
          </w:p>
        </w:tc>
        <w:tc>
          <w:tcPr>
            <w:tcW w:w="7595"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地面颜色为绿色，地面上漆一层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3</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指示箭头及喷字</w:t>
            </w:r>
          </w:p>
        </w:tc>
        <w:tc>
          <w:tcPr>
            <w:tcW w:w="7595"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300mm*300mm，颜色为黄色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4</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雷达感应节能灯</w:t>
            </w:r>
          </w:p>
        </w:tc>
        <w:tc>
          <w:tcPr>
            <w:tcW w:w="7595"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含支架安装</w:t>
            </w:r>
            <w:r>
              <w:rPr>
                <w:rFonts w:hint="eastAsia" w:ascii="宋体" w:hAnsi="宋体" w:cs="宋体"/>
                <w:i w:val="0"/>
                <w:iCs w:val="0"/>
                <w:color w:val="000000"/>
                <w:kern w:val="0"/>
                <w:sz w:val="21"/>
                <w:szCs w:val="21"/>
                <w:u w:val="none"/>
                <w:lang w:val="en-US" w:eastAsia="zh-CN" w:bidi="ar"/>
              </w:rPr>
              <w:t>，智能声控双亮度灯管，暗亮2.5W，大亮10W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5</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电源线及线管</w:t>
            </w:r>
          </w:p>
        </w:tc>
        <w:tc>
          <w:tcPr>
            <w:tcW w:w="7595"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电源线规格为1.5平方铜线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6</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双机芯立式摆闸</w:t>
            </w:r>
          </w:p>
        </w:tc>
        <w:tc>
          <w:tcPr>
            <w:tcW w:w="7595" w:type="dxa"/>
            <w:vAlign w:val="center"/>
          </w:tcPr>
          <w:p>
            <w:pPr>
              <w:keepNext w:val="0"/>
              <w:keepLines w:val="0"/>
              <w:widowControl/>
              <w:numPr>
                <w:ilvl w:val="0"/>
                <w:numId w:val="1"/>
              </w:numPr>
              <w:suppressLineNumbers w:val="0"/>
              <w:jc w:val="left"/>
              <w:textAlignment w:val="top"/>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外形尺寸：长420*宽330*高980mm</w:t>
            </w:r>
            <w:r>
              <w:rPr>
                <w:rFonts w:hint="eastAsia" w:ascii="宋体" w:hAnsi="宋体" w:cs="宋体"/>
                <w:i w:val="0"/>
                <w:iCs w:val="0"/>
                <w:color w:val="000000"/>
                <w:kern w:val="0"/>
                <w:sz w:val="21"/>
                <w:szCs w:val="21"/>
                <w:u w:val="none"/>
                <w:lang w:val="en-US" w:eastAsia="zh-CN" w:bidi="ar"/>
              </w:rPr>
              <w:t>；</w:t>
            </w:r>
          </w:p>
          <w:p>
            <w:pPr>
              <w:keepNext w:val="0"/>
              <w:keepLines w:val="0"/>
              <w:widowControl/>
              <w:numPr>
                <w:ilvl w:val="0"/>
                <w:numId w:val="1"/>
              </w:numPr>
              <w:suppressLineNumbers w:val="0"/>
              <w:ind w:left="0" w:leftChars="0" w:firstLine="0" w:firstLineChars="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材质：304不锈钢材质，依据防潮、防尘、防水国际规范设计；</w:t>
            </w:r>
          </w:p>
          <w:p>
            <w:pPr>
              <w:keepNext w:val="0"/>
              <w:keepLines w:val="0"/>
              <w:widowControl/>
              <w:numPr>
                <w:ilvl w:val="0"/>
                <w:numId w:val="1"/>
              </w:numPr>
              <w:suppressLineNumbers w:val="0"/>
              <w:ind w:left="0" w:leftChars="0" w:firstLine="0" w:firstLineChars="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3、电源电压：AC220V±10%、50Hz；驱动电机：24V；</w:t>
            </w:r>
          </w:p>
          <w:p>
            <w:pPr>
              <w:keepNext w:val="0"/>
              <w:keepLines w:val="0"/>
              <w:widowControl/>
              <w:numPr>
                <w:ilvl w:val="0"/>
                <w:numId w:val="1"/>
              </w:numPr>
              <w:suppressLineNumbers w:val="0"/>
              <w:ind w:left="0" w:leftChars="0" w:firstLine="0" w:firstLineChars="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工作环境温度：－30℃～+70℃；相对湿度：相对湿度≤95%、不凝露；</w:t>
            </w:r>
          </w:p>
          <w:p>
            <w:pPr>
              <w:keepNext w:val="0"/>
              <w:keepLines w:val="0"/>
              <w:widowControl/>
              <w:numPr>
                <w:ilvl w:val="0"/>
                <w:numId w:val="1"/>
              </w:numPr>
              <w:suppressLineNumbers w:val="0"/>
              <w:ind w:left="0" w:leftChars="0" w:firstLine="0" w:firstLineChars="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输入接口：12V电平信号或脉宽＞100ms的12V脉冲信号；</w:t>
            </w:r>
          </w:p>
          <w:p>
            <w:pPr>
              <w:keepNext w:val="0"/>
              <w:keepLines w:val="0"/>
              <w:widowControl/>
              <w:numPr>
                <w:ilvl w:val="0"/>
                <w:numId w:val="1"/>
              </w:numPr>
              <w:suppressLineNumbers w:val="0"/>
              <w:ind w:left="0" w:leftChars="0" w:firstLine="0" w:firstLineChars="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驱动电流：＞200mA；7、通信接口：RS485电气标准；</w:t>
            </w:r>
          </w:p>
          <w:p>
            <w:pPr>
              <w:keepNext w:val="0"/>
              <w:keepLines w:val="0"/>
              <w:widowControl/>
              <w:numPr>
                <w:ilvl w:val="0"/>
                <w:numId w:val="1"/>
              </w:numPr>
              <w:suppressLineNumbers w:val="0"/>
              <w:ind w:left="0" w:leftChars="0" w:firstLine="0" w:firstLineChars="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通信距离：≤1200米；9、闸杆长：300-800mm；10、通道宽：600-1600mm；</w:t>
            </w:r>
          </w:p>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11、通行速度：≤30人/分钟；12、结构：框架结构/标准不锈钢外壳；</w:t>
            </w:r>
          </w:p>
          <w:p>
            <w:pPr>
              <w:keepNext w:val="0"/>
              <w:keepLines w:val="0"/>
              <w:widowControl/>
              <w:suppressLineNumbers w:val="0"/>
              <w:jc w:val="left"/>
              <w:textAlignment w:val="top"/>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13、摆杆转向：支持单向和双向；14、工作环境：室外</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15、扩展功能：可外接ID、IC卡，指纹识别、人脸识别、指静脉识别、二维码识别、身份证识别、手机APP开闸、人体综合防静电设备、安检门、访客系统等</w:t>
            </w:r>
            <w:r>
              <w:rPr>
                <w:rFonts w:hint="eastAsia" w:ascii="宋体" w:hAnsi="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default" w:eastAsia="宋体"/>
                <w:color w:val="000000"/>
                <w:kern w:val="0"/>
                <w:sz w:val="24"/>
                <w:szCs w:val="24"/>
                <w:lang w:val="en-US" w:eastAsia="zh-CN"/>
              </w:rPr>
            </w:pPr>
            <w:r>
              <w:rPr>
                <w:rFonts w:hint="eastAsia"/>
                <w:color w:val="000000"/>
                <w:kern w:val="0"/>
                <w:sz w:val="24"/>
                <w:szCs w:val="24"/>
                <w:lang w:val="en-US" w:eastAsia="zh-CN"/>
              </w:rPr>
              <w:t>7</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RFID天线</w:t>
            </w:r>
          </w:p>
        </w:tc>
        <w:tc>
          <w:tcPr>
            <w:tcW w:w="7595"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远距离读取：0-20米(视读写器而定)、输出功率：+0-33DBM软件可调、宽频电压设计：DC9V~24V、支持设置：13种寻卡方式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8</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RFID天线立杆</w:t>
            </w:r>
          </w:p>
        </w:tc>
        <w:tc>
          <w:tcPr>
            <w:tcW w:w="7595"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40镀锌圆管、高度：1.5米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9</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RFID卡</w:t>
            </w:r>
          </w:p>
        </w:tc>
        <w:tc>
          <w:tcPr>
            <w:tcW w:w="7595"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尺寸规格：73*23mm、材质工艺：铜版纸/干inlay/湿inlay、识别距离：约3-5米(视读写器而定)</w:t>
            </w:r>
          </w:p>
        </w:tc>
      </w:tr>
    </w:tbl>
    <w:p>
      <w:pPr>
        <w:pStyle w:val="2"/>
        <w:ind w:left="-708" w:leftChars="-337"/>
        <w:rPr>
          <w:rFonts w:hint="default"/>
          <w:b/>
          <w:bCs/>
          <w:color w:val="0000FF"/>
          <w:sz w:val="18"/>
          <w:szCs w:val="18"/>
          <w:lang w:val="en-US" w:eastAsia="zh-CN"/>
        </w:rPr>
      </w:pPr>
    </w:p>
    <w:p>
      <w:pPr>
        <w:pStyle w:val="2"/>
        <w:ind w:left="-708" w:leftChars="-337"/>
        <w:rPr>
          <w:rFonts w:hint="eastAsia" w:eastAsia="宋体" w:cs="宋体"/>
          <w:b/>
          <w:bCs/>
        </w:rPr>
      </w:pPr>
      <w:r>
        <w:rPr>
          <w:rFonts w:hint="eastAsia" w:eastAsia="宋体" w:cs="宋体"/>
          <w:b/>
          <w:bCs/>
          <w:lang w:eastAsia="zh-CN"/>
        </w:rPr>
        <w:t>（三）</w:t>
      </w:r>
      <w:r>
        <w:rPr>
          <w:rFonts w:hint="eastAsia" w:cs="宋体"/>
          <w:b/>
          <w:bCs/>
          <w:lang w:eastAsia="zh-CN"/>
        </w:rPr>
        <w:t>项目产品</w:t>
      </w:r>
      <w:r>
        <w:rPr>
          <w:rFonts w:hint="eastAsia" w:eastAsia="宋体" w:cs="宋体"/>
          <w:b/>
          <w:bCs/>
        </w:rPr>
        <w:t>基本要求</w:t>
      </w:r>
    </w:p>
    <w:p>
      <w:pPr>
        <w:pStyle w:val="2"/>
        <w:ind w:left="-708" w:leftChars="-337"/>
        <w:rPr>
          <w:color w:val="auto"/>
        </w:rPr>
      </w:pPr>
      <w:r>
        <w:rPr>
          <w:rFonts w:hint="eastAsia"/>
          <w:color w:val="auto"/>
        </w:rPr>
        <w:t>1、以上产品必须是具备合法资质的制造商生产的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rFonts w:hint="eastAsia"/>
          <w:color w:val="auto"/>
        </w:rPr>
      </w:pPr>
      <w:r>
        <w:rPr>
          <w:rFonts w:hint="eastAsia"/>
          <w:color w:val="auto"/>
        </w:rPr>
        <w:t>5、</w:t>
      </w:r>
      <w:r>
        <w:rPr>
          <w:rFonts w:hint="eastAsia"/>
          <w:color w:val="auto"/>
          <w:lang w:val="en-US" w:eastAsia="zh-CN"/>
        </w:rPr>
        <w:t>投标</w:t>
      </w:r>
      <w:r>
        <w:rPr>
          <w:rFonts w:hint="eastAsia"/>
        </w:rPr>
        <w:t>人在竞价文件中必须提交设备配置清单，如设备有配套耗材及定期更换的配件请投标时与设备一起报价</w:t>
      </w:r>
      <w:r>
        <w:rPr>
          <w:rFonts w:hint="eastAsia"/>
          <w:color w:val="auto"/>
        </w:rPr>
        <w:t>。</w:t>
      </w:r>
    </w:p>
    <w:p>
      <w:pPr>
        <w:pStyle w:val="2"/>
        <w:ind w:left="-708" w:leftChars="-337"/>
        <w:rPr>
          <w:rFonts w:hint="eastAsia"/>
          <w:color w:val="auto"/>
        </w:rPr>
      </w:pPr>
      <w:r>
        <w:rPr>
          <w:rFonts w:hint="eastAsia"/>
          <w:color w:val="auto"/>
          <w:lang w:val="en-US" w:eastAsia="zh-CN"/>
        </w:rPr>
        <w:t>6、投标人所投产品必须</w:t>
      </w:r>
      <w:r>
        <w:rPr>
          <w:rFonts w:hint="eastAsia"/>
          <w:color w:val="auto"/>
        </w:rPr>
        <w:t>提供产品“三包”服务；定期安排相关人员回访进行质量跟踪；保证提供临床应用和售后技术服务支持方式；其他售后服务按厂家承诺实行。</w:t>
      </w:r>
    </w:p>
    <w:p>
      <w:pPr>
        <w:pStyle w:val="2"/>
        <w:ind w:left="-708" w:leftChars="-337"/>
        <w:rPr>
          <w:rFonts w:hint="eastAsia" w:eastAsia="宋体" w:cs="宋体"/>
          <w:b w:val="0"/>
          <w:bCs w:val="0"/>
          <w:lang w:val="en-US" w:eastAsia="zh-CN"/>
        </w:rPr>
      </w:pP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2"/>
        <w:ind w:left="-708" w:leftChars="-337"/>
        <w:rPr>
          <w:rFonts w:hint="default" w:cs="宋体"/>
          <w:b/>
          <w:bCs/>
          <w:lang w:val="en-US" w:eastAsia="zh-CN"/>
        </w:rPr>
      </w:pPr>
      <w:r>
        <w:rPr>
          <w:rFonts w:hint="eastAsia" w:cs="宋体"/>
          <w:b/>
          <w:bCs/>
          <w:lang w:val="en-US" w:eastAsia="zh-CN"/>
        </w:rPr>
        <w:t>2、投标产品资格要求</w:t>
      </w:r>
    </w:p>
    <w:p>
      <w:pPr>
        <w:pStyle w:val="2"/>
        <w:ind w:left="-708" w:leftChars="-337"/>
        <w:rPr>
          <w:rFonts w:hint="default" w:cs="宋体"/>
          <w:lang w:val="en-US" w:eastAsia="zh-CN"/>
        </w:rPr>
      </w:pPr>
      <w:r>
        <w:rPr>
          <w:rFonts w:hint="eastAsia" w:cs="宋体"/>
          <w:lang w:val="en-US" w:eastAsia="zh-CN"/>
        </w:rPr>
        <w:t>1）本项目支持创新产品、节能优化产品、环境标识产品、中小企业发展等政府采购政策。</w:t>
      </w:r>
    </w:p>
    <w:p>
      <w:pPr>
        <w:pStyle w:val="2"/>
        <w:ind w:left="-708" w:leftChars="-337"/>
        <w:rPr>
          <w:rFonts w:hint="eastAsia"/>
        </w:rPr>
      </w:pPr>
      <w:r>
        <w:rPr>
          <w:rFonts w:hint="eastAsia"/>
          <w:b/>
          <w:bCs/>
        </w:rPr>
        <w:t>3、售后服务</w:t>
      </w:r>
    </w:p>
    <w:p>
      <w:pPr>
        <w:pStyle w:val="2"/>
        <w:ind w:left="-708" w:leftChars="-337"/>
        <w:rPr>
          <w:rFonts w:hint="eastAsia"/>
        </w:rPr>
      </w:pPr>
      <w:r>
        <w:rPr>
          <w:rFonts w:hint="eastAsia"/>
          <w:lang w:val="en-US" w:eastAsia="zh-CN"/>
        </w:rPr>
        <w:t>1</w:t>
      </w:r>
      <w:r>
        <w:rPr>
          <w:rFonts w:hint="eastAsia"/>
        </w:rPr>
        <w:t>）质保期：设备安装完毕通过验收投入使用之日起不少于</w:t>
      </w:r>
      <w:r>
        <w:rPr>
          <w:rFonts w:hint="eastAsia"/>
          <w:highlight w:val="yellow"/>
        </w:rPr>
        <w:t>1</w:t>
      </w:r>
      <w:r>
        <w:rPr>
          <w:rFonts w:hint="eastAsia"/>
        </w:rPr>
        <w:t>年。</w:t>
      </w:r>
    </w:p>
    <w:p>
      <w:pPr>
        <w:pStyle w:val="2"/>
        <w:ind w:left="-708" w:leftChars="-337"/>
        <w:rPr>
          <w:rFonts w:hint="eastAsia"/>
        </w:rPr>
      </w:pPr>
      <w:r>
        <w:rPr>
          <w:rFonts w:hint="eastAsia"/>
          <w:lang w:val="en-US" w:eastAsia="zh-CN"/>
        </w:rPr>
        <w:t>2）</w:t>
      </w:r>
      <w:r>
        <w:rPr>
          <w:rFonts w:hint="eastAsia"/>
        </w:rPr>
        <w:t>维修备件必须是原厂备件。</w:t>
      </w:r>
    </w:p>
    <w:p>
      <w:pPr>
        <w:pStyle w:val="2"/>
        <w:ind w:left="-708" w:leftChars="-337"/>
        <w:rPr>
          <w:rFonts w:hint="eastAsia"/>
        </w:rPr>
      </w:pPr>
      <w:r>
        <w:rPr>
          <w:rFonts w:hint="eastAsia"/>
          <w:lang w:val="en-US" w:eastAsia="zh-CN"/>
        </w:rPr>
        <w:t>3）</w:t>
      </w:r>
      <w:r>
        <w:rPr>
          <w:rFonts w:hint="eastAsia"/>
          <w:highlight w:val="yellow"/>
          <w:lang w:eastAsia="zh-CN"/>
        </w:rPr>
        <w:t>中标供应商在设备安装完毕后必须派人</w:t>
      </w:r>
      <w:r>
        <w:rPr>
          <w:rFonts w:hint="eastAsia"/>
          <w:highlight w:val="yellow"/>
        </w:rPr>
        <w:t>进行的院内现场技术培训</w:t>
      </w:r>
      <w:r>
        <w:rPr>
          <w:rFonts w:hint="eastAsia"/>
          <w:highlight w:val="yellow"/>
          <w:lang w:eastAsia="zh-CN"/>
        </w:rPr>
        <w:t>，协助发放RFID卡</w:t>
      </w:r>
      <w:r>
        <w:rPr>
          <w:rFonts w:hint="eastAsia"/>
        </w:rPr>
        <w:t>。</w:t>
      </w:r>
    </w:p>
    <w:p>
      <w:pPr>
        <w:pStyle w:val="2"/>
        <w:ind w:left="-708" w:leftChars="-337"/>
        <w:rPr>
          <w:rFonts w:hint="eastAsia"/>
        </w:rPr>
      </w:pPr>
      <w:r>
        <w:rPr>
          <w:rFonts w:hint="eastAsia"/>
          <w:lang w:val="en-US" w:eastAsia="zh-CN"/>
        </w:rPr>
        <w:t>4）</w:t>
      </w:r>
      <w:r>
        <w:rPr>
          <w:rFonts w:hint="eastAsia"/>
        </w:rPr>
        <w:t>具备同品牌的维保合同经验，并提供相应证明文件。</w:t>
      </w:r>
    </w:p>
    <w:p>
      <w:pPr>
        <w:pStyle w:val="2"/>
        <w:ind w:left="-708" w:leftChars="-337"/>
        <w:rPr>
          <w:rFonts w:hint="eastAsia"/>
        </w:rPr>
      </w:pPr>
      <w:r>
        <w:rPr>
          <w:rFonts w:hint="eastAsia"/>
          <w:lang w:val="en-US" w:eastAsia="zh-CN"/>
        </w:rPr>
        <w:t>5）</w:t>
      </w:r>
      <w:r>
        <w:rPr>
          <w:rFonts w:hint="eastAsia"/>
        </w:rPr>
        <w:t>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2"/>
        <w:ind w:left="-708" w:leftChars="-337"/>
        <w:rPr>
          <w:rFonts w:hint="eastAsia"/>
        </w:rPr>
      </w:pPr>
      <w:r>
        <w:rPr>
          <w:rFonts w:hint="eastAsia"/>
          <w:lang w:val="en-US" w:eastAsia="zh-CN"/>
        </w:rPr>
        <w:t>6）</w:t>
      </w:r>
      <w:r>
        <w:rPr>
          <w:rFonts w:hint="eastAsia"/>
        </w:rPr>
        <w:t>故障处理：中标供应商应提供维保人员名单、联系电话等。质保期内，在使用过程中发现质量问题或故障时，须接到通知后24小时内派工程师到达用户现场及提供常用备件，按国家及行业标准对故障进行及时处理或更换，以保证采购单位的正常使用，所发生的一切费用由成交供应商负责。</w:t>
      </w:r>
    </w:p>
    <w:p>
      <w:pPr>
        <w:pStyle w:val="2"/>
        <w:ind w:left="-708" w:leftChars="-337"/>
        <w:rPr>
          <w:rFonts w:hint="eastAsia" w:cs="宋体"/>
          <w:kern w:val="0"/>
          <w:sz w:val="24"/>
          <w:szCs w:val="24"/>
        </w:rPr>
      </w:pPr>
      <w:r>
        <w:rPr>
          <w:rFonts w:hint="eastAsia"/>
          <w:lang w:val="en-US" w:eastAsia="zh-CN"/>
        </w:rPr>
        <w:t>7）</w:t>
      </w:r>
      <w:r>
        <w:rPr>
          <w:rFonts w:hint="eastAsia" w:cs="宋体"/>
          <w:kern w:val="0"/>
          <w:sz w:val="24"/>
          <w:szCs w:val="24"/>
        </w:rPr>
        <w:t>签订合同后，</w:t>
      </w:r>
      <w:r>
        <w:rPr>
          <w:rFonts w:hint="eastAsia"/>
          <w:color w:val="FF0000"/>
          <w:kern w:val="0"/>
          <w:sz w:val="24"/>
          <w:szCs w:val="24"/>
          <w:u w:val="single"/>
          <w:lang w:val="en-US" w:eastAsia="zh-CN"/>
        </w:rPr>
        <w:t>30</w:t>
      </w:r>
      <w:r>
        <w:rPr>
          <w:rFonts w:hint="eastAsia" w:cs="宋体"/>
          <w:kern w:val="0"/>
          <w:sz w:val="24"/>
          <w:szCs w:val="24"/>
        </w:rPr>
        <w:t>天内仪器设备安装调试结束并交付使用。投标人予以特别注意：如出现未能到期供货的情况，采购人有权单方终止合同的执行，所有的经济损失由逾期供货商单方承担。</w:t>
      </w:r>
    </w:p>
    <w:p>
      <w:pPr>
        <w:pStyle w:val="2"/>
        <w:ind w:left="-708" w:leftChars="-337"/>
        <w:rPr>
          <w:kern w:val="0"/>
          <w:sz w:val="24"/>
          <w:szCs w:val="24"/>
        </w:rPr>
      </w:pPr>
      <w:r>
        <w:rPr>
          <w:rFonts w:hint="eastAsia" w:cs="宋体"/>
          <w:kern w:val="0"/>
          <w:sz w:val="24"/>
          <w:szCs w:val="24"/>
          <w:lang w:val="en-US" w:eastAsia="zh-CN"/>
        </w:rPr>
        <w:t>9）</w:t>
      </w:r>
      <w:r>
        <w:rPr>
          <w:rFonts w:hint="eastAsia" w:cs="宋体"/>
          <w:kern w:val="0"/>
          <w:sz w:val="24"/>
          <w:szCs w:val="24"/>
        </w:rPr>
        <w:t>交货地点为：</w:t>
      </w:r>
      <w:r>
        <w:rPr>
          <w:rFonts w:hint="eastAsia" w:cs="宋体"/>
          <w:kern w:val="0"/>
          <w:sz w:val="24"/>
          <w:szCs w:val="24"/>
          <w:highlight w:val="yellow"/>
        </w:rPr>
        <w:t>广西壮族自治区桂东人民医院</w:t>
      </w:r>
      <w:r>
        <w:rPr>
          <w:kern w:val="0"/>
          <w:sz w:val="24"/>
          <w:szCs w:val="24"/>
        </w:rPr>
        <w:t xml:space="preserve">     </w:t>
      </w:r>
    </w:p>
    <w:p>
      <w:pPr>
        <w:pStyle w:val="2"/>
        <w:ind w:left="-708" w:leftChars="-337"/>
        <w:rPr>
          <w:rFonts w:hint="eastAsia"/>
          <w:kern w:val="0"/>
          <w:sz w:val="24"/>
          <w:szCs w:val="24"/>
          <w:lang w:val="en-US" w:eastAsia="zh-CN"/>
        </w:rPr>
      </w:pPr>
      <w:r>
        <w:rPr>
          <w:rFonts w:hint="eastAsia"/>
          <w:kern w:val="0"/>
          <w:sz w:val="24"/>
          <w:szCs w:val="24"/>
          <w:lang w:val="en-US" w:eastAsia="zh-CN"/>
        </w:rPr>
        <w:t>10）付款条件（进度和方式）：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w:t>
      </w:r>
      <w:r>
        <w:rPr>
          <w:rFonts w:hint="eastAsia" w:cs="宋体"/>
          <w:kern w:val="0"/>
          <w:sz w:val="24"/>
          <w:szCs w:val="24"/>
          <w:lang w:val="en-US" w:eastAsia="zh-CN"/>
        </w:rPr>
        <w:t>90</w:t>
      </w:r>
      <w:r>
        <w:rPr>
          <w:rFonts w:hint="eastAsia" w:cs="宋体"/>
          <w:kern w:val="0"/>
          <w:sz w:val="24"/>
          <w:szCs w:val="24"/>
          <w:highlight w:val="yellow"/>
        </w:rPr>
        <w:t>%</w:t>
      </w:r>
      <w:r>
        <w:rPr>
          <w:rFonts w:hint="eastAsia" w:cs="宋体"/>
          <w:kern w:val="0"/>
          <w:sz w:val="24"/>
          <w:szCs w:val="24"/>
        </w:rPr>
        <w:t xml:space="preserve"> ，其</w:t>
      </w:r>
      <w:r>
        <w:rPr>
          <w:rFonts w:hint="eastAsia" w:ascii="宋体" w:hAnsi="宋体" w:eastAsia="宋体" w:cs="宋体"/>
          <w:b/>
          <w:bCs/>
          <w:color w:val="auto"/>
          <w:sz w:val="24"/>
          <w:szCs w:val="24"/>
          <w:u w:val="single"/>
        </w:rPr>
        <w:t>余 </w:t>
      </w:r>
      <w:r>
        <w:rPr>
          <w:rFonts w:hint="eastAsia" w:ascii="宋体" w:hAnsi="宋体" w:eastAsia="宋体" w:cs="宋体"/>
          <w:b/>
          <w:bCs/>
          <w:color w:val="auto"/>
          <w:sz w:val="24"/>
          <w:szCs w:val="24"/>
          <w:u w:val="single"/>
          <w:lang w:val="en-US" w:eastAsia="zh-CN"/>
        </w:rPr>
        <w:t xml:space="preserve">10 </w:t>
      </w:r>
      <w:r>
        <w:rPr>
          <w:rFonts w:hint="eastAsia" w:ascii="宋体" w:hAnsi="宋体" w:eastAsia="宋体" w:cs="宋体"/>
          <w:b/>
          <w:bCs/>
          <w:color w:val="auto"/>
          <w:sz w:val="24"/>
          <w:szCs w:val="24"/>
          <w:u w:val="single"/>
        </w:rPr>
        <w:t>% 作为质保金，</w:t>
      </w:r>
      <w:r>
        <w:rPr>
          <w:rFonts w:hint="eastAsia" w:cs="宋体"/>
          <w:kern w:val="0"/>
          <w:sz w:val="24"/>
          <w:szCs w:val="24"/>
          <w:highlight w:val="yellow"/>
        </w:rPr>
        <w:t xml:space="preserve"> </w:t>
      </w:r>
      <w:r>
        <w:rPr>
          <w:rFonts w:hint="eastAsia" w:cs="宋体"/>
          <w:kern w:val="0"/>
          <w:sz w:val="24"/>
          <w:szCs w:val="24"/>
          <w:highlight w:val="yellow"/>
          <w:lang w:val="en-US" w:eastAsia="zh-CN"/>
        </w:rPr>
        <w:t>1</w:t>
      </w:r>
      <w:r>
        <w:rPr>
          <w:rFonts w:hint="eastAsia" w:cs="宋体"/>
          <w:kern w:val="0"/>
          <w:sz w:val="24"/>
          <w:szCs w:val="24"/>
          <w:highlight w:val="yellow"/>
        </w:rPr>
        <w:t xml:space="preserve"> </w:t>
      </w:r>
      <w:r>
        <w:rPr>
          <w:rFonts w:hint="eastAsia" w:cs="宋体"/>
          <w:kern w:val="0"/>
          <w:sz w:val="24"/>
          <w:szCs w:val="24"/>
        </w:rPr>
        <w:t>年（根据项目特点定）内无质量问题后付清（无息）。如验收不合格以及发现伪劣产品等，招标人将视情形采取退货、拒付款、终止合同、索赔等措施，直至通过有关部门，依法维权。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33cf1b7c-cbe2-4d2b-831a-782a9f2e01df}"/>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5个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eastAsia="zh-CN"/>
        </w:rPr>
        <w:t>综合评分法</w:t>
      </w:r>
      <w:r>
        <w:rPr>
          <w:rFonts w:hint="eastAsia" w:cs="宋体"/>
          <w:b/>
          <w:bCs/>
          <w:kern w:val="0"/>
          <w:sz w:val="24"/>
          <w:szCs w:val="24"/>
          <w:u w:val="single"/>
          <w:lang w:val="en-US" w:eastAsia="zh-CN"/>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widowControl/>
        <w:numPr>
          <w:ilvl w:val="0"/>
          <w:numId w:val="2"/>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hint="eastAsia" w:eastAsia="宋体" w:cs="宋体"/>
          <w:kern w:val="0"/>
          <w:sz w:val="24"/>
          <w:szCs w:val="24"/>
          <w:highlight w:val="yellow"/>
          <w:u w:val="single"/>
          <w:lang w:val="en-US" w:eastAsia="zh-CN"/>
        </w:rPr>
        <w:t xml:space="preserve">  </w:t>
      </w:r>
      <w:r>
        <w:rPr>
          <w:rFonts w:hint="eastAsia" w:cs="宋体"/>
          <w:kern w:val="0"/>
          <w:sz w:val="24"/>
          <w:szCs w:val="24"/>
          <w:highlight w:val="yellow"/>
          <w:u w:val="single"/>
          <w:lang w:val="en-US" w:eastAsia="zh-CN"/>
        </w:rPr>
        <w:t xml:space="preserve">40   </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
          <w:bCs/>
          <w:kern w:val="0"/>
          <w:sz w:val="24"/>
        </w:rPr>
        <w:t xml:space="preserve"> </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2"/>
        <w:ind w:firstLine="480" w:firstLineChars="200"/>
      </w:pPr>
      <w:r>
        <w:t>投标报价得分=（评标基准价÷投标报价）×</w:t>
      </w:r>
      <w:r>
        <w:rPr>
          <w:rFonts w:hint="eastAsia" w:cs="宋体"/>
          <w:color w:val="auto"/>
        </w:rPr>
        <w:t>X</w:t>
      </w:r>
      <w:r>
        <w:t>（计算结果四舍五入，保留两位小数）</w:t>
      </w:r>
    </w:p>
    <w:p>
      <w:pPr>
        <w:widowControl/>
        <w:spacing w:line="360" w:lineRule="auto"/>
        <w:ind w:firstLine="482" w:firstLineChars="200"/>
        <w:jc w:val="left"/>
        <w:rPr>
          <w:rFonts w:cs="宋体"/>
          <w:b/>
          <w:bCs/>
          <w:kern w:val="0"/>
          <w:sz w:val="24"/>
          <w:szCs w:val="24"/>
        </w:rPr>
      </w:pPr>
      <w:r>
        <w:rPr>
          <w:b/>
          <w:bCs/>
          <w:kern w:val="0"/>
          <w:sz w:val="24"/>
          <w:szCs w:val="24"/>
        </w:rPr>
        <w:t xml:space="preserve">2. </w:t>
      </w:r>
      <w:r>
        <w:rPr>
          <w:rFonts w:hint="eastAsia" w:cs="宋体"/>
          <w:b/>
          <w:bCs/>
          <w:kern w:val="0"/>
          <w:sz w:val="24"/>
          <w:szCs w:val="24"/>
        </w:rPr>
        <w:t>技术质量分（</w:t>
      </w:r>
      <w:r>
        <w:rPr>
          <w:rFonts w:hint="eastAsia" w:eastAsia="宋体" w:cs="宋体"/>
          <w:kern w:val="0"/>
          <w:sz w:val="24"/>
          <w:szCs w:val="24"/>
          <w:highlight w:val="yellow"/>
          <w:u w:val="single"/>
          <w:lang w:val="en-US" w:eastAsia="zh-CN"/>
        </w:rPr>
        <w:t xml:space="preserve">  </w:t>
      </w:r>
      <w:r>
        <w:rPr>
          <w:rFonts w:hint="eastAsia" w:cs="宋体"/>
          <w:kern w:val="0"/>
          <w:sz w:val="24"/>
          <w:szCs w:val="24"/>
          <w:highlight w:val="yellow"/>
          <w:u w:val="single"/>
          <w:lang w:val="en-US" w:eastAsia="zh-CN"/>
        </w:rPr>
        <w:t xml:space="preserve">40   </w:t>
      </w:r>
      <w:r>
        <w:rPr>
          <w:rFonts w:hint="eastAsia" w:cs="宋体"/>
          <w:b/>
          <w:bCs/>
          <w:kern w:val="0"/>
          <w:sz w:val="24"/>
          <w:szCs w:val="24"/>
        </w:rPr>
        <w:t>分）</w:t>
      </w:r>
    </w:p>
    <w:p>
      <w:pPr>
        <w:widowControl/>
        <w:spacing w:line="360" w:lineRule="auto"/>
        <w:ind w:left="482"/>
        <w:jc w:val="left"/>
        <w:rPr>
          <w:rFonts w:eastAsia="宋体"/>
          <w:bCs/>
          <w:kern w:val="0"/>
          <w:sz w:val="24"/>
        </w:rPr>
      </w:pPr>
      <w:r>
        <w:rPr>
          <w:rFonts w:hint="eastAsia" w:eastAsia="宋体"/>
          <w:b/>
          <w:bCs w:val="0"/>
          <w:kern w:val="0"/>
          <w:sz w:val="24"/>
        </w:rPr>
        <w:t>2.1</w:t>
      </w:r>
      <w:r>
        <w:rPr>
          <w:rFonts w:hint="eastAsia"/>
          <w:b/>
          <w:bCs w:val="0"/>
          <w:kern w:val="0"/>
          <w:sz w:val="24"/>
          <w:lang w:val="en-US" w:eastAsia="zh-CN"/>
        </w:rPr>
        <w:t xml:space="preserve"> </w:t>
      </w:r>
      <w:r>
        <w:rPr>
          <w:rFonts w:hint="eastAsia" w:eastAsia="宋体"/>
          <w:bCs/>
          <w:kern w:val="0"/>
          <w:sz w:val="24"/>
        </w:rPr>
        <w:t>考察投标人报价表</w:t>
      </w:r>
      <w:r>
        <w:rPr>
          <w:rFonts w:hint="eastAsia"/>
          <w:bCs/>
          <w:kern w:val="0"/>
          <w:sz w:val="24"/>
          <w:lang w:eastAsia="zh-CN"/>
        </w:rPr>
        <w:t>货物名称、数量、</w:t>
      </w:r>
      <w:r>
        <w:rPr>
          <w:rFonts w:hint="eastAsia" w:eastAsia="宋体"/>
          <w:bCs/>
          <w:kern w:val="0"/>
          <w:sz w:val="24"/>
        </w:rPr>
        <w:t>产品技术参数等响应及偏离情况</w:t>
      </w:r>
    </w:p>
    <w:p>
      <w:pPr>
        <w:widowControl/>
        <w:spacing w:line="360" w:lineRule="auto"/>
        <w:ind w:firstLine="482" w:firstLineChars="200"/>
        <w:jc w:val="left"/>
        <w:rPr>
          <w:rFonts w:cs="宋体"/>
          <w:b/>
          <w:bCs/>
          <w:kern w:val="0"/>
          <w:sz w:val="24"/>
          <w:szCs w:val="24"/>
        </w:rPr>
      </w:pPr>
      <w:r>
        <w:rPr>
          <w:b/>
          <w:bCs/>
          <w:kern w:val="0"/>
          <w:sz w:val="24"/>
          <w:szCs w:val="24"/>
        </w:rPr>
        <w:t xml:space="preserve">3. </w:t>
      </w:r>
      <w:r>
        <w:rPr>
          <w:rFonts w:hint="eastAsia" w:cs="宋体"/>
          <w:b/>
          <w:bCs/>
          <w:kern w:val="0"/>
          <w:sz w:val="24"/>
          <w:szCs w:val="24"/>
        </w:rPr>
        <w:t>售后服务分（</w:t>
      </w:r>
      <w:r>
        <w:rPr>
          <w:rFonts w:hint="eastAsia" w:eastAsia="宋体" w:cs="宋体"/>
          <w:kern w:val="0"/>
          <w:sz w:val="24"/>
          <w:szCs w:val="24"/>
          <w:highlight w:val="yellow"/>
          <w:u w:val="single"/>
          <w:lang w:val="en-US" w:eastAsia="zh-CN"/>
        </w:rPr>
        <w:t xml:space="preserve">  </w:t>
      </w:r>
      <w:r>
        <w:rPr>
          <w:rFonts w:hint="eastAsia" w:cs="宋体"/>
          <w:kern w:val="0"/>
          <w:sz w:val="24"/>
          <w:szCs w:val="24"/>
          <w:highlight w:val="yellow"/>
          <w:u w:val="single"/>
          <w:lang w:val="en-US" w:eastAsia="zh-CN"/>
        </w:rPr>
        <w:t xml:space="preserve">16   </w:t>
      </w:r>
      <w:r>
        <w:rPr>
          <w:rFonts w:hint="eastAsia" w:cs="宋体"/>
          <w:b/>
          <w:bCs/>
          <w:kern w:val="0"/>
          <w:sz w:val="24"/>
          <w:szCs w:val="24"/>
        </w:rPr>
        <w:t>分）</w:t>
      </w:r>
    </w:p>
    <w:p>
      <w:pPr>
        <w:widowControl/>
        <w:spacing w:line="360" w:lineRule="auto"/>
        <w:ind w:left="482"/>
        <w:jc w:val="left"/>
        <w:rPr>
          <w:rFonts w:hint="eastAsia" w:eastAsia="宋体"/>
          <w:bCs/>
          <w:kern w:val="0"/>
          <w:sz w:val="24"/>
        </w:rPr>
      </w:pPr>
      <w:r>
        <w:rPr>
          <w:rFonts w:hint="eastAsia" w:eastAsia="宋体"/>
          <w:bCs/>
          <w:kern w:val="0"/>
          <w:sz w:val="24"/>
        </w:rPr>
        <w:t>3.1考察投标人的服务方案、售后服务承诺、投入人员、更长保修期等情况</w:t>
      </w:r>
    </w:p>
    <w:p>
      <w:pPr>
        <w:pStyle w:val="2"/>
        <w:ind w:firstLine="482" w:firstLineChars="200"/>
        <w:rPr>
          <w:b/>
          <w:bCs/>
        </w:rPr>
      </w:pPr>
      <w:r>
        <w:rPr>
          <w:rFonts w:hint="eastAsia"/>
          <w:b/>
          <w:bCs/>
        </w:rPr>
        <w:t>4.履约能力分</w:t>
      </w:r>
      <w:r>
        <w:rPr>
          <w:rFonts w:hint="eastAsia" w:cs="宋体"/>
          <w:b/>
          <w:bCs/>
          <w:kern w:val="0"/>
          <w:sz w:val="24"/>
          <w:szCs w:val="24"/>
        </w:rPr>
        <w:t>（</w:t>
      </w:r>
      <w:r>
        <w:rPr>
          <w:rFonts w:hint="eastAsia" w:eastAsia="宋体" w:cs="宋体"/>
          <w:kern w:val="0"/>
          <w:sz w:val="24"/>
          <w:szCs w:val="24"/>
          <w:highlight w:val="yellow"/>
          <w:u w:val="single"/>
          <w:lang w:val="en-US" w:eastAsia="zh-CN"/>
        </w:rPr>
        <w:t xml:space="preserve"> </w:t>
      </w:r>
      <w:r>
        <w:rPr>
          <w:rFonts w:hint="eastAsia" w:cs="宋体"/>
          <w:kern w:val="0"/>
          <w:sz w:val="24"/>
          <w:szCs w:val="24"/>
          <w:highlight w:val="yellow"/>
          <w:u w:val="single"/>
          <w:lang w:val="en-US" w:eastAsia="zh-CN"/>
        </w:rPr>
        <w:t xml:space="preserve">4   </w:t>
      </w:r>
      <w:r>
        <w:rPr>
          <w:rFonts w:hint="eastAsia" w:cs="宋体"/>
          <w:b/>
          <w:bCs/>
          <w:kern w:val="0"/>
          <w:sz w:val="24"/>
          <w:szCs w:val="24"/>
        </w:rPr>
        <w:t>分）</w:t>
      </w:r>
    </w:p>
    <w:p>
      <w:pPr>
        <w:widowControl/>
        <w:spacing w:line="360" w:lineRule="auto"/>
        <w:ind w:left="482"/>
        <w:jc w:val="left"/>
      </w:pPr>
      <w:r>
        <w:rPr>
          <w:rFonts w:hint="eastAsia" w:eastAsia="宋体"/>
          <w:bCs/>
          <w:kern w:val="0"/>
          <w:sz w:val="24"/>
        </w:rPr>
        <w:t>4.1考察投标人的业绩等情况</w:t>
      </w:r>
      <w:bookmarkStart w:id="0" w:name="_GoBack"/>
      <w:bookmarkEnd w:id="0"/>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8AC5A"/>
    <w:multiLevelType w:val="singleLevel"/>
    <w:tmpl w:val="2258AC5A"/>
    <w:lvl w:ilvl="0" w:tentative="0">
      <w:start w:val="1"/>
      <w:numFmt w:val="decimal"/>
      <w:suff w:val="nothing"/>
      <w:lvlText w:val="%1、"/>
      <w:lvlJc w:val="left"/>
    </w:lvl>
  </w:abstractNum>
  <w:abstractNum w:abstractNumId="1">
    <w:nsid w:val="59C0F106"/>
    <w:multiLevelType w:val="singleLevel"/>
    <w:tmpl w:val="59C0F10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172A27"/>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23D1B61"/>
    <w:rsid w:val="06DE59EF"/>
    <w:rsid w:val="09B95BE6"/>
    <w:rsid w:val="0CC05EEA"/>
    <w:rsid w:val="10C97A40"/>
    <w:rsid w:val="122B15C9"/>
    <w:rsid w:val="15736937"/>
    <w:rsid w:val="1B791D6D"/>
    <w:rsid w:val="1BBA0365"/>
    <w:rsid w:val="1C375C78"/>
    <w:rsid w:val="1E791BF8"/>
    <w:rsid w:val="20FA29B7"/>
    <w:rsid w:val="21EE611D"/>
    <w:rsid w:val="2218153E"/>
    <w:rsid w:val="223076A9"/>
    <w:rsid w:val="22F8223D"/>
    <w:rsid w:val="26431704"/>
    <w:rsid w:val="271138CD"/>
    <w:rsid w:val="2E44559E"/>
    <w:rsid w:val="3194337D"/>
    <w:rsid w:val="34C11E56"/>
    <w:rsid w:val="351F5C28"/>
    <w:rsid w:val="35A037DD"/>
    <w:rsid w:val="3737378F"/>
    <w:rsid w:val="3806606D"/>
    <w:rsid w:val="39180F0C"/>
    <w:rsid w:val="397701BE"/>
    <w:rsid w:val="3F8769CB"/>
    <w:rsid w:val="3F982986"/>
    <w:rsid w:val="41366ED0"/>
    <w:rsid w:val="42F514DF"/>
    <w:rsid w:val="43F80750"/>
    <w:rsid w:val="44161ADE"/>
    <w:rsid w:val="45377AA0"/>
    <w:rsid w:val="4686246A"/>
    <w:rsid w:val="51231BBF"/>
    <w:rsid w:val="53A414A2"/>
    <w:rsid w:val="544A14C3"/>
    <w:rsid w:val="598E184C"/>
    <w:rsid w:val="60473136"/>
    <w:rsid w:val="609B3575"/>
    <w:rsid w:val="60C51BC9"/>
    <w:rsid w:val="65695A9D"/>
    <w:rsid w:val="699D27C3"/>
    <w:rsid w:val="6A513DD5"/>
    <w:rsid w:val="6DD0797D"/>
    <w:rsid w:val="710617A6"/>
    <w:rsid w:val="716C27FB"/>
    <w:rsid w:val="71754026"/>
    <w:rsid w:val="71A121FF"/>
    <w:rsid w:val="74B5471E"/>
    <w:rsid w:val="77E41C8F"/>
    <w:rsid w:val="7A5D3EED"/>
    <w:rsid w:val="7CA915F3"/>
    <w:rsid w:val="7CDD0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8"/>
    <w:qFormat/>
    <w:uiPriority w:val="99"/>
    <w:pPr>
      <w:jc w:val="left"/>
    </w:pPr>
  </w:style>
  <w:style w:type="paragraph" w:styleId="4">
    <w:name w:val="Body Text"/>
    <w:basedOn w:val="1"/>
    <w:qFormat/>
    <w:uiPriority w:val="1"/>
    <w:rPr>
      <w:rFonts w:ascii="宋体" w:hAnsi="宋体" w:cs="宋体"/>
      <w:sz w:val="24"/>
      <w:szCs w:val="24"/>
      <w:lang w:val="zh-CN" w:bidi="zh-CN"/>
    </w:rPr>
  </w:style>
  <w:style w:type="paragraph" w:styleId="5">
    <w:name w:val="Body Text Indent"/>
    <w:basedOn w:val="1"/>
    <w:next w:val="6"/>
    <w:qFormat/>
    <w:uiPriority w:val="0"/>
    <w:pPr>
      <w:spacing w:after="120"/>
      <w:ind w:left="200" w:leftChars="200"/>
    </w:pPr>
  </w:style>
  <w:style w:type="paragraph" w:styleId="6">
    <w:name w:val="envelope return"/>
    <w:basedOn w:val="1"/>
    <w:qFormat/>
    <w:uiPriority w:val="0"/>
    <w:pPr>
      <w:snapToGrid w:val="0"/>
    </w:pPr>
    <w:rPr>
      <w:rFonts w:ascii="Arial" w:hAnsi="Arial"/>
    </w:rPr>
  </w:style>
  <w:style w:type="paragraph" w:styleId="7">
    <w:name w:val="Plain Text"/>
    <w:basedOn w:val="1"/>
    <w:link w:val="20"/>
    <w:qFormat/>
    <w:uiPriority w:val="99"/>
    <w:rPr>
      <w:rFonts w:ascii="宋体" w:hAnsi="Courier New"/>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w:basedOn w:val="1"/>
    <w:next w:val="1"/>
    <w:qFormat/>
    <w:uiPriority w:val="0"/>
    <w:pPr>
      <w:ind w:left="420" w:hanging="420"/>
    </w:pPr>
    <w:rPr>
      <w:rFonts w:ascii="Arial" w:hAnsi="Arial" w:eastAsia="楷体_GB2312"/>
      <w:sz w:val="28"/>
    </w:rPr>
  </w:style>
  <w:style w:type="paragraph" w:styleId="11">
    <w:name w:val="annotation subject"/>
    <w:basedOn w:val="3"/>
    <w:next w:val="3"/>
    <w:link w:val="19"/>
    <w:semiHidden/>
    <w:unhideWhenUsed/>
    <w:qFormat/>
    <w:uiPriority w:val="99"/>
    <w:rPr>
      <w:b/>
      <w:bCs/>
    </w:rPr>
  </w:style>
  <w:style w:type="paragraph" w:styleId="12">
    <w:name w:val="Body Text First Indent 2"/>
    <w:basedOn w:val="5"/>
    <w:next w:val="10"/>
    <w:qFormat/>
    <w:uiPriority w:val="0"/>
    <w:pPr>
      <w:spacing w:line="360" w:lineRule="auto"/>
      <w:ind w:firstLine="200" w:firstLineChars="200"/>
    </w:pPr>
    <w:rPr>
      <w:rFonts w:ascii="宋体"/>
      <w:szCs w:val="20"/>
    </w:rPr>
  </w:style>
  <w:style w:type="table" w:styleId="14">
    <w:name w:val="Table Grid"/>
    <w:basedOn w:val="13"/>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semiHidden/>
    <w:qFormat/>
    <w:uiPriority w:val="99"/>
    <w:rPr>
      <w:sz w:val="21"/>
      <w:szCs w:val="21"/>
    </w:rPr>
  </w:style>
  <w:style w:type="character" w:customStyle="1" w:styleId="17">
    <w:name w:val="批注文字 字符"/>
    <w:basedOn w:val="15"/>
    <w:qFormat/>
    <w:uiPriority w:val="99"/>
    <w:rPr>
      <w:rFonts w:ascii="Times New Roman" w:hAnsi="Times New Roman" w:eastAsia="宋体" w:cs="Times New Roman"/>
      <w:szCs w:val="21"/>
    </w:rPr>
  </w:style>
  <w:style w:type="character" w:customStyle="1" w:styleId="18">
    <w:name w:val="批注文字 字符1"/>
    <w:link w:val="3"/>
    <w:semiHidden/>
    <w:qFormat/>
    <w:uiPriority w:val="99"/>
    <w:rPr>
      <w:rFonts w:ascii="Times New Roman" w:hAnsi="Times New Roman" w:eastAsia="宋体" w:cs="Times New Roman"/>
      <w:szCs w:val="21"/>
    </w:rPr>
  </w:style>
  <w:style w:type="character" w:customStyle="1" w:styleId="19">
    <w:name w:val="批注主题 字符"/>
    <w:basedOn w:val="18"/>
    <w:link w:val="11"/>
    <w:semiHidden/>
    <w:qFormat/>
    <w:uiPriority w:val="99"/>
    <w:rPr>
      <w:rFonts w:ascii="Times New Roman" w:hAnsi="Times New Roman" w:eastAsia="宋体" w:cs="Times New Roman"/>
      <w:b/>
      <w:bCs/>
      <w:szCs w:val="21"/>
    </w:rPr>
  </w:style>
  <w:style w:type="character" w:customStyle="1" w:styleId="20">
    <w:name w:val="纯文本 字符"/>
    <w:basedOn w:val="15"/>
    <w:link w:val="7"/>
    <w:qFormat/>
    <w:uiPriority w:val="99"/>
    <w:rPr>
      <w:rFonts w:ascii="宋体" w:hAnsi="Courier New" w:eastAsia="宋体" w:cs="Times New Roman"/>
      <w:szCs w:val="21"/>
    </w:rPr>
  </w:style>
  <w:style w:type="paragraph" w:customStyle="1" w:styleId="21">
    <w:name w:val="表格文字"/>
    <w:basedOn w:val="1"/>
    <w:qFormat/>
    <w:uiPriority w:val="0"/>
    <w:pPr>
      <w:spacing w:before="25" w:after="25"/>
      <w:jc w:val="left"/>
    </w:pPr>
    <w:rPr>
      <w:rFonts w:ascii="Calibri" w:hAnsi="Calibri"/>
      <w:bCs/>
      <w:spacing w:val="10"/>
      <w:kern w:val="0"/>
      <w:sz w:val="24"/>
      <w:szCs w:val="20"/>
    </w:rPr>
  </w:style>
  <w:style w:type="character" w:customStyle="1" w:styleId="22">
    <w:name w:val="fontstyle01"/>
    <w:qFormat/>
    <w:uiPriority w:val="0"/>
    <w:rPr>
      <w:rFonts w:hint="eastAsia" w:ascii="宋体" w:hAnsi="宋体" w:eastAsia="宋体"/>
      <w:color w:val="000000"/>
      <w:sz w:val="24"/>
      <w:szCs w:val="24"/>
    </w:rPr>
  </w:style>
  <w:style w:type="character" w:customStyle="1" w:styleId="23">
    <w:name w:val="页眉 字符"/>
    <w:basedOn w:val="15"/>
    <w:link w:val="9"/>
    <w:qFormat/>
    <w:uiPriority w:val="99"/>
    <w:rPr>
      <w:rFonts w:ascii="Times New Roman" w:hAnsi="Times New Roman" w:eastAsia="宋体" w:cs="Times New Roman"/>
      <w:sz w:val="18"/>
      <w:szCs w:val="18"/>
    </w:rPr>
  </w:style>
  <w:style w:type="character" w:customStyle="1" w:styleId="24">
    <w:name w:val="页脚 字符"/>
    <w:basedOn w:val="15"/>
    <w:link w:val="8"/>
    <w:qFormat/>
    <w:uiPriority w:val="99"/>
    <w:rPr>
      <w:rFonts w:ascii="Times New Roman" w:hAnsi="Times New Roman" w:eastAsia="宋体" w:cs="Times New Roman"/>
      <w:sz w:val="18"/>
      <w:szCs w:val="18"/>
    </w:rPr>
  </w:style>
  <w:style w:type="character" w:styleId="25">
    <w:name w:val="Placeholder Text"/>
    <w:basedOn w:val="15"/>
    <w:semiHidden/>
    <w:qFormat/>
    <w:uiPriority w:val="99"/>
    <w:rPr>
      <w:color w:val="808080"/>
    </w:rPr>
  </w:style>
  <w:style w:type="paragraph" w:customStyle="1" w:styleId="26">
    <w:name w:val="样式1"/>
    <w:basedOn w:val="1"/>
    <w:qFormat/>
    <w:uiPriority w:val="0"/>
  </w:style>
  <w:style w:type="character" w:customStyle="1" w:styleId="27">
    <w:name w:val="font61"/>
    <w:basedOn w:val="15"/>
    <w:qFormat/>
    <w:uiPriority w:val="0"/>
    <w:rPr>
      <w:rFonts w:hint="eastAsia" w:ascii="宋体" w:hAnsi="宋体" w:eastAsia="宋体" w:cs="宋体"/>
      <w:color w:val="000000"/>
      <w:sz w:val="18"/>
      <w:szCs w:val="18"/>
      <w:u w:val="none"/>
    </w:rPr>
  </w:style>
  <w:style w:type="character" w:customStyle="1" w:styleId="28">
    <w:name w:val="font41"/>
    <w:basedOn w:val="15"/>
    <w:qFormat/>
    <w:uiPriority w:val="0"/>
    <w:rPr>
      <w:rFonts w:hint="eastAsia" w:ascii="宋体" w:hAnsi="宋体" w:eastAsia="宋体" w:cs="宋体"/>
      <w:color w:val="3366FF"/>
      <w:sz w:val="18"/>
      <w:szCs w:val="18"/>
      <w:u w:val="none"/>
    </w:rPr>
  </w:style>
  <w:style w:type="character" w:customStyle="1" w:styleId="29">
    <w:name w:val="font31"/>
    <w:basedOn w:val="15"/>
    <w:qFormat/>
    <w:uiPriority w:val="0"/>
    <w:rPr>
      <w:rFonts w:hint="default" w:ascii="Times New Roman" w:hAnsi="Times New Roman" w:cs="Times New Roman"/>
      <w:color w:val="3366FF"/>
      <w:sz w:val="18"/>
      <w:szCs w:val="18"/>
      <w:u w:val="none"/>
    </w:rPr>
  </w:style>
  <w:style w:type="character" w:customStyle="1" w:styleId="30">
    <w:name w:val="font11"/>
    <w:basedOn w:val="15"/>
    <w:qFormat/>
    <w:uiPriority w:val="0"/>
    <w:rPr>
      <w:rFonts w:hint="default" w:ascii="Times New Roman" w:hAnsi="Times New Roman" w:cs="Times New Roman"/>
      <w:color w:val="000000"/>
      <w:sz w:val="18"/>
      <w:szCs w:val="18"/>
      <w:u w:val="none"/>
    </w:rPr>
  </w:style>
  <w:style w:type="character" w:customStyle="1" w:styleId="31">
    <w:name w:val="font51"/>
    <w:basedOn w:val="15"/>
    <w:qFormat/>
    <w:uiPriority w:val="0"/>
    <w:rPr>
      <w:rFonts w:hint="eastAsia" w:ascii="宋体" w:hAnsi="宋体" w:eastAsia="宋体" w:cs="宋体"/>
      <w:color w:val="3366FF"/>
      <w:sz w:val="18"/>
      <w:szCs w:val="18"/>
      <w:u w:val="none"/>
    </w:rPr>
  </w:style>
  <w:style w:type="character" w:customStyle="1" w:styleId="32">
    <w:name w:val="font81"/>
    <w:basedOn w:val="15"/>
    <w:qFormat/>
    <w:uiPriority w:val="0"/>
    <w:rPr>
      <w:rFonts w:hint="default" w:ascii="Times New Roman" w:hAnsi="Times New Roman" w:cs="Times New Roman"/>
      <w:color w:val="3366FF"/>
      <w:sz w:val="18"/>
      <w:szCs w:val="18"/>
      <w:u w:val="none"/>
    </w:rPr>
  </w:style>
  <w:style w:type="character" w:customStyle="1" w:styleId="33">
    <w:name w:val="font21"/>
    <w:basedOn w:val="15"/>
    <w:qFormat/>
    <w:uiPriority w:val="0"/>
    <w:rPr>
      <w:rFonts w:hint="default" w:ascii="Times New Roman" w:hAnsi="Times New Roman" w:cs="Times New Roman"/>
      <w:color w:val="000000"/>
      <w:sz w:val="18"/>
      <w:szCs w:val="18"/>
      <w:u w:val="none"/>
    </w:rPr>
  </w:style>
  <w:style w:type="character" w:customStyle="1" w:styleId="34">
    <w:name w:val="font91"/>
    <w:basedOn w:val="15"/>
    <w:qFormat/>
    <w:uiPriority w:val="0"/>
    <w:rPr>
      <w:rFonts w:hint="eastAsia" w:ascii="宋体" w:hAnsi="宋体" w:eastAsia="宋体" w:cs="宋体"/>
      <w:color w:val="000000"/>
      <w:sz w:val="18"/>
      <w:szCs w:val="18"/>
      <w:u w:val="none"/>
    </w:rPr>
  </w:style>
  <w:style w:type="paragraph" w:customStyle="1" w:styleId="35">
    <w:name w:val="Table Paragraph"/>
    <w:basedOn w:val="1"/>
    <w:qFormat/>
    <w:uiPriority w:val="1"/>
    <w:rPr>
      <w:rFonts w:ascii="宋体" w:hAnsi="宋体" w:cs="宋体"/>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3cf1b7c-cbe2-4d2b-831a-782a9f2e01df}"/>
        <w:style w:val=""/>
        <w:category>
          <w:name w:val="常规"/>
          <w:gallery w:val="placeholder"/>
        </w:category>
        <w:types>
          <w:type w:val="bbPlcHdr"/>
        </w:types>
        <w:behaviors>
          <w:behavior w:val="content"/>
        </w:behaviors>
        <w:description w:val=""/>
        <w:guid w:val="{33cf1b7c-cbe2-4d2b-831a-782a9f2e01df}"/>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3198</Words>
  <Characters>3453</Characters>
  <Lines>26</Lines>
  <Paragraphs>7</Paragraphs>
  <TotalTime>39</TotalTime>
  <ScaleCrop>false</ScaleCrop>
  <LinksUpToDate>false</LinksUpToDate>
  <CharactersWithSpaces>3552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2022-12-06T08:56:00Z</cp:lastPrinted>
  <dcterms:modified xsi:type="dcterms:W3CDTF">2022-12-09T07:39:44Z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0F65DA5F87E8499C8719997299C5F1AA</vt:lpwstr>
  </property>
</Properties>
</file>