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val="en-US" w:eastAsia="zh-CN"/>
        </w:rPr>
        <w:t>工程量</w:t>
      </w:r>
      <w:r>
        <w:rPr>
          <w:rFonts w:hint="eastAsia" w:cs="宋体"/>
          <w:b/>
          <w:bCs/>
        </w:rPr>
        <w:t>清单</w:t>
      </w:r>
      <w:r>
        <w:rPr>
          <w:b/>
          <w:bCs/>
        </w:rPr>
        <w:t> </w:t>
      </w:r>
    </w:p>
    <w:p>
      <w:pPr>
        <w:pStyle w:val="2"/>
        <w:ind w:left="-708" w:leftChars="-337"/>
        <w:rPr>
          <w:rFonts w:hint="default" w:eastAsia="宋体"/>
          <w:b/>
          <w:bCs/>
          <w:lang w:val="en-US" w:eastAsia="zh-CN"/>
        </w:rPr>
      </w:pPr>
      <w:r>
        <w:rPr>
          <w:rFonts w:hint="eastAsia"/>
          <w:b/>
          <w:bCs/>
          <w:lang w:val="en-US" w:eastAsia="zh-CN"/>
        </w:rPr>
        <w:t xml:space="preserve">     </w:t>
      </w:r>
      <w:r>
        <w:rPr>
          <w:rFonts w:hint="default" w:eastAsia="宋体"/>
          <w:b/>
          <w:bCs/>
          <w:lang w:val="en-US" w:eastAsia="zh-CN"/>
        </w:rPr>
        <w:drawing>
          <wp:inline distT="0" distB="0" distL="114300" distR="114300">
            <wp:extent cx="5172710" cy="5031105"/>
            <wp:effectExtent l="0" t="0" r="8890" b="17145"/>
            <wp:docPr id="1" name="图片 1" descr="11楼雨棚改造预算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楼雨棚改造预算空白"/>
                    <pic:cNvPicPr>
                      <a:picLocks noChangeAspect="1"/>
                    </pic:cNvPicPr>
                  </pic:nvPicPr>
                  <pic:blipFill>
                    <a:blip r:embed="rId4"/>
                    <a:srcRect r="8523" b="6535"/>
                    <a:stretch>
                      <a:fillRect/>
                    </a:stretch>
                  </pic:blipFill>
                  <pic:spPr>
                    <a:xfrm>
                      <a:off x="0" y="0"/>
                      <a:ext cx="5172710" cy="5031105"/>
                    </a:xfrm>
                    <a:prstGeom prst="rect">
                      <a:avLst/>
                    </a:prstGeom>
                  </pic:spPr>
                </pic:pic>
              </a:graphicData>
            </a:graphic>
          </wp:inline>
        </w:drawing>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lang w:val="en-US" w:eastAsia="zh-CN"/>
        </w:rPr>
      </w:pPr>
      <w:r>
        <w:rPr>
          <w:rFonts w:hint="eastAsia"/>
          <w:lang w:val="en-US" w:eastAsia="zh-CN"/>
        </w:rPr>
        <w:t xml:space="preserve">     </w:t>
      </w:r>
      <w:r>
        <w:rPr>
          <w:rFonts w:hint="eastAsia"/>
          <w:b/>
          <w:bCs/>
          <w:color w:val="0000FF"/>
          <w:sz w:val="18"/>
          <w:szCs w:val="18"/>
          <w:lang w:val="en-US" w:eastAsia="zh-CN"/>
        </w:rPr>
        <w:t>（请以表格形式陈列......)</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2"/>
        <w:ind w:left="-708" w:leftChars="-337"/>
        <w:rPr>
          <w:rFonts w:hint="eastAsia" w:ascii="Times New Roman" w:hAnsi="Times New Roman" w:cs="宋体"/>
        </w:rPr>
      </w:pPr>
      <w:r>
        <w:rPr>
          <w:rFonts w:hint="eastAsia" w:ascii="Times New Roman" w:hAnsi="Times New Roman" w:cs="宋体"/>
        </w:rPr>
        <w:t>以国家颁发的施工验收规范和质量检验标准为依据</w:t>
      </w:r>
    </w:p>
    <w:p>
      <w:pPr>
        <w:pStyle w:val="2"/>
        <w:ind w:left="-708" w:leftChars="-337"/>
        <w:rPr>
          <w:rFonts w:hint="default" w:ascii="Times New Roman" w:hAnsi="Times New Roman" w:cs="宋体"/>
          <w:lang w:val="en-US" w:eastAsia="zh-CN"/>
        </w:rPr>
      </w:pPr>
      <w:r>
        <w:rPr>
          <w:rFonts w:hint="eastAsia"/>
          <w:kern w:val="0"/>
          <w:sz w:val="24"/>
          <w:szCs w:val="24"/>
          <w:lang w:val="en-US" w:eastAsia="zh-CN"/>
        </w:rPr>
        <w:t>施工工期：20日历天</w:t>
      </w:r>
      <w:r>
        <w:rPr>
          <w:kern w:val="0"/>
          <w:sz w:val="24"/>
          <w:szCs w:val="24"/>
        </w:rPr>
        <w:t xml:space="preserve"> </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pPr>
        <w:pStyle w:val="2"/>
        <w:ind w:left="-708" w:leftChars="-337"/>
        <w:rPr>
          <w:rFonts w:hint="eastAsia" w:ascii="Times New Roman" w:hAnsi="Times New Roman" w:eastAsia="宋体" w:cs="宋体"/>
          <w:color w:val="auto"/>
          <w:kern w:val="0"/>
          <w:sz w:val="24"/>
          <w:szCs w:val="24"/>
          <w:lang w:val="en-US" w:eastAsia="zh-CN" w:bidi="ar-SA"/>
        </w:rPr>
      </w:pPr>
      <w:r>
        <w:rPr>
          <w:rFonts w:hint="eastAsia"/>
          <w:lang w:val="en-US" w:eastAsia="zh-CN"/>
        </w:rPr>
        <w:t>1）</w:t>
      </w:r>
      <w:r>
        <w:rPr>
          <w:rFonts w:hint="eastAsia"/>
        </w:rPr>
        <w:t>质保期：通过验收</w:t>
      </w:r>
      <w:r>
        <w:rPr>
          <w:rFonts w:hint="eastAsia" w:ascii="Times New Roman" w:hAnsi="Times New Roman" w:eastAsia="宋体" w:cs="宋体"/>
          <w:color w:val="auto"/>
          <w:kern w:val="0"/>
          <w:sz w:val="24"/>
          <w:szCs w:val="24"/>
          <w:lang w:val="en-US" w:eastAsia="zh-CN" w:bidi="ar-SA"/>
        </w:rPr>
        <w:t>之日起不少于1年。</w:t>
      </w:r>
    </w:p>
    <w:p>
      <w:pPr>
        <w:pStyle w:val="2"/>
        <w:ind w:left="-708" w:leftChars="-337"/>
        <w:rPr>
          <w:kern w:val="0"/>
          <w:sz w:val="24"/>
          <w:szCs w:val="24"/>
        </w:rPr>
      </w:pPr>
      <w:r>
        <w:rPr>
          <w:rFonts w:hint="eastAsia" w:ascii="Times New Roman" w:hAnsi="Times New Roman" w:eastAsia="宋体" w:cs="宋体"/>
          <w:color w:val="auto"/>
          <w:kern w:val="0"/>
          <w:sz w:val="24"/>
          <w:szCs w:val="24"/>
          <w:lang w:val="en-US" w:eastAsia="zh-CN" w:bidi="ar-SA"/>
        </w:rPr>
        <w:t xml:space="preserve">2）施工地点为：广西壮族自治区桂东人民医院内科楼11楼 </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3）付款条件（进度和方式）：</w:t>
      </w:r>
    </w:p>
    <w:p>
      <w:pPr>
        <w:widowControl/>
        <w:spacing w:line="400" w:lineRule="exact"/>
        <w:ind w:left="-710" w:leftChars="-338" w:firstLine="482" w:firstLineChars="200"/>
        <w:jc w:val="left"/>
        <w:rPr>
          <w:rFonts w:cs="宋体"/>
          <w:kern w:val="0"/>
          <w:sz w:val="24"/>
          <w:szCs w:val="24"/>
        </w:rPr>
      </w:pPr>
      <w:r>
        <w:rPr>
          <w:rFonts w:hint="eastAsia" w:cs="宋体"/>
          <w:b/>
          <w:bCs/>
          <w:kern w:val="0"/>
          <w:sz w:val="24"/>
          <w:szCs w:val="24"/>
          <w:u w:val="single"/>
        </w:rPr>
        <w:t>经验收合格后，</w:t>
      </w:r>
      <w:r>
        <w:rPr>
          <w:rFonts w:hint="eastAsia" w:cs="宋体"/>
          <w:b/>
          <w:bCs/>
          <w:kern w:val="0"/>
          <w:sz w:val="24"/>
          <w:szCs w:val="24"/>
          <w:u w:val="single"/>
          <w:lang w:val="en-US" w:eastAsia="zh-CN"/>
        </w:rPr>
        <w:t>三十个工作日</w:t>
      </w:r>
      <w:r>
        <w:rPr>
          <w:rFonts w:hint="eastAsia" w:cs="宋体"/>
          <w:b/>
          <w:bCs/>
          <w:kern w:val="0"/>
          <w:sz w:val="24"/>
          <w:szCs w:val="24"/>
          <w:u w:val="single"/>
        </w:rPr>
        <w:t>付合同款的 </w:t>
      </w:r>
      <w:r>
        <w:rPr>
          <w:rFonts w:hint="eastAsia" w:cs="宋体"/>
          <w:b/>
          <w:bCs/>
          <w:kern w:val="0"/>
          <w:sz w:val="24"/>
          <w:szCs w:val="24"/>
          <w:u w:val="single"/>
          <w:lang w:val="en-US" w:eastAsia="zh-CN"/>
        </w:rPr>
        <w:t>97</w:t>
      </w:r>
      <w:r>
        <w:rPr>
          <w:rFonts w:hint="eastAsia" w:cs="宋体"/>
          <w:b/>
          <w:bCs/>
          <w:kern w:val="0"/>
          <w:sz w:val="24"/>
          <w:szCs w:val="24"/>
          <w:u w:val="single"/>
        </w:rPr>
        <w:t>% ，其余</w:t>
      </w:r>
      <w:r>
        <w:rPr>
          <w:rFonts w:hint="eastAsia" w:cs="宋体"/>
          <w:b/>
          <w:bCs/>
          <w:kern w:val="0"/>
          <w:sz w:val="24"/>
          <w:szCs w:val="24"/>
          <w:u w:val="single"/>
          <w:lang w:val="en-US" w:eastAsia="zh-CN"/>
        </w:rPr>
        <w:t>3</w:t>
      </w:r>
      <w:r>
        <w:rPr>
          <w:rFonts w:hint="eastAsia" w:cs="宋体"/>
          <w:b/>
          <w:bCs/>
          <w:kern w:val="0"/>
          <w:sz w:val="24"/>
          <w:szCs w:val="24"/>
          <w:u w:val="single"/>
        </w:rPr>
        <w:t>% 作为质保金</w:t>
      </w:r>
      <w:r>
        <w:rPr>
          <w:rFonts w:hint="eastAsia" w:cs="宋体"/>
          <w:kern w:val="0"/>
          <w:sz w:val="24"/>
          <w:szCs w:val="24"/>
        </w:rPr>
        <w:t xml:space="preserve">，  </w:t>
      </w:r>
      <w:r>
        <w:rPr>
          <w:rFonts w:hint="eastAsia" w:cs="宋体"/>
          <w:kern w:val="0"/>
          <w:sz w:val="24"/>
          <w:szCs w:val="24"/>
          <w:lang w:val="en-US" w:eastAsia="zh-CN"/>
        </w:rPr>
        <w:t>壹</w:t>
      </w:r>
      <w:r>
        <w:rPr>
          <w:rFonts w:hint="eastAsia" w:cs="宋体"/>
          <w:kern w:val="0"/>
          <w:sz w:val="24"/>
          <w:szCs w:val="24"/>
        </w:rPr>
        <w:t>年</w:t>
      </w:r>
      <w:r>
        <w:rPr>
          <w:rFonts w:hint="eastAsia" w:cs="宋体"/>
          <w:kern w:val="0"/>
          <w:sz w:val="24"/>
          <w:szCs w:val="24"/>
          <w:lang w:eastAsia="zh-CN"/>
        </w:rPr>
        <w:t>后</w:t>
      </w:r>
      <w:r>
        <w:rPr>
          <w:rFonts w:hint="eastAsia" w:cs="宋体"/>
          <w:kern w:val="0"/>
          <w:sz w:val="24"/>
          <w:szCs w:val="24"/>
        </w:rPr>
        <w:t>（根据项目特点定）内无质量问题后付清（无息）。如验收不合格以及发现伪劣产品等，招标人将视情形采取退货、拒付款、终止合同、索赔等措施，直至通过有关部门，依法维权。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b/>
            <w:bCs/>
            <w:color w:val="auto"/>
            <w:kern w:val="0"/>
            <w:sz w:val="24"/>
            <w:szCs w:val="24"/>
            <w:u w:val="single"/>
          </w:rPr>
        </w:sdtEndPr>
        <w:sdtContent>
          <w:r>
            <w:rPr>
              <w:rFonts w:hint="eastAsia" w:cs="宋体"/>
              <w:b/>
              <w:bCs/>
              <w:color w:val="auto"/>
              <w:kern w:val="0"/>
              <w:sz w:val="24"/>
              <w:szCs w:val="24"/>
              <w:u w:val="single"/>
              <w:lang w:val="en-US" w:eastAsia="zh-CN"/>
            </w:rPr>
            <w:t>5个</w:t>
          </w:r>
        </w:sdtContent>
      </w:sdt>
      <w:r>
        <w:rPr>
          <w:rFonts w:hint="eastAsia" w:cs="宋体"/>
          <w:b/>
          <w:bCs/>
          <w:color w:val="auto"/>
          <w:kern w:val="0"/>
          <w:sz w:val="24"/>
          <w:szCs w:val="24"/>
          <w:u w:val="single"/>
          <w:lang w:val="en-US" w:eastAsia="zh-CN"/>
        </w:rPr>
        <w:t>工作日</w:t>
      </w:r>
      <w:r>
        <w:rPr>
          <w:rFonts w:hint="eastAsia" w:cs="宋体"/>
          <w:b/>
          <w:bCs/>
          <w:color w:val="auto"/>
          <w:kern w:val="0"/>
          <w:sz w:val="24"/>
          <w:szCs w:val="24"/>
          <w:u w:val="single"/>
        </w:rPr>
        <w:t>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8414E05"/>
    <w:rsid w:val="0C8B0CD1"/>
    <w:rsid w:val="0C8B6EFD"/>
    <w:rsid w:val="0CC05EEA"/>
    <w:rsid w:val="10C97A40"/>
    <w:rsid w:val="122B15C9"/>
    <w:rsid w:val="196A30D7"/>
    <w:rsid w:val="1F0C2535"/>
    <w:rsid w:val="2218153E"/>
    <w:rsid w:val="238241FC"/>
    <w:rsid w:val="25D6720D"/>
    <w:rsid w:val="260D7B7B"/>
    <w:rsid w:val="26431704"/>
    <w:rsid w:val="2C7D5EC4"/>
    <w:rsid w:val="2E44559E"/>
    <w:rsid w:val="3194337D"/>
    <w:rsid w:val="3737378F"/>
    <w:rsid w:val="3806606D"/>
    <w:rsid w:val="397701BE"/>
    <w:rsid w:val="3C9E401D"/>
    <w:rsid w:val="3F8769CB"/>
    <w:rsid w:val="41366ED0"/>
    <w:rsid w:val="476E0DBE"/>
    <w:rsid w:val="6A513DD5"/>
    <w:rsid w:val="6DD0797D"/>
    <w:rsid w:val="6E6023D9"/>
    <w:rsid w:val="70B711C6"/>
    <w:rsid w:val="71334DF8"/>
    <w:rsid w:val="71754026"/>
    <w:rsid w:val="74B5471E"/>
    <w:rsid w:val="77E41C8F"/>
    <w:rsid w:val="7B4F25B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3</Pages>
  <Words>754</Words>
  <Characters>800</Characters>
  <Lines>26</Lines>
  <Paragraphs>7</Paragraphs>
  <TotalTime>1</TotalTime>
  <ScaleCrop>false</ScaleCrop>
  <LinksUpToDate>false</LinksUpToDate>
  <CharactersWithSpaces>837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2022-12-14T02:42:31Z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BC6B623858AD4EF6B8932C9852D63447</vt:lpwstr>
  </property>
</Properties>
</file>