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 xml:space="preserve"> </w:t>
      </w:r>
      <w:r>
        <w:rPr>
          <w:rFonts w:hint="eastAsia"/>
          <w:highlight w:val="yellow"/>
        </w:rPr>
        <w:t xml:space="preserve">1.1.项目名称：  一次性输液瓶（袋）、医用玻璃瓶、透析桶回收服务                         </w:t>
      </w:r>
    </w:p>
    <w:p>
      <w:pPr>
        <w:pStyle w:val="2"/>
        <w:ind w:firstLine="480" w:firstLineChars="200"/>
        <w:rPr>
          <w:rFonts w:hint="eastAsia"/>
          <w:highlight w:val="yellow"/>
        </w:rPr>
      </w:pPr>
      <w:r>
        <w:rPr>
          <w:rFonts w:hint="eastAsia"/>
          <w:highlight w:val="yellow"/>
        </w:rPr>
        <w:t>1.2.项目编号：桂东招2023001</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bookmarkStart w:id="42" w:name="_GoBack"/>
      <w:bookmarkEnd w:id="42"/>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3个工作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20823284"/>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513029214"/>
      <w:bookmarkEnd w:id="11"/>
      <w:bookmarkStart w:id="12" w:name="_Toc16938530"/>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资信证明文件技术支持性文件</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投标截止时间为招标公告中规定的时间，如够资质投标人不够三家，可适当顺延。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20823305"/>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rPr>
        <w:t>招标公告中有招标上控价，投标人的报价均超过了采购预算，采购人不能支付的；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16938554"/>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评审结束后5个工作日内，中标候选人名单将在广西壮族自治区桂东人民医院网站（http://www.gxgdyy.com）进行公示。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2对招标文件提出质疑的，为投标截止时间3日前。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6938552"/>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七、其他</w:t>
      </w:r>
    </w:p>
    <w:p>
      <w:pPr>
        <w:pStyle w:val="2"/>
      </w:pPr>
    </w:p>
    <w:bookmarkEnd w:id="0"/>
    <w:p>
      <w:pPr>
        <w:widowControl/>
        <w:spacing w:line="400" w:lineRule="exact"/>
        <w:ind w:firstLine="480" w:firstLineChars="200"/>
        <w:jc w:val="left"/>
        <w:rPr>
          <w:rFonts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三、开标一览表</w:t>
      </w:r>
    </w:p>
    <w:p>
      <w:pPr>
        <w:widowControl/>
        <w:spacing w:line="360" w:lineRule="auto"/>
        <w:ind w:firstLine="480" w:firstLineChars="200"/>
        <w:jc w:val="left"/>
        <w:rPr>
          <w:rFonts w:cs="宋体"/>
          <w:kern w:val="0"/>
          <w:sz w:val="24"/>
          <w:szCs w:val="24"/>
        </w:rPr>
      </w:pPr>
      <w:r>
        <w:rPr>
          <w:rFonts w:hint="eastAsia" w:cs="宋体"/>
          <w:kern w:val="0"/>
          <w:sz w:val="24"/>
          <w:szCs w:val="24"/>
        </w:rPr>
        <w:t>四、资信证明文件技术支持性文件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五、服务承诺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三、开标一览表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p>
    <w:p>
      <w:pPr>
        <w:pStyle w:val="2"/>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spacing w:line="360" w:lineRule="auto"/>
        <w:jc w:val="left"/>
        <w:rPr>
          <w:kern w:val="0"/>
          <w:sz w:val="24"/>
          <w:szCs w:val="24"/>
        </w:rPr>
      </w:pPr>
      <w:r>
        <w:rPr>
          <w:b/>
          <w:bCs/>
          <w:kern w:val="0"/>
          <w:sz w:val="28"/>
          <w:szCs w:val="28"/>
        </w:rPr>
        <w:br w:type="page"/>
      </w:r>
    </w:p>
    <w:p>
      <w:pPr>
        <w:widowControl/>
        <w:spacing w:line="351" w:lineRule="atLeast"/>
        <w:jc w:val="left"/>
        <w:rPr>
          <w:b/>
          <w:bCs/>
          <w:kern w:val="0"/>
          <w:sz w:val="18"/>
          <w:szCs w:val="18"/>
        </w:rPr>
      </w:pPr>
    </w:p>
    <w:p>
      <w:pPr>
        <w:widowControl/>
        <w:jc w:val="center"/>
        <w:rPr>
          <w:kern w:val="0"/>
          <w:sz w:val="18"/>
          <w:szCs w:val="18"/>
        </w:rPr>
      </w:pPr>
      <w:r>
        <w:rPr>
          <w:rFonts w:hint="eastAsia" w:cs="宋体"/>
          <w:b/>
          <w:bCs/>
          <w:kern w:val="0"/>
          <w:sz w:val="38"/>
          <w:szCs w:val="38"/>
        </w:rPr>
        <w:t>四、资信证明文件技术支持性文件</w:t>
      </w:r>
    </w:p>
    <w:p>
      <w:pPr>
        <w:widowControl/>
        <w:spacing w:line="360" w:lineRule="auto"/>
        <w:jc w:val="left"/>
        <w:rPr>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rPr>
        <w:t>五、服务承诺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UxMWI4MTg4ZTdmMDRmYTZhMWIxZWQxOTc2ZDE2NjgifQ=="/>
    <w:docVar w:name="KY_MEDREF_DOCUID" w:val="{B36404EC-8561-4065-A8A7-89E4E638730E}"/>
    <w:docVar w:name="KY_MEDREF_VERSION" w:val="3"/>
  </w:docVars>
  <w:rsids>
    <w:rsidRoot w:val="00272502"/>
    <w:rsid w:val="0003201A"/>
    <w:rsid w:val="000F7E1D"/>
    <w:rsid w:val="002061F1"/>
    <w:rsid w:val="00241CD6"/>
    <w:rsid w:val="00272502"/>
    <w:rsid w:val="00282C65"/>
    <w:rsid w:val="0028563F"/>
    <w:rsid w:val="00290522"/>
    <w:rsid w:val="002F723D"/>
    <w:rsid w:val="00317F90"/>
    <w:rsid w:val="004F7178"/>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D6356CF"/>
    <w:rsid w:val="1C045EE6"/>
    <w:rsid w:val="2628279B"/>
    <w:rsid w:val="333251B4"/>
    <w:rsid w:val="41EA53E6"/>
    <w:rsid w:val="58CA61C1"/>
    <w:rsid w:val="6BDD07A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uiPriority w:val="99"/>
    <w:rPr>
      <w:color w:val="0000FF"/>
      <w:u w:val="single"/>
    </w:rPr>
  </w:style>
  <w:style w:type="character" w:styleId="10">
    <w:name w:val="annotation reference"/>
    <w:semiHidden/>
    <w:qFormat/>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文字 字符"/>
    <w:basedOn w:val="8"/>
    <w:semiHidden/>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Char"/>
    <w:basedOn w:val="14"/>
    <w:link w:val="6"/>
    <w:semiHidden/>
    <w:qFormat/>
    <w:uiPriority w:val="99"/>
    <w:rPr>
      <w:rFonts w:ascii="Times New Roman" w:hAnsi="Times New Roman" w:eastAsia="宋体" w:cs="Times New Roman"/>
      <w:b/>
      <w:bCs/>
      <w:szCs w:val="21"/>
    </w:rPr>
  </w:style>
  <w:style w:type="character" w:styleId="16">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1178</Words>
  <Characters>6721</Characters>
  <Lines>56</Lines>
  <Paragraphs>15</Paragraphs>
  <TotalTime>0</TotalTime>
  <ScaleCrop>false</ScaleCrop>
  <LinksUpToDate>false</LinksUpToDate>
  <CharactersWithSpaces>7884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2023-01-16T09:43:38Z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08563293BB9D4BBE8BC2D52C4AB1AB25</vt:lpwstr>
  </property>
</Properties>
</file>