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6"/>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6"/>
        <w:ind w:left="-500" w:leftChars="-238" w:firstLine="420" w:firstLineChars="199"/>
      </w:pPr>
      <w:r>
        <w:rPr>
          <w:rFonts w:hint="eastAsia"/>
          <w:b/>
          <w:bCs/>
          <w:color w:val="FF0000"/>
          <w:sz w:val="21"/>
          <w:szCs w:val="21"/>
        </w:rPr>
        <w:t>其他为一般指标要求</w:t>
      </w:r>
      <w:r>
        <w:rPr>
          <w:rFonts w:hint="eastAsia"/>
          <w:color w:val="FF0000"/>
          <w:sz w:val="21"/>
          <w:szCs w:val="21"/>
        </w:rPr>
        <w:t>：优于该条件的为正偏离，评审时加分，不满足的为负偏离，评审时予以扣分。</w:t>
      </w:r>
    </w:p>
    <w:p>
      <w:pPr>
        <w:pStyle w:val="6"/>
        <w:numPr>
          <w:ilvl w:val="0"/>
          <w:numId w:val="1"/>
        </w:numPr>
        <w:rPr>
          <w:rFonts w:cs="宋体"/>
          <w:b/>
          <w:bCs/>
          <w:sz w:val="28"/>
          <w:szCs w:val="28"/>
        </w:rPr>
      </w:pPr>
      <w:r>
        <w:rPr>
          <w:rFonts w:hint="eastAsia" w:cs="宋体"/>
          <w:b/>
          <w:bCs/>
          <w:sz w:val="28"/>
          <w:szCs w:val="28"/>
        </w:rPr>
        <w:t>采购清单、技术规格参数、质量标准和要求</w:t>
      </w:r>
    </w:p>
    <w:p>
      <w:pPr>
        <w:pStyle w:val="7"/>
        <w:ind w:left="0"/>
        <w:rPr>
          <w:color w:val="FF0000"/>
        </w:rPr>
      </w:pPr>
      <w:r>
        <w:rPr>
          <w:rFonts w:hint="eastAsia" w:ascii="宋体" w:hAnsi="宋体" w:cs="宋体"/>
          <w:color w:val="FF0000"/>
          <w:sz w:val="24"/>
          <w:szCs w:val="24"/>
        </w:rPr>
        <w:t>产品</w:t>
      </w:r>
      <w:r>
        <w:rPr>
          <w:rFonts w:hint="eastAsia" w:ascii="宋体" w:hAnsi="宋体"/>
          <w:color w:val="FF0000"/>
          <w:sz w:val="24"/>
        </w:rPr>
        <w:t>需要提供</w:t>
      </w:r>
      <w:r>
        <w:rPr>
          <w:rFonts w:hint="eastAsia" w:ascii="宋体" w:hAnsi="宋体" w:cs="宋体"/>
          <w:color w:val="FF0000"/>
          <w:sz w:val="24"/>
          <w:szCs w:val="24"/>
        </w:rPr>
        <w:t>医疗器械注册证复印件</w:t>
      </w:r>
    </w:p>
    <w:p>
      <w:pPr>
        <w:pStyle w:val="6"/>
        <w:ind w:left="-708" w:leftChars="-337"/>
        <w:rPr>
          <w:b/>
          <w:bCs/>
        </w:rPr>
      </w:pPr>
      <w:r>
        <w:rPr>
          <w:rFonts w:hint="eastAsia" w:cs="宋体"/>
          <w:b/>
          <w:bCs/>
        </w:rPr>
        <w:t>（一）采购清单</w:t>
      </w:r>
      <w:r>
        <w:rPr>
          <w:b/>
          <w:bCs/>
        </w:rPr>
        <w:t> </w:t>
      </w:r>
    </w:p>
    <w:tbl>
      <w:tblPr>
        <w:tblStyle w:val="14"/>
        <w:tblW w:w="9275"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937"/>
        <w:gridCol w:w="2100"/>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tcPr>
          <w:p>
            <w:pPr>
              <w:pStyle w:val="6"/>
              <w:jc w:val="both"/>
            </w:pPr>
            <w:r>
              <w:rPr>
                <w:rFonts w:hint="eastAsia"/>
              </w:rPr>
              <w:t>名称</w:t>
            </w:r>
          </w:p>
        </w:tc>
        <w:tc>
          <w:tcPr>
            <w:tcW w:w="937" w:type="dxa"/>
          </w:tcPr>
          <w:p>
            <w:pPr>
              <w:pStyle w:val="6"/>
              <w:jc w:val="both"/>
            </w:pPr>
            <w:r>
              <w:rPr>
                <w:rFonts w:hint="eastAsia"/>
              </w:rPr>
              <w:t>数量</w:t>
            </w:r>
          </w:p>
        </w:tc>
        <w:tc>
          <w:tcPr>
            <w:tcW w:w="2100" w:type="dxa"/>
          </w:tcPr>
          <w:p>
            <w:pPr>
              <w:pStyle w:val="6"/>
              <w:jc w:val="both"/>
            </w:pPr>
            <w:r>
              <w:rPr>
                <w:rFonts w:hint="eastAsia"/>
              </w:rPr>
              <w:t>单价限价（万元）</w:t>
            </w:r>
          </w:p>
        </w:tc>
        <w:tc>
          <w:tcPr>
            <w:tcW w:w="4275" w:type="dxa"/>
          </w:tcPr>
          <w:p>
            <w:pPr>
              <w:pStyle w:val="6"/>
              <w:ind w:firstLine="720" w:firstLineChars="300"/>
              <w:jc w:val="both"/>
            </w:pPr>
            <w:r>
              <w:rPr>
                <w:rFonts w:hint="eastAsia" w:ascii="宋体" w:hAnsi="宋体" w:cs="宋体"/>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3" w:type="dxa"/>
          </w:tcPr>
          <w:p>
            <w:pPr>
              <w:pStyle w:val="6"/>
              <w:jc w:val="both"/>
              <w:rPr>
                <w:color w:val="FF0000"/>
              </w:rPr>
            </w:pPr>
            <w:r>
              <w:rPr>
                <w:rFonts w:hint="eastAsia" w:ascii="宋体" w:hAnsi="宋体" w:cs="宋体"/>
                <w:color w:val="FF0000"/>
                <w:sz w:val="21"/>
                <w:szCs w:val="21"/>
              </w:rPr>
              <w:t>心电图仪</w:t>
            </w:r>
          </w:p>
        </w:tc>
        <w:tc>
          <w:tcPr>
            <w:tcW w:w="937" w:type="dxa"/>
          </w:tcPr>
          <w:p>
            <w:pPr>
              <w:pStyle w:val="6"/>
              <w:jc w:val="both"/>
              <w:rPr>
                <w:color w:val="FF0000"/>
              </w:rPr>
            </w:pPr>
            <w:r>
              <w:rPr>
                <w:color w:val="FF0000"/>
              </w:rPr>
              <w:t>4</w:t>
            </w:r>
            <w:r>
              <w:rPr>
                <w:rFonts w:hint="eastAsia"/>
                <w:color w:val="FF0000"/>
              </w:rPr>
              <w:t>台</w:t>
            </w:r>
          </w:p>
        </w:tc>
        <w:tc>
          <w:tcPr>
            <w:tcW w:w="2100" w:type="dxa"/>
          </w:tcPr>
          <w:p>
            <w:pPr>
              <w:pStyle w:val="6"/>
              <w:jc w:val="both"/>
              <w:rPr>
                <w:color w:val="FF0000"/>
              </w:rPr>
            </w:pPr>
            <w:r>
              <w:rPr>
                <w:color w:val="FF0000"/>
              </w:rPr>
              <w:t>6</w:t>
            </w:r>
            <w:r>
              <w:rPr>
                <w:rFonts w:hint="eastAsia"/>
                <w:color w:val="FF0000"/>
              </w:rPr>
              <w:t>.</w:t>
            </w:r>
            <w:r>
              <w:rPr>
                <w:color w:val="FF0000"/>
              </w:rPr>
              <w:t>00</w:t>
            </w:r>
          </w:p>
          <w:p>
            <w:pPr>
              <w:pStyle w:val="7"/>
              <w:widowControl w:val="0"/>
              <w:rPr>
                <w:color w:val="FF0000"/>
              </w:rPr>
            </w:pPr>
          </w:p>
        </w:tc>
        <w:tc>
          <w:tcPr>
            <w:tcW w:w="4275" w:type="dxa"/>
          </w:tcPr>
          <w:p>
            <w:pPr>
              <w:pStyle w:val="6"/>
              <w:jc w:val="both"/>
              <w:rPr>
                <w:b/>
                <w:bCs/>
              </w:rPr>
            </w:pPr>
            <w:r>
              <w:rPr>
                <w:rFonts w:hint="eastAsia" w:ascii="宋体" w:hAnsi="宋体" w:cs="宋体"/>
              </w:rPr>
              <w:t>详见技术参数、性能（配置）及要其他求</w:t>
            </w:r>
          </w:p>
        </w:tc>
      </w:tr>
    </w:tbl>
    <w:p>
      <w:pPr>
        <w:pStyle w:val="6"/>
        <w:rPr>
          <w:b/>
          <w:bCs/>
        </w:rPr>
      </w:pPr>
    </w:p>
    <w:p>
      <w:pPr>
        <w:widowControl/>
        <w:numPr>
          <w:ilvl w:val="0"/>
          <w:numId w:val="2"/>
        </w:numPr>
        <w:spacing w:line="360" w:lineRule="auto"/>
        <w:ind w:left="-708" w:leftChars="-337"/>
        <w:jc w:val="left"/>
      </w:pPr>
      <w:r>
        <w:rPr>
          <w:rFonts w:hint="eastAsia" w:cs="宋体"/>
          <w:b/>
          <w:bCs/>
          <w:kern w:val="0"/>
          <w:sz w:val="24"/>
          <w:szCs w:val="24"/>
        </w:rPr>
        <w:t>技术规格参数要求</w:t>
      </w:r>
    </w:p>
    <w:tbl>
      <w:tblPr>
        <w:tblStyle w:val="13"/>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15"/>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FF0000"/>
              </w:rPr>
            </w:pPr>
            <w:r>
              <w:rPr>
                <w:rFonts w:hint="eastAsia"/>
                <w:b/>
                <w:bCs/>
                <w:color w:val="FF0000"/>
              </w:rPr>
              <w:t>编号</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FF0000"/>
              </w:rPr>
            </w:pPr>
            <w:r>
              <w:rPr>
                <w:rFonts w:hint="eastAsia"/>
                <w:b/>
                <w:bCs/>
                <w:color w:val="FF0000"/>
              </w:rPr>
              <w:t>名称</w:t>
            </w:r>
          </w:p>
        </w:tc>
        <w:tc>
          <w:tcPr>
            <w:tcW w:w="6743"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FF0000"/>
              </w:rPr>
            </w:pPr>
            <w:r>
              <w:rPr>
                <w:rFonts w:hint="eastAsia"/>
                <w:b/>
                <w:bCs/>
                <w:color w:val="FF0000"/>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08" w:type="dxa"/>
            <w:tcBorders>
              <w:top w:val="single" w:color="auto" w:sz="4" w:space="0"/>
              <w:left w:val="single" w:color="auto" w:sz="4" w:space="0"/>
              <w:bottom w:val="single" w:color="auto" w:sz="4" w:space="0"/>
              <w:right w:val="single" w:color="auto" w:sz="4" w:space="0"/>
            </w:tcBorders>
            <w:vAlign w:val="center"/>
          </w:tcPr>
          <w:p>
            <w:pPr>
              <w:pStyle w:val="30"/>
              <w:numPr>
                <w:ilvl w:val="0"/>
                <w:numId w:val="3"/>
              </w:numPr>
              <w:ind w:firstLineChars="0"/>
              <w:jc w:val="center"/>
              <w:rPr>
                <w:b/>
                <w:bCs/>
                <w:color w:val="FF0000"/>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b/>
                <w:bCs/>
                <w:color w:val="FF0000"/>
              </w:rPr>
            </w:pPr>
            <w:r>
              <w:rPr>
                <w:rFonts w:hint="eastAsia"/>
                <w:b/>
                <w:bCs/>
                <w:color w:val="FF0000"/>
              </w:rPr>
              <w:t>数字式心电图机</w:t>
            </w:r>
          </w:p>
        </w:tc>
        <w:tc>
          <w:tcPr>
            <w:tcW w:w="6743" w:type="dxa"/>
            <w:tcBorders>
              <w:top w:val="single" w:color="auto" w:sz="4" w:space="0"/>
              <w:left w:val="single" w:color="auto" w:sz="4" w:space="0"/>
              <w:bottom w:val="nil"/>
              <w:right w:val="single" w:color="auto" w:sz="4" w:space="0"/>
            </w:tcBorders>
          </w:tcPr>
          <w:p>
            <w:pPr>
              <w:pStyle w:val="30"/>
              <w:widowControl/>
              <w:numPr>
                <w:ilvl w:val="0"/>
                <w:numId w:val="4"/>
              </w:numPr>
              <w:ind w:firstLineChars="0"/>
              <w:jc w:val="left"/>
              <w:rPr>
                <w:color w:val="FF0000"/>
                <w:szCs w:val="21"/>
              </w:rPr>
            </w:pPr>
            <w:r>
              <w:rPr>
                <w:rFonts w:hint="eastAsia"/>
                <w:color w:val="FF0000"/>
                <w:szCs w:val="21"/>
              </w:rPr>
              <w:t>数字式心电图机，支持</w:t>
            </w:r>
            <w:r>
              <w:rPr>
                <w:color w:val="FF0000"/>
                <w:szCs w:val="21"/>
              </w:rPr>
              <w:t>12</w:t>
            </w:r>
            <w:r>
              <w:rPr>
                <w:rFonts w:hint="eastAsia"/>
                <w:color w:val="FF0000"/>
                <w:szCs w:val="21"/>
              </w:rPr>
              <w:t>导心电图采集</w:t>
            </w:r>
          </w:p>
          <w:p>
            <w:pPr>
              <w:pStyle w:val="30"/>
              <w:widowControl/>
              <w:numPr>
                <w:ilvl w:val="0"/>
                <w:numId w:val="4"/>
              </w:numPr>
              <w:ind w:firstLineChars="0"/>
              <w:jc w:val="left"/>
              <w:rPr>
                <w:color w:val="FF0000"/>
                <w:szCs w:val="21"/>
              </w:rPr>
            </w:pPr>
            <w:r>
              <w:rPr>
                <w:rFonts w:hint="eastAsia"/>
                <w:color w:val="FF0000"/>
                <w:szCs w:val="21"/>
              </w:rPr>
              <w:t>心电图机一体化平板设计，采集仪模块内置；主机全触控操作，无物理硬按键。</w:t>
            </w:r>
          </w:p>
          <w:p>
            <w:pPr>
              <w:pStyle w:val="30"/>
              <w:widowControl/>
              <w:numPr>
                <w:ilvl w:val="0"/>
                <w:numId w:val="4"/>
              </w:numPr>
              <w:ind w:firstLineChars="0"/>
              <w:jc w:val="left"/>
              <w:rPr>
                <w:color w:val="FF0000"/>
                <w:szCs w:val="21"/>
              </w:rPr>
            </w:pPr>
            <w:r>
              <w:rPr>
                <w:rFonts w:hint="eastAsia"/>
                <w:color w:val="FF0000"/>
                <w:szCs w:val="21"/>
              </w:rPr>
              <w:t>显示屏幕≥</w:t>
            </w:r>
            <w:r>
              <w:rPr>
                <w:color w:val="FF0000"/>
                <w:szCs w:val="21"/>
              </w:rPr>
              <w:t>10</w:t>
            </w:r>
            <w:r>
              <w:rPr>
                <w:rFonts w:hint="eastAsia"/>
                <w:color w:val="FF0000"/>
                <w:szCs w:val="21"/>
              </w:rPr>
              <w:t>英寸</w:t>
            </w:r>
          </w:p>
          <w:p>
            <w:pPr>
              <w:pStyle w:val="30"/>
              <w:widowControl/>
              <w:numPr>
                <w:ilvl w:val="0"/>
                <w:numId w:val="4"/>
              </w:numPr>
              <w:ind w:firstLineChars="0"/>
              <w:jc w:val="left"/>
              <w:rPr>
                <w:color w:val="FF0000"/>
                <w:szCs w:val="21"/>
              </w:rPr>
            </w:pPr>
            <w:r>
              <w:rPr>
                <w:rFonts w:hint="eastAsia"/>
                <w:color w:val="FF0000"/>
                <w:szCs w:val="21"/>
              </w:rPr>
              <w:t>具备</w:t>
            </w:r>
            <w:r>
              <w:rPr>
                <w:color w:val="FF0000"/>
                <w:szCs w:val="21"/>
              </w:rPr>
              <w:t>LAN</w:t>
            </w:r>
            <w:r>
              <w:rPr>
                <w:rFonts w:hint="eastAsia"/>
                <w:color w:val="FF0000"/>
                <w:szCs w:val="21"/>
              </w:rPr>
              <w:t>、</w:t>
            </w:r>
            <w:r>
              <w:rPr>
                <w:color w:val="FF0000"/>
                <w:szCs w:val="21"/>
              </w:rPr>
              <w:t>USB</w:t>
            </w:r>
            <w:r>
              <w:rPr>
                <w:rFonts w:hint="eastAsia"/>
                <w:color w:val="FF0000"/>
                <w:szCs w:val="21"/>
              </w:rPr>
              <w:t>等传输接口</w:t>
            </w:r>
          </w:p>
          <w:p>
            <w:pPr>
              <w:pStyle w:val="30"/>
              <w:widowControl/>
              <w:numPr>
                <w:ilvl w:val="0"/>
                <w:numId w:val="4"/>
              </w:numPr>
              <w:ind w:firstLineChars="0"/>
              <w:jc w:val="left"/>
              <w:rPr>
                <w:color w:val="FF0000"/>
                <w:szCs w:val="21"/>
              </w:rPr>
            </w:pPr>
            <w:r>
              <w:rPr>
                <w:rFonts w:hint="eastAsia"/>
                <w:color w:val="FF0000"/>
                <w:szCs w:val="21"/>
              </w:rPr>
              <w:t>支持智能操作系统，可远程更新升级</w:t>
            </w:r>
          </w:p>
          <w:p>
            <w:pPr>
              <w:pStyle w:val="30"/>
              <w:widowControl/>
              <w:numPr>
                <w:ilvl w:val="0"/>
                <w:numId w:val="4"/>
              </w:numPr>
              <w:ind w:firstLineChars="0"/>
              <w:jc w:val="left"/>
              <w:rPr>
                <w:color w:val="FF0000"/>
                <w:szCs w:val="21"/>
              </w:rPr>
            </w:pPr>
            <w:r>
              <w:rPr>
                <w:rFonts w:hint="eastAsia"/>
                <w:color w:val="FF0000"/>
                <w:szCs w:val="21"/>
              </w:rPr>
              <w:t>▲心电图主机支持内置</w:t>
            </w:r>
            <w:r>
              <w:rPr>
                <w:color w:val="FF0000"/>
                <w:szCs w:val="21"/>
              </w:rPr>
              <w:t>4G</w:t>
            </w:r>
            <w:r>
              <w:rPr>
                <w:rFonts w:hint="eastAsia"/>
                <w:color w:val="FF0000"/>
                <w:szCs w:val="21"/>
              </w:rPr>
              <w:t>功能，不接受外置模块。</w:t>
            </w:r>
          </w:p>
          <w:p>
            <w:pPr>
              <w:pStyle w:val="30"/>
              <w:widowControl/>
              <w:numPr>
                <w:ilvl w:val="0"/>
                <w:numId w:val="4"/>
              </w:numPr>
              <w:ind w:firstLineChars="0"/>
              <w:jc w:val="left"/>
              <w:rPr>
                <w:color w:val="FF0000"/>
                <w:szCs w:val="21"/>
              </w:rPr>
            </w:pPr>
            <w:r>
              <w:rPr>
                <w:rFonts w:hint="eastAsia"/>
                <w:color w:val="FF0000"/>
                <w:szCs w:val="21"/>
              </w:rPr>
              <w:t>心电图主机支持</w:t>
            </w:r>
            <w:r>
              <w:rPr>
                <w:color w:val="FF0000"/>
                <w:szCs w:val="21"/>
              </w:rPr>
              <w:t>2.4GHz/5GHz</w:t>
            </w:r>
            <w:r>
              <w:rPr>
                <w:rFonts w:hint="eastAsia"/>
                <w:color w:val="FF0000"/>
                <w:szCs w:val="21"/>
              </w:rPr>
              <w:t>双频段无线</w:t>
            </w:r>
            <w:r>
              <w:rPr>
                <w:color w:val="FF0000"/>
                <w:szCs w:val="21"/>
              </w:rPr>
              <w:t>Wi-Fi</w:t>
            </w:r>
          </w:p>
          <w:p>
            <w:pPr>
              <w:pStyle w:val="30"/>
              <w:widowControl/>
              <w:numPr>
                <w:ilvl w:val="0"/>
                <w:numId w:val="4"/>
              </w:numPr>
              <w:ind w:firstLineChars="0"/>
              <w:jc w:val="left"/>
              <w:rPr>
                <w:color w:val="FF0000"/>
                <w:szCs w:val="21"/>
              </w:rPr>
            </w:pPr>
            <w:r>
              <w:rPr>
                <w:rFonts w:hint="eastAsia"/>
                <w:color w:val="FF0000"/>
                <w:szCs w:val="21"/>
              </w:rPr>
              <w:t>锂电池额定容量≥</w:t>
            </w:r>
            <w:r>
              <w:rPr>
                <w:color w:val="FF0000"/>
                <w:szCs w:val="21"/>
              </w:rPr>
              <w:t>10000mAh</w:t>
            </w:r>
            <w:r>
              <w:rPr>
                <w:rFonts w:hint="eastAsia"/>
                <w:color w:val="FF0000"/>
                <w:szCs w:val="21"/>
              </w:rPr>
              <w:t>，在</w:t>
            </w:r>
            <w:r>
              <w:rPr>
                <w:color w:val="FF0000"/>
                <w:szCs w:val="21"/>
              </w:rPr>
              <w:t>40</w:t>
            </w:r>
            <w:r>
              <w:rPr>
                <w:rFonts w:hint="eastAsia"/>
                <w:color w:val="FF0000"/>
                <w:szCs w:val="21"/>
              </w:rPr>
              <w:t>℃或以下支持</w:t>
            </w:r>
            <w:r>
              <w:rPr>
                <w:color w:val="FF0000"/>
                <w:szCs w:val="21"/>
              </w:rPr>
              <w:t>5</w:t>
            </w:r>
            <w:r>
              <w:rPr>
                <w:rFonts w:hint="eastAsia"/>
                <w:color w:val="FF0000"/>
                <w:szCs w:val="21"/>
              </w:rPr>
              <w:t>小时以上连续工作</w:t>
            </w:r>
          </w:p>
          <w:p>
            <w:pPr>
              <w:pStyle w:val="30"/>
              <w:widowControl/>
              <w:numPr>
                <w:ilvl w:val="0"/>
                <w:numId w:val="4"/>
              </w:numPr>
              <w:ind w:firstLineChars="0"/>
              <w:jc w:val="left"/>
              <w:rPr>
                <w:color w:val="FF0000"/>
                <w:szCs w:val="21"/>
              </w:rPr>
            </w:pPr>
            <w:r>
              <w:rPr>
                <w:rFonts w:hint="eastAsia"/>
                <w:color w:val="FF0000"/>
                <w:szCs w:val="21"/>
              </w:rPr>
              <w:t>耐极化电压：±</w:t>
            </w:r>
            <w:r>
              <w:rPr>
                <w:color w:val="FF0000"/>
                <w:szCs w:val="21"/>
              </w:rPr>
              <w:t>600mV</w:t>
            </w:r>
          </w:p>
          <w:p>
            <w:pPr>
              <w:pStyle w:val="30"/>
              <w:widowControl/>
              <w:numPr>
                <w:ilvl w:val="0"/>
                <w:numId w:val="4"/>
              </w:numPr>
              <w:ind w:firstLineChars="0"/>
              <w:jc w:val="left"/>
              <w:rPr>
                <w:color w:val="FF0000"/>
                <w:szCs w:val="21"/>
              </w:rPr>
            </w:pPr>
            <w:r>
              <w:rPr>
                <w:rFonts w:hint="eastAsia"/>
                <w:color w:val="FF0000"/>
                <w:szCs w:val="21"/>
              </w:rPr>
              <w:t>定标电压：</w:t>
            </w:r>
            <w:r>
              <w:rPr>
                <w:color w:val="FF0000"/>
                <w:szCs w:val="21"/>
              </w:rPr>
              <w:t>1mV±1%</w:t>
            </w:r>
          </w:p>
          <w:p>
            <w:pPr>
              <w:pStyle w:val="30"/>
              <w:widowControl/>
              <w:numPr>
                <w:ilvl w:val="0"/>
                <w:numId w:val="4"/>
              </w:numPr>
              <w:ind w:firstLineChars="0"/>
              <w:jc w:val="left"/>
              <w:rPr>
                <w:color w:val="FF0000"/>
                <w:szCs w:val="21"/>
              </w:rPr>
            </w:pPr>
            <w:r>
              <w:rPr>
                <w:rFonts w:hint="eastAsia"/>
                <w:color w:val="FF0000"/>
                <w:szCs w:val="21"/>
              </w:rPr>
              <w:t>▲共模抑制比：＞</w:t>
            </w:r>
            <w:r>
              <w:rPr>
                <w:color w:val="FF0000"/>
                <w:szCs w:val="21"/>
              </w:rPr>
              <w:t>125dB</w:t>
            </w:r>
            <w:r>
              <w:rPr>
                <w:rFonts w:hint="eastAsia"/>
                <w:color w:val="FF0000"/>
                <w:szCs w:val="21"/>
              </w:rPr>
              <w:t>（默认交流滤波关闭）</w:t>
            </w:r>
          </w:p>
          <w:p>
            <w:pPr>
              <w:pStyle w:val="30"/>
              <w:widowControl/>
              <w:numPr>
                <w:ilvl w:val="0"/>
                <w:numId w:val="4"/>
              </w:numPr>
              <w:ind w:firstLineChars="0"/>
              <w:jc w:val="left"/>
              <w:rPr>
                <w:color w:val="FF0000"/>
                <w:szCs w:val="21"/>
              </w:rPr>
            </w:pPr>
            <w:r>
              <w:rPr>
                <w:rFonts w:hint="eastAsia"/>
                <w:color w:val="FF0000"/>
                <w:szCs w:val="21"/>
              </w:rPr>
              <w:t>内部噪声：≤</w:t>
            </w:r>
            <w:r>
              <w:rPr>
                <w:color w:val="FF0000"/>
                <w:szCs w:val="21"/>
              </w:rPr>
              <w:t>10</w:t>
            </w:r>
            <w:r>
              <w:rPr>
                <w:rFonts w:hint="eastAsia"/>
                <w:color w:val="FF0000"/>
                <w:szCs w:val="21"/>
              </w:rPr>
              <w:t>μ</w:t>
            </w:r>
            <w:r>
              <w:rPr>
                <w:color w:val="FF0000"/>
                <w:szCs w:val="21"/>
              </w:rPr>
              <w:t>VP-P</w:t>
            </w:r>
          </w:p>
          <w:p>
            <w:pPr>
              <w:pStyle w:val="30"/>
              <w:widowControl/>
              <w:numPr>
                <w:ilvl w:val="0"/>
                <w:numId w:val="4"/>
              </w:numPr>
              <w:ind w:firstLineChars="0"/>
              <w:jc w:val="left"/>
              <w:rPr>
                <w:color w:val="FF0000"/>
                <w:szCs w:val="21"/>
              </w:rPr>
            </w:pPr>
            <w:r>
              <w:rPr>
                <w:rFonts w:hint="eastAsia"/>
                <w:color w:val="FF0000"/>
                <w:szCs w:val="21"/>
              </w:rPr>
              <w:t>频响范围：</w:t>
            </w:r>
            <w:r>
              <w:rPr>
                <w:color w:val="FF0000"/>
                <w:szCs w:val="21"/>
              </w:rPr>
              <w:t>0.05Hz~350Hz</w:t>
            </w:r>
            <w:r>
              <w:rPr>
                <w:rFonts w:hint="eastAsia"/>
                <w:color w:val="FF0000"/>
                <w:szCs w:val="21"/>
              </w:rPr>
              <w:t>（</w:t>
            </w:r>
            <w:r>
              <w:rPr>
                <w:color w:val="FF0000"/>
                <w:szCs w:val="21"/>
              </w:rPr>
              <w:t>-30%</w:t>
            </w:r>
            <w:r>
              <w:rPr>
                <w:rFonts w:hint="eastAsia"/>
                <w:color w:val="FF0000"/>
                <w:szCs w:val="21"/>
              </w:rPr>
              <w:t>～</w:t>
            </w:r>
            <w:r>
              <w:rPr>
                <w:color w:val="FF0000"/>
                <w:szCs w:val="21"/>
              </w:rPr>
              <w:t>+10%</w:t>
            </w:r>
            <w:r>
              <w:rPr>
                <w:rFonts w:hint="eastAsia"/>
                <w:color w:val="FF0000"/>
                <w:szCs w:val="21"/>
              </w:rPr>
              <w:t>）</w:t>
            </w:r>
            <w:r>
              <w:rPr>
                <w:color w:val="FF0000"/>
                <w:szCs w:val="21"/>
              </w:rPr>
              <w:t xml:space="preserve"> </w:t>
            </w:r>
          </w:p>
          <w:p>
            <w:pPr>
              <w:pStyle w:val="30"/>
              <w:widowControl/>
              <w:numPr>
                <w:ilvl w:val="0"/>
                <w:numId w:val="4"/>
              </w:numPr>
              <w:ind w:firstLineChars="0"/>
              <w:jc w:val="left"/>
              <w:rPr>
                <w:color w:val="FF0000"/>
                <w:szCs w:val="21"/>
              </w:rPr>
            </w:pPr>
            <w:r>
              <w:rPr>
                <w:rFonts w:hint="eastAsia"/>
                <w:color w:val="FF0000"/>
                <w:szCs w:val="21"/>
              </w:rPr>
              <w:t>存储量：支持最高</w:t>
            </w:r>
            <w:r>
              <w:rPr>
                <w:color w:val="FF0000"/>
                <w:szCs w:val="21"/>
              </w:rPr>
              <w:t>100000</w:t>
            </w:r>
            <w:r>
              <w:rPr>
                <w:rFonts w:hint="eastAsia"/>
                <w:color w:val="FF0000"/>
                <w:szCs w:val="21"/>
              </w:rPr>
              <w:t>份心电数据存储</w:t>
            </w:r>
          </w:p>
          <w:p>
            <w:pPr>
              <w:pStyle w:val="30"/>
              <w:numPr>
                <w:ilvl w:val="0"/>
                <w:numId w:val="4"/>
              </w:numPr>
              <w:ind w:firstLineChars="0"/>
              <w:rPr>
                <w:color w:val="FF0000"/>
                <w:szCs w:val="21"/>
              </w:rPr>
            </w:pPr>
            <w:bookmarkStart w:id="0" w:name="_Hlk115080895"/>
            <w:r>
              <w:rPr>
                <w:rFonts w:hint="eastAsia"/>
                <w:color w:val="FF0000"/>
                <w:szCs w:val="21"/>
              </w:rPr>
              <w:t>具备支持全导联起搏检测，准确识别起搏信号</w:t>
            </w:r>
            <w:bookmarkEnd w:id="0"/>
          </w:p>
          <w:p>
            <w:pPr>
              <w:pStyle w:val="30"/>
              <w:widowControl/>
              <w:numPr>
                <w:ilvl w:val="0"/>
                <w:numId w:val="4"/>
              </w:numPr>
              <w:ind w:firstLineChars="0"/>
              <w:jc w:val="left"/>
              <w:rPr>
                <w:color w:val="FF0000"/>
                <w:szCs w:val="21"/>
              </w:rPr>
            </w:pPr>
            <w:r>
              <w:rPr>
                <w:color w:val="FF0000"/>
                <w:szCs w:val="21"/>
              </w:rPr>
              <w:t>QTc</w:t>
            </w:r>
            <w:r>
              <w:rPr>
                <w:rFonts w:hint="eastAsia"/>
                <w:color w:val="FF0000"/>
                <w:szCs w:val="21"/>
              </w:rPr>
              <w:t>参数测量：内置</w:t>
            </w:r>
            <w:r>
              <w:rPr>
                <w:color w:val="FF0000"/>
                <w:szCs w:val="21"/>
              </w:rPr>
              <w:t>3</w:t>
            </w:r>
            <w:r>
              <w:rPr>
                <w:rFonts w:hint="eastAsia"/>
                <w:color w:val="FF0000"/>
                <w:szCs w:val="21"/>
              </w:rPr>
              <w:t>种以上测量算法，</w:t>
            </w:r>
            <w:r>
              <w:rPr>
                <w:color w:val="FF0000"/>
                <w:szCs w:val="21"/>
              </w:rPr>
              <w:t>QTc</w:t>
            </w:r>
            <w:r>
              <w:rPr>
                <w:rFonts w:hint="eastAsia"/>
                <w:color w:val="FF0000"/>
                <w:szCs w:val="21"/>
              </w:rPr>
              <w:t>计算方法可通过系统设置调阅并设置【提供</w:t>
            </w:r>
            <w:r>
              <w:rPr>
                <w:color w:val="FF0000"/>
                <w:szCs w:val="21"/>
              </w:rPr>
              <w:t>QTc</w:t>
            </w:r>
            <w:r>
              <w:rPr>
                <w:rFonts w:hint="eastAsia"/>
                <w:color w:val="FF0000"/>
                <w:szCs w:val="21"/>
              </w:rPr>
              <w:t>算法功能截图证明材料】</w:t>
            </w:r>
          </w:p>
          <w:p>
            <w:pPr>
              <w:pStyle w:val="30"/>
              <w:widowControl/>
              <w:numPr>
                <w:ilvl w:val="0"/>
                <w:numId w:val="4"/>
              </w:numPr>
              <w:ind w:firstLineChars="0"/>
              <w:jc w:val="left"/>
              <w:rPr>
                <w:color w:val="FF0000"/>
                <w:szCs w:val="21"/>
              </w:rPr>
            </w:pPr>
            <w:r>
              <w:rPr>
                <w:rFonts w:hint="eastAsia"/>
                <w:color w:val="FF0000"/>
                <w:szCs w:val="21"/>
              </w:rPr>
              <w:t>心电图机可通过下载获取待检查信息，并支持待检查列表显示，列表应包含检查姓名、性别、年龄等信息。</w:t>
            </w:r>
          </w:p>
          <w:p>
            <w:pPr>
              <w:pStyle w:val="30"/>
              <w:numPr>
                <w:ilvl w:val="0"/>
                <w:numId w:val="4"/>
              </w:numPr>
              <w:ind w:firstLineChars="0"/>
              <w:rPr>
                <w:color w:val="FF0000"/>
                <w:szCs w:val="21"/>
              </w:rPr>
            </w:pPr>
            <w:r>
              <w:rPr>
                <w:rFonts w:hint="eastAsia"/>
                <w:color w:val="FF0000"/>
                <w:szCs w:val="21"/>
              </w:rPr>
              <w:t>同屏显示≥</w:t>
            </w:r>
            <w:r>
              <w:rPr>
                <w:color w:val="FF0000"/>
                <w:szCs w:val="21"/>
              </w:rPr>
              <w:t>12</w:t>
            </w:r>
            <w:r>
              <w:rPr>
                <w:rFonts w:hint="eastAsia"/>
                <w:color w:val="FF0000"/>
                <w:szCs w:val="21"/>
              </w:rPr>
              <w:t>导心电波形，支持虚拟</w:t>
            </w:r>
            <w:r>
              <w:rPr>
                <w:color w:val="FF0000"/>
                <w:szCs w:val="21"/>
              </w:rPr>
              <w:t>15</w:t>
            </w:r>
            <w:r>
              <w:rPr>
                <w:rFonts w:hint="eastAsia"/>
                <w:color w:val="FF0000"/>
                <w:szCs w:val="21"/>
              </w:rPr>
              <w:t>导、虚拟</w:t>
            </w:r>
            <w:r>
              <w:rPr>
                <w:color w:val="FF0000"/>
                <w:szCs w:val="21"/>
              </w:rPr>
              <w:t>18</w:t>
            </w:r>
            <w:r>
              <w:rPr>
                <w:rFonts w:hint="eastAsia"/>
                <w:color w:val="FF0000"/>
                <w:szCs w:val="21"/>
              </w:rPr>
              <w:t>导技术，</w:t>
            </w:r>
            <w:r>
              <w:rPr>
                <w:color w:val="FF0000"/>
                <w:szCs w:val="21"/>
              </w:rPr>
              <w:t>12</w:t>
            </w:r>
            <w:r>
              <w:rPr>
                <w:rFonts w:hint="eastAsia"/>
                <w:color w:val="FF0000"/>
                <w:szCs w:val="21"/>
              </w:rPr>
              <w:t>导心电图机可进行虚拟附加导联进行虚拟</w:t>
            </w:r>
            <w:r>
              <w:rPr>
                <w:color w:val="FF0000"/>
                <w:szCs w:val="21"/>
              </w:rPr>
              <w:t>15</w:t>
            </w:r>
            <w:r>
              <w:rPr>
                <w:rFonts w:hint="eastAsia"/>
                <w:color w:val="FF0000"/>
                <w:szCs w:val="21"/>
              </w:rPr>
              <w:t>导</w:t>
            </w:r>
            <w:r>
              <w:rPr>
                <w:color w:val="FF0000"/>
                <w:szCs w:val="21"/>
              </w:rPr>
              <w:t>/18</w:t>
            </w:r>
            <w:r>
              <w:rPr>
                <w:rFonts w:hint="eastAsia"/>
                <w:color w:val="FF0000"/>
                <w:szCs w:val="21"/>
              </w:rPr>
              <w:t>导采集，采集完成后，可生成虚拟</w:t>
            </w:r>
            <w:r>
              <w:rPr>
                <w:color w:val="FF0000"/>
                <w:szCs w:val="21"/>
              </w:rPr>
              <w:t>15</w:t>
            </w:r>
            <w:r>
              <w:rPr>
                <w:rFonts w:hint="eastAsia"/>
                <w:color w:val="FF0000"/>
                <w:szCs w:val="21"/>
              </w:rPr>
              <w:t>导</w:t>
            </w:r>
            <w:r>
              <w:rPr>
                <w:color w:val="FF0000"/>
                <w:szCs w:val="21"/>
              </w:rPr>
              <w:t>/18</w:t>
            </w:r>
            <w:r>
              <w:rPr>
                <w:rFonts w:hint="eastAsia"/>
                <w:color w:val="FF0000"/>
                <w:szCs w:val="21"/>
              </w:rPr>
              <w:t>导的图谱。</w:t>
            </w:r>
          </w:p>
          <w:p>
            <w:pPr>
              <w:pStyle w:val="30"/>
              <w:widowControl/>
              <w:numPr>
                <w:ilvl w:val="0"/>
                <w:numId w:val="4"/>
              </w:numPr>
              <w:ind w:firstLineChars="0"/>
              <w:jc w:val="left"/>
              <w:rPr>
                <w:color w:val="FF0000"/>
                <w:szCs w:val="21"/>
              </w:rPr>
            </w:pPr>
            <w:r>
              <w:rPr>
                <w:rFonts w:hint="eastAsia"/>
                <w:color w:val="FF0000"/>
                <w:szCs w:val="21"/>
              </w:rPr>
              <w:t>心电图机有经过</w:t>
            </w:r>
            <w:r>
              <w:rPr>
                <w:color w:val="FF0000"/>
                <w:szCs w:val="21"/>
              </w:rPr>
              <w:t>IHE</w:t>
            </w:r>
            <w:r>
              <w:rPr>
                <w:rFonts w:hint="eastAsia"/>
                <w:color w:val="FF0000"/>
                <w:szCs w:val="21"/>
              </w:rPr>
              <w:t>专项测试，可以满足与医疗卫生机构信息系统之间的信息互联、互通、集成共享的要求。</w:t>
            </w:r>
          </w:p>
          <w:p>
            <w:pPr>
              <w:pStyle w:val="30"/>
              <w:numPr>
                <w:ilvl w:val="0"/>
                <w:numId w:val="4"/>
              </w:numPr>
              <w:ind w:firstLineChars="0"/>
              <w:rPr>
                <w:color w:val="FF0000"/>
                <w:szCs w:val="21"/>
              </w:rPr>
            </w:pPr>
            <w:r>
              <w:rPr>
                <w:rFonts w:hint="eastAsia"/>
                <w:color w:val="FF0000"/>
                <w:szCs w:val="21"/>
              </w:rPr>
              <w:t>对于危急值检查数据，支持优先诊断功能，以提醒诊断中心优先诊断。</w:t>
            </w:r>
          </w:p>
          <w:p>
            <w:pPr>
              <w:pStyle w:val="30"/>
              <w:widowControl/>
              <w:numPr>
                <w:ilvl w:val="0"/>
                <w:numId w:val="4"/>
              </w:numPr>
              <w:ind w:firstLineChars="0"/>
              <w:jc w:val="left"/>
              <w:rPr>
                <w:color w:val="FF0000"/>
                <w:szCs w:val="21"/>
              </w:rPr>
            </w:pPr>
            <w:r>
              <w:rPr>
                <w:rFonts w:hint="eastAsia"/>
                <w:color w:val="FF0000"/>
                <w:szCs w:val="21"/>
              </w:rPr>
              <w:t>记录测值包括：心率、电轴、</w:t>
            </w:r>
            <w:r>
              <w:rPr>
                <w:color w:val="FF0000"/>
                <w:szCs w:val="21"/>
              </w:rPr>
              <w:t>P</w:t>
            </w:r>
            <w:r>
              <w:rPr>
                <w:rFonts w:hint="eastAsia"/>
                <w:color w:val="FF0000"/>
                <w:szCs w:val="21"/>
              </w:rPr>
              <w:t>波时限、</w:t>
            </w:r>
            <w:r>
              <w:rPr>
                <w:color w:val="FF0000"/>
                <w:szCs w:val="21"/>
              </w:rPr>
              <w:t>P-R</w:t>
            </w:r>
            <w:r>
              <w:rPr>
                <w:rFonts w:hint="eastAsia"/>
                <w:color w:val="FF0000"/>
                <w:szCs w:val="21"/>
              </w:rPr>
              <w:t>间期、</w:t>
            </w:r>
            <w:r>
              <w:rPr>
                <w:color w:val="FF0000"/>
                <w:szCs w:val="21"/>
              </w:rPr>
              <w:t>QRS</w:t>
            </w:r>
            <w:r>
              <w:rPr>
                <w:rFonts w:hint="eastAsia"/>
                <w:color w:val="FF0000"/>
                <w:szCs w:val="21"/>
              </w:rPr>
              <w:t>时限、</w:t>
            </w:r>
            <w:r>
              <w:rPr>
                <w:color w:val="FF0000"/>
                <w:szCs w:val="21"/>
              </w:rPr>
              <w:t>Q-T</w:t>
            </w:r>
            <w:r>
              <w:rPr>
                <w:rFonts w:hint="eastAsia"/>
                <w:color w:val="FF0000"/>
                <w:szCs w:val="21"/>
              </w:rPr>
              <w:t>间期、</w:t>
            </w:r>
            <w:r>
              <w:rPr>
                <w:color w:val="FF0000"/>
                <w:szCs w:val="21"/>
              </w:rPr>
              <w:t>QTc</w:t>
            </w:r>
            <w:r>
              <w:rPr>
                <w:rFonts w:hint="eastAsia"/>
                <w:color w:val="FF0000"/>
                <w:szCs w:val="21"/>
              </w:rPr>
              <w:t>、</w:t>
            </w:r>
            <w:r>
              <w:rPr>
                <w:color w:val="FF0000"/>
                <w:szCs w:val="21"/>
              </w:rPr>
              <w:t>T</w:t>
            </w:r>
            <w:r>
              <w:rPr>
                <w:rFonts w:hint="eastAsia"/>
                <w:color w:val="FF0000"/>
                <w:szCs w:val="21"/>
              </w:rPr>
              <w:t>波、</w:t>
            </w:r>
            <w:r>
              <w:rPr>
                <w:color w:val="FF0000"/>
                <w:szCs w:val="21"/>
              </w:rPr>
              <w:t>Rv5</w:t>
            </w:r>
            <w:r>
              <w:rPr>
                <w:rFonts w:hint="eastAsia"/>
                <w:color w:val="FF0000"/>
                <w:szCs w:val="21"/>
              </w:rPr>
              <w:t>、</w:t>
            </w:r>
            <w:r>
              <w:rPr>
                <w:color w:val="FF0000"/>
                <w:szCs w:val="21"/>
              </w:rPr>
              <w:t>Sv1</w:t>
            </w:r>
            <w:r>
              <w:rPr>
                <w:rFonts w:hint="eastAsia"/>
                <w:color w:val="FF0000"/>
                <w:szCs w:val="21"/>
              </w:rPr>
              <w:t>等。</w:t>
            </w:r>
          </w:p>
          <w:p>
            <w:pPr>
              <w:pStyle w:val="30"/>
              <w:widowControl/>
              <w:numPr>
                <w:ilvl w:val="0"/>
                <w:numId w:val="4"/>
              </w:numPr>
              <w:ind w:firstLineChars="0"/>
              <w:jc w:val="left"/>
              <w:rPr>
                <w:color w:val="FF0000"/>
                <w:szCs w:val="21"/>
              </w:rPr>
            </w:pPr>
            <w:r>
              <w:rPr>
                <w:rFonts w:hint="eastAsia"/>
                <w:color w:val="FF0000"/>
                <w:szCs w:val="21"/>
              </w:rPr>
              <w:t>▲</w:t>
            </w:r>
            <w:r>
              <w:rPr>
                <w:rFonts w:hint="eastAsia"/>
                <w:color w:val="FF0000"/>
                <w:szCs w:val="22"/>
              </w:rPr>
              <w:t>支持在采集端将心电图原始数据生成二维码，并通过手机端微信小程序进行扫码查看、诊断和分享；通过手机扫码方式实现内网到外网的数据传输，物理隔离保障网络安全。【需提供软件界面截图证明】</w:t>
            </w:r>
          </w:p>
          <w:p>
            <w:pPr>
              <w:pStyle w:val="30"/>
              <w:widowControl/>
              <w:numPr>
                <w:ilvl w:val="0"/>
                <w:numId w:val="4"/>
              </w:numPr>
              <w:ind w:firstLineChars="0"/>
              <w:jc w:val="left"/>
              <w:rPr>
                <w:color w:val="FF0000"/>
                <w:szCs w:val="21"/>
              </w:rPr>
            </w:pPr>
            <w:r>
              <w:rPr>
                <w:rFonts w:hint="eastAsia"/>
                <w:color w:val="FF0000"/>
                <w:szCs w:val="21"/>
              </w:rPr>
              <w:t>阿托品试验采集及处理流程</w:t>
            </w:r>
          </w:p>
          <w:p>
            <w:pPr>
              <w:pStyle w:val="30"/>
              <w:widowControl/>
              <w:numPr>
                <w:ilvl w:val="0"/>
                <w:numId w:val="4"/>
              </w:numPr>
              <w:ind w:firstLineChars="0"/>
              <w:jc w:val="left"/>
              <w:rPr>
                <w:color w:val="FF0000"/>
                <w:szCs w:val="21"/>
              </w:rPr>
            </w:pPr>
            <w:r>
              <w:rPr>
                <w:rFonts w:hint="eastAsia"/>
                <w:color w:val="FF0000"/>
                <w:szCs w:val="21"/>
              </w:rPr>
              <w:t>任意心搏放大、单导联图谱漂移功能、全屏图谱漂移功能</w:t>
            </w:r>
          </w:p>
          <w:p>
            <w:pPr>
              <w:pStyle w:val="30"/>
              <w:widowControl/>
              <w:numPr>
                <w:ilvl w:val="0"/>
                <w:numId w:val="4"/>
              </w:numPr>
              <w:ind w:firstLineChars="0"/>
              <w:jc w:val="left"/>
              <w:rPr>
                <w:color w:val="FF0000"/>
                <w:szCs w:val="21"/>
              </w:rPr>
            </w:pPr>
            <w:r>
              <w:rPr>
                <w:rFonts w:hint="eastAsia"/>
                <w:color w:val="FF0000"/>
                <w:szCs w:val="21"/>
              </w:rPr>
              <w:t>梯形图生成技术</w:t>
            </w:r>
          </w:p>
          <w:p>
            <w:pPr>
              <w:pStyle w:val="30"/>
              <w:widowControl/>
              <w:numPr>
                <w:ilvl w:val="0"/>
                <w:numId w:val="4"/>
              </w:numPr>
              <w:ind w:firstLineChars="0"/>
              <w:jc w:val="left"/>
              <w:rPr>
                <w:color w:val="FF0000"/>
                <w:szCs w:val="21"/>
              </w:rPr>
            </w:pPr>
            <w:r>
              <w:rPr>
                <w:rFonts w:hint="eastAsia"/>
                <w:color w:val="FF0000"/>
                <w:szCs w:val="21"/>
              </w:rPr>
              <w:t>具有向量分析技术</w:t>
            </w:r>
          </w:p>
          <w:p>
            <w:pPr>
              <w:pStyle w:val="30"/>
              <w:numPr>
                <w:ilvl w:val="0"/>
                <w:numId w:val="4"/>
              </w:numPr>
              <w:ind w:firstLineChars="0"/>
              <w:rPr>
                <w:color w:val="FF0000"/>
                <w:szCs w:val="21"/>
              </w:rPr>
            </w:pPr>
            <w:r>
              <w:rPr>
                <w:rFonts w:hint="eastAsia"/>
                <w:color w:val="FF0000"/>
                <w:szCs w:val="21"/>
              </w:rPr>
              <w:t>支持心电事件、起搏心电、晚电位功能</w:t>
            </w:r>
          </w:p>
          <w:p>
            <w:pPr>
              <w:pStyle w:val="30"/>
              <w:numPr>
                <w:ilvl w:val="0"/>
                <w:numId w:val="4"/>
              </w:numPr>
              <w:ind w:firstLineChars="0"/>
              <w:rPr>
                <w:color w:val="FF0000"/>
                <w:szCs w:val="21"/>
              </w:rPr>
            </w:pPr>
            <w:r>
              <w:rPr>
                <w:rFonts w:hint="eastAsia"/>
                <w:color w:val="FF0000"/>
                <w:szCs w:val="21"/>
              </w:rPr>
              <w:t>▲必须</w:t>
            </w:r>
            <w:r>
              <w:rPr>
                <w:rFonts w:hint="eastAsia" w:ascii="宋体" w:hAnsi="宋体"/>
                <w:color w:val="FF0000"/>
                <w:szCs w:val="21"/>
              </w:rPr>
              <w:t>实现与医院现有心电信息系统无缝对接，提供心电系统厂家无缝对接证明函，对接费用包含在投标总价中。若中标企业项目实施过程中，无法实现与医院现有心电信息系统无缝对接，导致项目无法顺利进行，视为虚假应标。采购人可取消其中标资格，为此导致后果，由中标人自负。</w:t>
            </w:r>
          </w:p>
          <w:p>
            <w:pPr>
              <w:pStyle w:val="30"/>
              <w:numPr>
                <w:ilvl w:val="0"/>
                <w:numId w:val="4"/>
              </w:numPr>
              <w:ind w:firstLineChars="0"/>
              <w:rPr>
                <w:color w:val="FF0000"/>
                <w:szCs w:val="21"/>
              </w:rPr>
            </w:pPr>
            <w:r>
              <w:rPr>
                <w:rFonts w:hint="eastAsia"/>
                <w:color w:val="FF0000"/>
                <w:szCs w:val="21"/>
              </w:rPr>
              <w:t>配套专用推车组成部分：车轮、塑胶一体底座、金属连杆、塑胶车篓、金属平台、塑胶推手</w:t>
            </w:r>
          </w:p>
          <w:p>
            <w:pPr>
              <w:rPr>
                <w:color w:val="FF0000"/>
              </w:rPr>
            </w:pPr>
          </w:p>
        </w:tc>
      </w:tr>
    </w:tbl>
    <w:p>
      <w:pPr>
        <w:pStyle w:val="27"/>
        <w:spacing w:line="400" w:lineRule="exact"/>
        <w:ind w:firstLine="0" w:firstLineChars="0"/>
        <w:rPr>
          <w:rFonts w:hint="eastAsia" w:ascii="宋体" w:hAnsi="宋体"/>
          <w:color w:val="FF0000"/>
          <w:sz w:val="24"/>
        </w:rPr>
      </w:pPr>
    </w:p>
    <w:p>
      <w:pPr>
        <w:widowControl/>
        <w:numPr>
          <w:ilvl w:val="0"/>
          <w:numId w:val="2"/>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项目产品基本要求</w:t>
      </w:r>
    </w:p>
    <w:p>
      <w:pPr>
        <w:pStyle w:val="6"/>
        <w:ind w:left="-708" w:leftChars="-337"/>
        <w:rPr>
          <w:color w:val="auto"/>
        </w:rPr>
      </w:pPr>
      <w:r>
        <w:rPr>
          <w:rFonts w:hint="eastAsia"/>
          <w:color w:val="auto"/>
        </w:rPr>
        <w:t>1.以上产品必须是具备合法资质的制造商生产的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6"/>
        <w:ind w:left="-708" w:leftChars="-337"/>
        <w:rPr>
          <w:color w:val="auto"/>
        </w:rPr>
      </w:pPr>
      <w:r>
        <w:rPr>
          <w:rFonts w:hint="eastAsia"/>
          <w:color w:val="auto"/>
        </w:rPr>
        <w:t>2.投标人所投产品参数应同等或优于以上各项参数要求，产品、辅材及生产工艺符合国家相关规范。</w:t>
      </w:r>
    </w:p>
    <w:p>
      <w:pPr>
        <w:pStyle w:val="6"/>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6"/>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6"/>
        <w:ind w:left="-708" w:leftChars="-337"/>
      </w:pPr>
      <w:r>
        <w:rPr>
          <w:rFonts w:cs="宋体"/>
          <w:color w:val="000000" w:themeColor="text1"/>
          <w14:textFill>
            <w14:solidFill>
              <w14:schemeClr w14:val="tx1"/>
            </w14:solidFill>
          </w14:textFill>
        </w:rPr>
        <w:t>5</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为保证服务和产品质量, 必须提供产品制造商的授权书原件（或复印件）及售后服务原件（或复印件），否则投标无效。</w:t>
      </w:r>
    </w:p>
    <w:p>
      <w:pPr>
        <w:pStyle w:val="6"/>
        <w:ind w:left="-708" w:leftChars="-337"/>
        <w:rPr>
          <w:rFonts w:cs="宋体"/>
          <w:b/>
          <w:bCs/>
        </w:rPr>
      </w:pPr>
      <w:r>
        <w:rPr>
          <w:rFonts w:hint="eastAsia" w:cs="宋体"/>
          <w:b/>
          <w:bCs/>
        </w:rPr>
        <w:t>（四）商务要求</w:t>
      </w:r>
    </w:p>
    <w:p>
      <w:pPr>
        <w:pStyle w:val="6"/>
        <w:ind w:left="-708" w:leftChars="-337"/>
        <w:rPr>
          <w:rFonts w:cs="宋体"/>
        </w:rPr>
      </w:pPr>
      <w:r>
        <w:rPr>
          <w:rFonts w:hint="eastAsia" w:cs="宋体"/>
          <w:b/>
          <w:bCs/>
        </w:rPr>
        <w:t>1.投标人资格要求</w:t>
      </w:r>
    </w:p>
    <w:p>
      <w:pPr>
        <w:pStyle w:val="6"/>
        <w:ind w:left="-708" w:leftChars="-337"/>
        <w:rPr>
          <w:rFonts w:cs="宋体"/>
        </w:rPr>
      </w:pPr>
      <w:r>
        <w:rPr>
          <w:rFonts w:hint="eastAsia" w:cs="宋体"/>
        </w:rPr>
        <w:t>1）投标人为独立法人，并具备统一社会信用代码。</w:t>
      </w:r>
    </w:p>
    <w:p>
      <w:pPr>
        <w:pStyle w:val="6"/>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6"/>
        <w:ind w:left="-708" w:leftChars="-337"/>
      </w:pPr>
      <w:r>
        <w:rPr>
          <w:rFonts w:hint="eastAsia" w:cs="宋体"/>
          <w:lang w:val="en-US" w:eastAsia="zh-CN"/>
        </w:rPr>
        <w:t>3</w:t>
      </w:r>
      <w:r>
        <w:rPr>
          <w:rFonts w:hint="eastAsia" w:cs="宋体"/>
        </w:rPr>
        <w:t>）</w:t>
      </w:r>
      <w:r>
        <w:rPr>
          <w:rFonts w:hint="eastAsia" w:cs="宋体"/>
          <w:color w:val="auto"/>
        </w:rPr>
        <w:t>本项目不接收联合体投标。</w:t>
      </w:r>
    </w:p>
    <w:p>
      <w:pPr>
        <w:pStyle w:val="6"/>
        <w:ind w:left="-708" w:leftChars="-337"/>
        <w:rPr>
          <w:rFonts w:cs="宋体"/>
          <w:b/>
          <w:bCs/>
        </w:rPr>
      </w:pPr>
      <w:r>
        <w:rPr>
          <w:rFonts w:hint="eastAsia" w:cs="宋体"/>
          <w:b/>
          <w:bCs/>
        </w:rPr>
        <w:t>2.投标产品资格要求</w:t>
      </w:r>
    </w:p>
    <w:p>
      <w:pPr>
        <w:pStyle w:val="6"/>
        <w:ind w:left="-708" w:leftChars="-337"/>
        <w:rPr>
          <w:rFonts w:hint="eastAsia" w:cs="宋体"/>
        </w:rPr>
      </w:pPr>
      <w:r>
        <w:rPr>
          <w:rFonts w:hint="eastAsia" w:cs="宋体"/>
        </w:rPr>
        <w:t>投标人所投产品要求包含以下相关证件：投标公司的《医疗器械经营许可证》、生产厂家的《医疗器械生产许可证》、《中华人民共和国医疗器械注册证》</w:t>
      </w:r>
    </w:p>
    <w:p>
      <w:pPr>
        <w:pStyle w:val="6"/>
        <w:ind w:left="-708" w:leftChars="-337"/>
      </w:pPr>
      <w:r>
        <w:rPr>
          <w:rFonts w:hint="eastAsia"/>
          <w:b/>
          <w:bCs/>
        </w:rPr>
        <w:t>3.售后服务和资质</w:t>
      </w:r>
    </w:p>
    <w:p>
      <w:pPr>
        <w:pStyle w:val="6"/>
        <w:ind w:left="-708" w:leftChars="-337"/>
        <w:rPr>
          <w:rFonts w:hint="eastAsia" w:cs="宋体"/>
        </w:rPr>
      </w:pPr>
      <w:r>
        <w:rPr>
          <w:rFonts w:hint="eastAsia"/>
        </w:rPr>
        <w:t>（1）为了防止虚假应标，项目成交结果公示期间，招</w:t>
      </w:r>
      <w:r>
        <w:rPr>
          <w:rFonts w:hint="eastAsia" w:cs="宋体"/>
        </w:rPr>
        <w:t>标人有权要求拟中标的投标人提供所投标产品以供测试；若测试达不到应答指标，以虚假应标论处。</w:t>
      </w:r>
    </w:p>
    <w:p>
      <w:pPr>
        <w:pStyle w:val="6"/>
        <w:ind w:left="-708" w:leftChars="-337"/>
      </w:pPr>
      <w:r>
        <w:rPr>
          <w:rFonts w:hint="eastAsia"/>
        </w:rPr>
        <w:t>（2）质保期：设备安装完毕通过验收投入使用之日起不少于</w:t>
      </w:r>
      <w:r>
        <w:rPr>
          <w:rFonts w:hint="eastAsia"/>
          <w:highlight w:val="yellow"/>
        </w:rPr>
        <w:t>1</w:t>
      </w:r>
      <w:r>
        <w:rPr>
          <w:rFonts w:hint="eastAsia"/>
        </w:rPr>
        <w:t>年。</w:t>
      </w:r>
    </w:p>
    <w:p>
      <w:pPr>
        <w:pStyle w:val="6"/>
        <w:ind w:left="-708" w:leftChars="-337"/>
      </w:pPr>
      <w:r>
        <w:rPr>
          <w:rFonts w:hint="eastAsia"/>
        </w:rPr>
        <w:t>（3)免费送货上门，免费由技术人员现场安装、调试和技术指导，并在用户使用处免费现场培训 2～3 名操作人员（培训内容：包含设备功能、安装、操作、维护等内容）， 直至采购人操作人员能熟练操作各项功能。</w:t>
      </w:r>
    </w:p>
    <w:p>
      <w:pPr>
        <w:pStyle w:val="6"/>
        <w:ind w:left="-708" w:leftChars="-337"/>
      </w:pPr>
      <w:r>
        <w:rPr>
          <w:rFonts w:hint="eastAsia"/>
        </w:rPr>
        <w:t>（4）故障处理：质保期内，在使用过程中发现质量问题或故障时，须接到通知后24小时内派工程师到达用户现场及提供常用备件，按国家及行业标准对故障进行及时处理或更换，以保证采购单位的正常使用，所发生的一切费用由成交供应商负责。</w:t>
      </w:r>
    </w:p>
    <w:p>
      <w:pPr>
        <w:pStyle w:val="6"/>
        <w:ind w:left="-708" w:leftChars="-337"/>
        <w:rPr>
          <w:rFonts w:cs="宋体"/>
        </w:rPr>
      </w:pPr>
      <w:r>
        <w:rPr>
          <w:rFonts w:hint="eastAsia"/>
        </w:rPr>
        <w:t>8）</w:t>
      </w:r>
      <w:r>
        <w:rPr>
          <w:rFonts w:hint="eastAsia" w:cs="宋体"/>
        </w:rPr>
        <w:t>签订合同后，</w:t>
      </w:r>
      <w:r>
        <w:rPr>
          <w:color w:val="FF0000"/>
          <w:u w:val="single"/>
        </w:rPr>
        <w:t>30</w:t>
      </w:r>
      <w:r>
        <w:rPr>
          <w:rFonts w:hint="eastAsia" w:cs="宋体"/>
        </w:rPr>
        <w:t>天内仪器设备安装调试结束并交付使用。投标人予以特别注意：如出现未能到期供货的情况，采购人有权单方终止合同的执行，所有的经济损失由逾期供货商单方承担。</w:t>
      </w:r>
    </w:p>
    <w:p>
      <w:pPr>
        <w:pStyle w:val="6"/>
        <w:ind w:left="-708" w:leftChars="-337"/>
      </w:pPr>
      <w:r>
        <w:rPr>
          <w:rFonts w:hint="eastAsia" w:cs="宋体"/>
        </w:rPr>
        <w:t>9）交货地点为：</w:t>
      </w:r>
      <w:r>
        <w:rPr>
          <w:rFonts w:hint="eastAsia" w:cs="宋体"/>
          <w:highlight w:val="yellow"/>
        </w:rPr>
        <w:t>广西壮族自治区桂东人民医院</w:t>
      </w:r>
      <w:r>
        <w:t xml:space="preserve">     </w:t>
      </w:r>
    </w:p>
    <w:p>
      <w:pPr>
        <w:pStyle w:val="6"/>
        <w:ind w:left="-708" w:leftChars="-337"/>
        <w:rPr>
          <w:rFonts w:hint="eastAsia"/>
        </w:rPr>
      </w:pPr>
      <w:r>
        <w:rPr>
          <w:rFonts w:hint="eastAsia"/>
        </w:rPr>
        <w:t>10）付款条件（进度和方式）：</w:t>
      </w:r>
    </w:p>
    <w:p>
      <w:pPr>
        <w:pStyle w:val="6"/>
        <w:ind w:left="-708" w:leftChars="-337"/>
        <w:rPr>
          <w:rFonts w:hint="eastAsia" w:hAnsi="宋体"/>
          <w:kern w:val="0"/>
          <w:szCs w:val="21"/>
        </w:rPr>
      </w:pPr>
      <w:r>
        <w:rPr>
          <w:rFonts w:hint="eastAsia" w:hAnsi="宋体"/>
          <w:kern w:val="0"/>
          <w:szCs w:val="21"/>
        </w:rPr>
        <w:t>1、第一期付款时间及金额：签订合同生效并经安装验收合格后，成交商开具全额发票给采购人,采购人收到发票后第2个月付合同款的90%，</w:t>
      </w:r>
      <w:r>
        <w:rPr>
          <w:rFonts w:ascii="微软雅黑" w:hAnsi="微软雅黑" w:eastAsia="微软雅黑" w:cs="微软雅黑"/>
          <w:color w:val="333333"/>
          <w:sz w:val="24"/>
          <w:szCs w:val="24"/>
          <w:shd w:val="clear" w:color="auto" w:fill="FFFFFF"/>
        </w:rPr>
        <w:t>￥</w:t>
      </w:r>
      <w:r>
        <w:rPr>
          <w:rFonts w:hint="eastAsia" w:hAnsi="宋体"/>
          <w:kern w:val="0"/>
          <w:szCs w:val="21"/>
          <w:u w:val="single"/>
        </w:rPr>
        <w:t xml:space="preserve">      </w:t>
      </w:r>
      <w:r>
        <w:rPr>
          <w:rFonts w:hint="eastAsia" w:hAnsi="宋体"/>
          <w:color w:val="000000"/>
          <w:kern w:val="0"/>
          <w:szCs w:val="21"/>
          <w:u w:val="single"/>
        </w:rPr>
        <w:t>元</w:t>
      </w:r>
      <w:r>
        <w:rPr>
          <w:rFonts w:hint="eastAsia" w:hAnsi="宋体"/>
          <w:kern w:val="0"/>
          <w:szCs w:val="21"/>
        </w:rPr>
        <w:t>合同款给供货商。</w:t>
      </w:r>
    </w:p>
    <w:p>
      <w:pPr>
        <w:pStyle w:val="6"/>
        <w:ind w:left="-708" w:leftChars="-337"/>
        <w:rPr>
          <w:rFonts w:hint="eastAsia" w:hAnsi="宋体"/>
          <w:kern w:val="0"/>
          <w:szCs w:val="21"/>
        </w:rPr>
      </w:pPr>
      <w:r>
        <w:rPr>
          <w:rFonts w:hint="eastAsia" w:hAnsi="宋体"/>
          <w:kern w:val="0"/>
          <w:szCs w:val="21"/>
        </w:rPr>
        <w:t>2、第二期付款时间及金额：余款10% ，</w:t>
      </w:r>
      <w:r>
        <w:rPr>
          <w:rFonts w:ascii="微软雅黑" w:hAnsi="微软雅黑" w:eastAsia="微软雅黑" w:cs="微软雅黑"/>
          <w:color w:val="333333"/>
          <w:sz w:val="24"/>
          <w:szCs w:val="24"/>
          <w:shd w:val="clear" w:color="auto" w:fill="FFFFFF"/>
        </w:rPr>
        <w:t>￥</w:t>
      </w:r>
      <w:r>
        <w:rPr>
          <w:rFonts w:hint="eastAsia" w:hAnsi="宋体"/>
          <w:kern w:val="0"/>
          <w:szCs w:val="21"/>
          <w:u w:val="single"/>
        </w:rPr>
        <w:t xml:space="preserve">     元</w:t>
      </w:r>
      <w:r>
        <w:rPr>
          <w:rFonts w:hint="eastAsia" w:hAnsi="宋体"/>
          <w:kern w:val="0"/>
          <w:szCs w:val="21"/>
        </w:rPr>
        <w:t>，质保期结束后无质量问题一次性支付给成交供货商（不计利息）。</w:t>
      </w:r>
    </w:p>
    <w:p>
      <w:pPr>
        <w:pStyle w:val="6"/>
        <w:ind w:left="-708" w:leftChars="-337"/>
        <w:rPr>
          <w:rFonts w:cs="宋体"/>
          <w:kern w:val="0"/>
          <w:sz w:val="24"/>
          <w:szCs w:val="24"/>
        </w:rPr>
      </w:pPr>
      <w:r>
        <w:rPr>
          <w:rFonts w:hint="eastAsia" w:hAnsi="宋体"/>
          <w:kern w:val="0"/>
          <w:szCs w:val="21"/>
          <w:lang w:val="en-US" w:eastAsia="zh-CN"/>
        </w:rPr>
        <w:t>3、</w:t>
      </w:r>
      <w:r>
        <w:rPr>
          <w:rFonts w:hint="eastAsia" w:cs="宋体"/>
          <w:kern w:val="0"/>
          <w:sz w:val="24"/>
          <w:szCs w:val="24"/>
        </w:rPr>
        <w:t>如验收不合格以及发现伪劣产品等，招标人将视情形采取退货、拒付款、终止合同、索赔等措施，直至通过有关部门，依法维权。</w:t>
      </w:r>
      <w:bookmarkStart w:id="1" w:name="_GoBack"/>
      <w:bookmarkEnd w:id="1"/>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7</w:t>
          </w:r>
        </w:sdtContent>
      </w:sdt>
      <w:r>
        <w:rPr>
          <w:rFonts w:hint="eastAsia" w:cs="宋体"/>
          <w:kern w:val="0"/>
          <w:sz w:val="24"/>
          <w:szCs w:val="24"/>
        </w:rPr>
        <w:t>工作日内签订采购合同。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rPr>
        <w:t>三</w:t>
      </w:r>
      <w:r>
        <w:rPr>
          <w:rFonts w:hint="eastAsia" w:cs="宋体"/>
          <w:b/>
          <w:bCs/>
          <w:kern w:val="0"/>
          <w:sz w:val="28"/>
          <w:szCs w:val="28"/>
        </w:rPr>
        <w:t>、其他</w:t>
      </w:r>
    </w:p>
    <w:p>
      <w:pPr>
        <w:pStyle w:val="6"/>
      </w:pP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390aa0fa-d6d9-4c36-956e-8e8d999897eb}"/>
          </w:placeholder>
          <w15:color w:val="FF0000"/>
        </w:sdtPr>
        <w:sdtEndPr>
          <w:rPr>
            <w:rFonts w:hint="eastAsia" w:cs="宋体"/>
            <w:kern w:val="0"/>
            <w:sz w:val="24"/>
            <w:szCs w:val="24"/>
            <w:u w:val="single"/>
          </w:rPr>
        </w:sdtEndPr>
        <w:sdtContent>
          <w:r>
            <w:rPr>
              <w:rFonts w:hint="eastAsia" w:cs="宋体"/>
              <w:kern w:val="0"/>
              <w:sz w:val="24"/>
              <w:szCs w:val="24"/>
              <w:u w:val="single"/>
            </w:rPr>
            <w:t>综合评分法</w:t>
          </w:r>
        </w:sdtContent>
      </w:sdt>
      <w:r>
        <w:rPr>
          <w:rFonts w:cs="宋体"/>
          <w:kern w:val="0"/>
          <w:sz w:val="24"/>
          <w:szCs w:val="24"/>
          <w:u w:val="single"/>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tbl>
      <w:tblPr>
        <w:tblStyle w:val="13"/>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126"/>
        <w:gridCol w:w="7067"/>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809" w:type="dxa"/>
          </w:tcPr>
          <w:p>
            <w:pPr>
              <w:spacing w:line="360" w:lineRule="auto"/>
              <w:rPr>
                <w:rFonts w:ascii="仿宋" w:hAnsi="仿宋" w:eastAsia="仿宋" w:cs="仿宋"/>
                <w:bCs/>
              </w:rPr>
            </w:pPr>
            <w:r>
              <w:rPr>
                <w:rFonts w:hint="eastAsia" w:ascii="仿宋" w:hAnsi="仿宋" w:eastAsia="仿宋" w:cs="仿宋"/>
                <w:bCs/>
              </w:rPr>
              <w:t>序号</w:t>
            </w:r>
          </w:p>
        </w:tc>
        <w:tc>
          <w:tcPr>
            <w:tcW w:w="1126" w:type="dxa"/>
          </w:tcPr>
          <w:p>
            <w:pPr>
              <w:spacing w:line="360" w:lineRule="auto"/>
              <w:rPr>
                <w:rFonts w:ascii="仿宋" w:hAnsi="仿宋" w:eastAsia="仿宋" w:cs="仿宋"/>
                <w:bCs/>
              </w:rPr>
            </w:pPr>
            <w:r>
              <w:rPr>
                <w:rFonts w:hint="eastAsia" w:ascii="仿宋" w:hAnsi="仿宋" w:eastAsia="仿宋" w:cs="仿宋"/>
                <w:bCs/>
              </w:rPr>
              <w:t>评分类型</w:t>
            </w:r>
          </w:p>
        </w:tc>
        <w:tc>
          <w:tcPr>
            <w:tcW w:w="7067" w:type="dxa"/>
          </w:tcPr>
          <w:p>
            <w:pPr>
              <w:spacing w:line="360" w:lineRule="auto"/>
              <w:rPr>
                <w:rFonts w:ascii="仿宋" w:hAnsi="仿宋" w:eastAsia="仿宋" w:cs="仿宋"/>
                <w:bCs/>
              </w:rPr>
            </w:pPr>
            <w:r>
              <w:rPr>
                <w:rFonts w:hint="eastAsia" w:ascii="仿宋" w:hAnsi="仿宋" w:eastAsia="仿宋" w:cs="仿宋"/>
                <w:bCs/>
              </w:rPr>
              <w:t>评分标准</w:t>
            </w:r>
          </w:p>
        </w:tc>
        <w:tc>
          <w:tcPr>
            <w:tcW w:w="722" w:type="dxa"/>
          </w:tcPr>
          <w:p>
            <w:pPr>
              <w:spacing w:line="360" w:lineRule="auto"/>
              <w:rPr>
                <w:rFonts w:ascii="仿宋" w:hAnsi="仿宋" w:eastAsia="仿宋" w:cs="仿宋"/>
                <w:bCs/>
              </w:rPr>
            </w:pPr>
            <w:r>
              <w:rPr>
                <w:rFonts w:hint="eastAsia" w:ascii="仿宋" w:hAnsi="仿宋" w:eastAsia="仿宋" w:cs="仿宋"/>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6" w:hRule="atLeast"/>
        </w:trPr>
        <w:tc>
          <w:tcPr>
            <w:tcW w:w="809" w:type="dxa"/>
          </w:tcPr>
          <w:p>
            <w:pPr>
              <w:spacing w:line="360" w:lineRule="auto"/>
              <w:rPr>
                <w:rFonts w:ascii="仿宋" w:hAnsi="仿宋" w:eastAsia="仿宋" w:cs="仿宋"/>
                <w:bCs/>
              </w:rPr>
            </w:pPr>
            <w:r>
              <w:rPr>
                <w:rFonts w:hint="eastAsia" w:ascii="仿宋" w:hAnsi="仿宋" w:eastAsia="仿宋" w:cs="仿宋"/>
                <w:bCs/>
              </w:rPr>
              <w:t>1</w:t>
            </w:r>
          </w:p>
        </w:tc>
        <w:tc>
          <w:tcPr>
            <w:tcW w:w="1126" w:type="dxa"/>
          </w:tcPr>
          <w:p>
            <w:pPr>
              <w:spacing w:line="360" w:lineRule="auto"/>
              <w:rPr>
                <w:rFonts w:ascii="仿宋" w:hAnsi="仿宋" w:eastAsia="仿宋" w:cs="仿宋"/>
                <w:bCs/>
              </w:rPr>
            </w:pPr>
            <w:r>
              <w:rPr>
                <w:rFonts w:hint="eastAsia" w:ascii="仿宋" w:hAnsi="仿宋" w:eastAsia="仿宋" w:cs="仿宋"/>
                <w:bCs/>
              </w:rPr>
              <w:t>价格分</w:t>
            </w:r>
          </w:p>
          <w:p>
            <w:pPr>
              <w:spacing w:line="360" w:lineRule="auto"/>
              <w:rPr>
                <w:rFonts w:ascii="仿宋" w:hAnsi="仿宋" w:eastAsia="仿宋" w:cs="仿宋"/>
                <w:bCs/>
              </w:rPr>
            </w:pPr>
            <w:r>
              <w:rPr>
                <w:rFonts w:hint="eastAsia" w:ascii="仿宋" w:hAnsi="仿宋" w:eastAsia="仿宋" w:cs="仿宋"/>
                <w:bCs/>
              </w:rPr>
              <w:t>（30分）</w:t>
            </w:r>
          </w:p>
        </w:tc>
        <w:tc>
          <w:tcPr>
            <w:tcW w:w="7067" w:type="dxa"/>
          </w:tcPr>
          <w:p>
            <w:pPr>
              <w:pStyle w:val="10"/>
              <w:spacing w:line="320" w:lineRule="exact"/>
              <w:ind w:left="0" w:leftChars="0" w:firstLine="0" w:firstLineChars="0"/>
              <w:jc w:val="left"/>
              <w:rPr>
                <w:rFonts w:ascii="仿宋" w:hAnsi="仿宋" w:eastAsia="仿宋" w:cs="仿宋"/>
                <w:szCs w:val="21"/>
              </w:rPr>
            </w:pPr>
            <w:r>
              <w:rPr>
                <w:rFonts w:hint="eastAsia" w:ascii="仿宋" w:hAnsi="仿宋" w:eastAsia="仿宋" w:cs="仿宋"/>
                <w:szCs w:val="21"/>
              </w:rPr>
              <w:t>（1）竞标总价低于或等于采购预算价的为有效报价，经评审有效竞标报价的最低值为基准价；</w:t>
            </w:r>
          </w:p>
          <w:p>
            <w:pPr>
              <w:pStyle w:val="10"/>
              <w:spacing w:line="320" w:lineRule="exact"/>
              <w:ind w:left="102" w:leftChars="0" w:hanging="102" w:firstLineChars="0"/>
              <w:jc w:val="center"/>
              <w:rPr>
                <w:rFonts w:ascii="仿宋" w:hAnsi="仿宋" w:eastAsia="仿宋" w:cs="仿宋"/>
                <w:szCs w:val="21"/>
              </w:rPr>
            </w:pPr>
            <w:r>
              <w:rPr>
                <w:rFonts w:hint="eastAsia" w:ascii="仿宋" w:hAnsi="仿宋" w:eastAsia="仿宋" w:cs="仿宋"/>
                <w:szCs w:val="21"/>
              </w:rPr>
              <w:t xml:space="preserve">         供应商最低报价</w:t>
            </w:r>
          </w:p>
          <w:p>
            <w:pPr>
              <w:pStyle w:val="10"/>
              <w:spacing w:line="320" w:lineRule="exact"/>
              <w:ind w:left="102" w:leftChars="0" w:hanging="102" w:firstLineChars="0"/>
              <w:jc w:val="left"/>
              <w:rPr>
                <w:rFonts w:ascii="仿宋" w:hAnsi="仿宋" w:eastAsia="仿宋" w:cs="仿宋"/>
                <w:szCs w:val="21"/>
              </w:rPr>
            </w:pPr>
            <w:r>
              <w:rPr>
                <w:rFonts w:ascii="仿宋" w:hAnsi="仿宋" w:eastAsia="仿宋" w:cs="仿宋"/>
                <w:szCs w:val="21"/>
              </w:rPr>
              <mc:AlternateContent>
                <mc:Choice Requires="wps">
                  <w:drawing>
                    <wp:anchor distT="0" distB="0" distL="114300" distR="114300" simplePos="0" relativeHeight="251659264" behindDoc="0" locked="0" layoutInCell="1" allowOverlap="1">
                      <wp:simplePos x="0" y="0"/>
                      <wp:positionH relativeFrom="column">
                        <wp:posOffset>1873250</wp:posOffset>
                      </wp:positionH>
                      <wp:positionV relativeFrom="paragraph">
                        <wp:posOffset>81280</wp:posOffset>
                      </wp:positionV>
                      <wp:extent cx="127317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2731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7.5pt;margin-top:6.4pt;height:0pt;width:100.25pt;z-index:251659264;mso-width-relative:page;mso-height-relative:page;" filled="f" stroked="t" coordsize="21600,21600" o:gfxdata="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C0coNYAAAAJAQAADwAAAAAAAAABACAAAAAiAAAAZHJz&#10;L2Rvd25yZXYueG1sUEsBAhQAFAAAAAgAh07iQCetDK3NAQAAagMAAA4AAAAAAAAAAQAgAAAAJQEA&#10;AGRycy9lMm9Eb2MueG1sUEsFBgAAAAAGAAYAWQEAAGQFAAAAAA==&#10;">
                      <v:fill on="f" focussize="0,0"/>
                      <v:stroke color="#000000" joinstyle="round"/>
                      <v:imagedata o:title=""/>
                      <o:lock v:ext="edit" aspectratio="f"/>
                    </v:line>
                  </w:pict>
                </mc:Fallback>
              </mc:AlternateContent>
            </w:r>
            <w:r>
              <w:rPr>
                <w:rFonts w:hint="eastAsia" w:ascii="仿宋" w:hAnsi="仿宋" w:eastAsia="仿宋" w:cs="仿宋"/>
                <w:szCs w:val="21"/>
              </w:rPr>
              <w:t>（2）某供应商价格得分＝        　　　　　　　　     ×30分</w:t>
            </w:r>
          </w:p>
          <w:p>
            <w:pPr>
              <w:pStyle w:val="10"/>
              <w:spacing w:line="320" w:lineRule="exact"/>
              <w:ind w:left="102" w:leftChars="0" w:hanging="102" w:firstLineChars="0"/>
              <w:jc w:val="center"/>
              <w:rPr>
                <w:rFonts w:ascii="仿宋" w:hAnsi="仿宋" w:eastAsia="仿宋" w:cs="仿宋"/>
                <w:szCs w:val="21"/>
              </w:rPr>
            </w:pPr>
            <w:r>
              <w:rPr>
                <w:rFonts w:hint="eastAsia" w:ascii="仿宋" w:hAnsi="仿宋" w:eastAsia="仿宋" w:cs="仿宋"/>
                <w:szCs w:val="21"/>
              </w:rPr>
              <w:t xml:space="preserve">        某供应商报价</w:t>
            </w:r>
          </w:p>
          <w:p>
            <w:pPr>
              <w:pStyle w:val="10"/>
              <w:spacing w:line="320" w:lineRule="exact"/>
              <w:ind w:left="102" w:leftChars="0" w:hanging="102" w:firstLineChars="0"/>
              <w:jc w:val="center"/>
              <w:rPr>
                <w:rFonts w:ascii="仿宋" w:hAnsi="仿宋" w:eastAsia="仿宋" w:cs="仿宋"/>
                <w:szCs w:val="21"/>
              </w:rPr>
            </w:pPr>
          </w:p>
          <w:p>
            <w:pPr>
              <w:pStyle w:val="10"/>
              <w:spacing w:line="320" w:lineRule="exact"/>
              <w:ind w:left="0" w:leftChars="0" w:firstLine="0" w:firstLineChars="0"/>
              <w:jc w:val="left"/>
              <w:rPr>
                <w:rFonts w:ascii="仿宋" w:hAnsi="仿宋" w:eastAsia="仿宋" w:cs="仿宋"/>
                <w:szCs w:val="21"/>
              </w:rPr>
            </w:pPr>
            <w:r>
              <w:rPr>
                <w:rFonts w:hint="eastAsia" w:ascii="仿宋" w:hAnsi="仿宋" w:eastAsia="仿宋" w:cs="仿宋"/>
                <w:szCs w:val="21"/>
              </w:rPr>
              <w:t>（3）参与竞标的小型、微型企业提供本企业服务的（必须符合以下情形，并以竞标文件提供的有关证明材料为准），对供应商的竞标价给予20%的扣除，扣除后的价格为评标价，即评标价=竞标价×（1-20%）；否则，评标价=竞标价。</w:t>
            </w:r>
          </w:p>
          <w:p>
            <w:pPr>
              <w:pStyle w:val="10"/>
              <w:spacing w:line="320" w:lineRule="exact"/>
              <w:ind w:left="0" w:leftChars="0" w:firstLine="0" w:firstLineChars="0"/>
              <w:jc w:val="left"/>
              <w:rPr>
                <w:rFonts w:ascii="仿宋" w:hAnsi="仿宋" w:eastAsia="仿宋" w:cs="仿宋"/>
                <w:szCs w:val="21"/>
              </w:rPr>
            </w:pPr>
            <w:r>
              <w:rPr>
                <w:rFonts w:hint="eastAsia" w:ascii="仿宋" w:hAnsi="仿宋" w:eastAsia="仿宋" w:cs="仿宋"/>
                <w:szCs w:val="21"/>
              </w:rPr>
              <w:t>参与竞标的小型、微型企业提供本企业服务的，必须同时提供以下资料：</w:t>
            </w:r>
          </w:p>
          <w:p>
            <w:pPr>
              <w:pStyle w:val="10"/>
              <w:spacing w:line="320" w:lineRule="exact"/>
              <w:ind w:left="0" w:leftChars="0" w:firstLine="0" w:firstLineChars="0"/>
              <w:jc w:val="left"/>
              <w:rPr>
                <w:rFonts w:ascii="仿宋" w:hAnsi="仿宋" w:eastAsia="仿宋" w:cs="仿宋"/>
                <w:szCs w:val="21"/>
              </w:rPr>
            </w:pPr>
            <w:r>
              <w:rPr>
                <w:rFonts w:hint="eastAsia" w:ascii="仿宋" w:hAnsi="仿宋" w:eastAsia="仿宋" w:cs="仿宋"/>
                <w:szCs w:val="21"/>
              </w:rPr>
              <w:t xml:space="preserve"> a.小型、微型企业声明函；</w:t>
            </w:r>
          </w:p>
          <w:p>
            <w:pPr>
              <w:spacing w:line="360" w:lineRule="auto"/>
              <w:rPr>
                <w:rFonts w:ascii="仿宋" w:hAnsi="仿宋" w:eastAsia="仿宋" w:cs="仿宋"/>
                <w:bCs/>
              </w:rPr>
            </w:pPr>
            <w:r>
              <w:rPr>
                <w:rFonts w:hint="eastAsia" w:ascii="仿宋" w:hAnsi="仿宋" w:eastAsia="仿宋" w:cs="仿宋"/>
              </w:rPr>
              <w:t xml:space="preserve"> b.符合《工业和信息化部、国家统计局、国家发展和改革委员会、财政部关于印发中小企业划型标准规定的通知》（工信部联企业[2011]300号）规定的证明材料；或符合《关于政府采购支持监狱企业发展有关问题的通知》(财库[2014]68号)规定的证明材料；或符合《关于促进残疾人就业政府采购政策的通知》(财库〔2017〕141号)规定的《残疾人福利性单位声明函》。</w:t>
            </w:r>
          </w:p>
        </w:tc>
        <w:tc>
          <w:tcPr>
            <w:tcW w:w="722" w:type="dxa"/>
          </w:tcPr>
          <w:p>
            <w:pPr>
              <w:spacing w:line="360" w:lineRule="auto"/>
              <w:rPr>
                <w:rFonts w:ascii="仿宋" w:hAnsi="仿宋" w:eastAsia="仿宋" w:cs="仿宋"/>
                <w:bCs/>
              </w:rPr>
            </w:pPr>
            <w:r>
              <w:rPr>
                <w:rFonts w:hint="eastAsia" w:ascii="仿宋" w:hAnsi="仿宋" w:eastAsia="仿宋" w:cs="仿宋"/>
                <w:bCs/>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809" w:type="dxa"/>
          </w:tcPr>
          <w:p>
            <w:pPr>
              <w:spacing w:line="360" w:lineRule="auto"/>
              <w:rPr>
                <w:rFonts w:ascii="仿宋" w:hAnsi="仿宋" w:eastAsia="仿宋" w:cs="仿宋"/>
                <w:bCs/>
              </w:rPr>
            </w:pPr>
            <w:r>
              <w:rPr>
                <w:rFonts w:hint="eastAsia" w:ascii="仿宋" w:hAnsi="仿宋" w:eastAsia="仿宋" w:cs="仿宋"/>
                <w:bCs/>
              </w:rPr>
              <w:t>2</w:t>
            </w:r>
          </w:p>
        </w:tc>
        <w:tc>
          <w:tcPr>
            <w:tcW w:w="1126" w:type="dxa"/>
          </w:tcPr>
          <w:p>
            <w:pPr>
              <w:spacing w:line="360" w:lineRule="auto"/>
              <w:rPr>
                <w:rFonts w:ascii="仿宋" w:hAnsi="仿宋" w:eastAsia="仿宋" w:cs="仿宋"/>
                <w:bCs/>
              </w:rPr>
            </w:pPr>
            <w:r>
              <w:rPr>
                <w:rFonts w:hint="eastAsia" w:ascii="仿宋" w:hAnsi="仿宋" w:eastAsia="仿宋" w:cs="仿宋"/>
                <w:bCs/>
              </w:rPr>
              <w:t>技术</w:t>
            </w:r>
          </w:p>
        </w:tc>
        <w:tc>
          <w:tcPr>
            <w:tcW w:w="7067" w:type="dxa"/>
          </w:tcPr>
          <w:p>
            <w:pPr>
              <w:spacing w:line="360" w:lineRule="auto"/>
              <w:rPr>
                <w:rFonts w:ascii="仿宋" w:hAnsi="仿宋" w:eastAsia="仿宋" w:cs="仿宋"/>
                <w:bCs/>
              </w:rPr>
            </w:pPr>
            <w:r>
              <w:rPr>
                <w:rFonts w:hint="eastAsia" w:ascii="仿宋" w:hAnsi="仿宋" w:eastAsia="仿宋" w:cs="仿宋"/>
                <w:bCs/>
              </w:rPr>
              <w:t>技术标</w:t>
            </w:r>
          </w:p>
        </w:tc>
        <w:tc>
          <w:tcPr>
            <w:tcW w:w="722" w:type="dxa"/>
          </w:tcPr>
          <w:p>
            <w:pPr>
              <w:spacing w:line="360" w:lineRule="auto"/>
              <w:rPr>
                <w:rFonts w:ascii="仿宋" w:hAnsi="仿宋" w:eastAsia="仿宋" w:cs="仿宋"/>
                <w:bCs/>
              </w:rPr>
            </w:pPr>
            <w:r>
              <w:rPr>
                <w:rFonts w:hint="eastAsia" w:ascii="仿宋" w:hAnsi="仿宋" w:eastAsia="仿宋" w:cs="仿宋"/>
                <w:bCs/>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trPr>
        <w:tc>
          <w:tcPr>
            <w:tcW w:w="809" w:type="dxa"/>
          </w:tcPr>
          <w:p>
            <w:pPr>
              <w:spacing w:line="360" w:lineRule="auto"/>
              <w:rPr>
                <w:rFonts w:ascii="仿宋" w:hAnsi="仿宋" w:eastAsia="仿宋" w:cs="仿宋"/>
                <w:bCs/>
              </w:rPr>
            </w:pPr>
            <w:r>
              <w:rPr>
                <w:rFonts w:hint="eastAsia" w:ascii="仿宋" w:hAnsi="仿宋" w:eastAsia="仿宋" w:cs="仿宋"/>
                <w:bCs/>
              </w:rPr>
              <w:t>2.1</w:t>
            </w:r>
          </w:p>
        </w:tc>
        <w:tc>
          <w:tcPr>
            <w:tcW w:w="1126" w:type="dxa"/>
          </w:tcPr>
          <w:p>
            <w:pPr>
              <w:spacing w:line="360" w:lineRule="auto"/>
              <w:jc w:val="left"/>
              <w:rPr>
                <w:rFonts w:ascii="仿宋" w:hAnsi="仿宋" w:eastAsia="仿宋" w:cs="仿宋"/>
              </w:rPr>
            </w:pPr>
            <w:r>
              <w:rPr>
                <w:rFonts w:hint="eastAsia" w:ascii="仿宋" w:hAnsi="仿宋" w:eastAsia="仿宋" w:cs="仿宋"/>
              </w:rPr>
              <w:t>系统功能配置分（不提供不得分）</w:t>
            </w:r>
          </w:p>
        </w:tc>
        <w:tc>
          <w:tcPr>
            <w:tcW w:w="7067" w:type="dxa"/>
          </w:tcPr>
          <w:p>
            <w:pPr>
              <w:spacing w:line="360" w:lineRule="auto"/>
              <w:rPr>
                <w:rFonts w:ascii="仿宋" w:hAnsi="仿宋" w:eastAsia="仿宋" w:cs="仿宋"/>
              </w:rPr>
            </w:pPr>
            <w:r>
              <w:rPr>
                <w:rFonts w:hint="eastAsia" w:ascii="仿宋" w:hAnsi="仿宋" w:eastAsia="仿宋" w:cs="仿宋"/>
              </w:rPr>
              <w:t>技术参数响应。“▲”的技术参数不允许负偏离，否则投标无效。，普通参数每条不符合扣5分，扣完为止。</w:t>
            </w:r>
          </w:p>
          <w:p>
            <w:pPr>
              <w:spacing w:line="360" w:lineRule="auto"/>
              <w:ind w:firstLine="420" w:firstLineChars="200"/>
              <w:rPr>
                <w:rFonts w:ascii="仿宋" w:hAnsi="仿宋" w:eastAsia="仿宋" w:cs="仿宋"/>
              </w:rPr>
            </w:pPr>
            <w:r>
              <w:rPr>
                <w:rFonts w:hint="eastAsia" w:ascii="仿宋" w:hAnsi="仿宋" w:eastAsia="仿宋" w:cs="仿宋"/>
              </w:rPr>
              <w:t>注：投标人须提供所投产品满足功能要求的相关证明材料，若不能提供、提供不齐全或未按要求提供的，评标委员会按照负偏离进行扣分。</w:t>
            </w:r>
          </w:p>
        </w:tc>
        <w:tc>
          <w:tcPr>
            <w:tcW w:w="722" w:type="dxa"/>
          </w:tcPr>
          <w:p>
            <w:pPr>
              <w:spacing w:line="360" w:lineRule="auto"/>
              <w:rPr>
                <w:rFonts w:ascii="仿宋" w:hAnsi="仿宋" w:eastAsia="仿宋" w:cs="仿宋"/>
                <w:bCs/>
              </w:rPr>
            </w:pPr>
            <w:r>
              <w:rPr>
                <w:rFonts w:hint="eastAsia" w:ascii="仿宋" w:hAnsi="仿宋" w:eastAsia="仿宋" w:cs="仿宋"/>
                <w:bCs/>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2" w:hRule="atLeast"/>
        </w:trPr>
        <w:tc>
          <w:tcPr>
            <w:tcW w:w="809" w:type="dxa"/>
          </w:tcPr>
          <w:p>
            <w:pPr>
              <w:spacing w:line="360" w:lineRule="auto"/>
              <w:rPr>
                <w:rFonts w:ascii="仿宋" w:hAnsi="仿宋" w:eastAsia="仿宋" w:cs="仿宋"/>
                <w:bCs/>
              </w:rPr>
            </w:pPr>
            <w:r>
              <w:rPr>
                <w:rFonts w:hint="eastAsia" w:ascii="仿宋" w:hAnsi="仿宋" w:eastAsia="仿宋" w:cs="仿宋"/>
                <w:bCs/>
              </w:rPr>
              <w:t>2.2</w:t>
            </w:r>
          </w:p>
        </w:tc>
        <w:tc>
          <w:tcPr>
            <w:tcW w:w="1126" w:type="dxa"/>
          </w:tcPr>
          <w:p>
            <w:pPr>
              <w:spacing w:line="360" w:lineRule="auto"/>
              <w:jc w:val="center"/>
              <w:rPr>
                <w:rFonts w:ascii="仿宋" w:hAnsi="仿宋" w:eastAsia="仿宋" w:cs="仿宋"/>
                <w:bCs/>
              </w:rPr>
            </w:pPr>
            <w:r>
              <w:rPr>
                <w:rFonts w:hint="eastAsia" w:ascii="仿宋" w:hAnsi="仿宋" w:eastAsia="仿宋" w:cs="仿宋"/>
                <w:bCs/>
              </w:rPr>
              <w:t>项目实施方案分（不提供不得分）</w:t>
            </w:r>
          </w:p>
        </w:tc>
        <w:tc>
          <w:tcPr>
            <w:tcW w:w="7067" w:type="dxa"/>
          </w:tcPr>
          <w:p>
            <w:pPr>
              <w:spacing w:line="360" w:lineRule="auto"/>
              <w:ind w:firstLine="420" w:firstLineChars="200"/>
              <w:rPr>
                <w:rFonts w:ascii="仿宋" w:hAnsi="仿宋" w:eastAsia="仿宋" w:cs="仿宋"/>
              </w:rPr>
            </w:pPr>
            <w:r>
              <w:rPr>
                <w:rFonts w:hint="eastAsia" w:ascii="仿宋" w:hAnsi="仿宋" w:eastAsia="仿宋" w:cs="仿宋"/>
              </w:rPr>
              <w:t>一档（5分）：供应商对本项目内容进行了简单阐述，对本项目的特点、实施难点、工作重点描述简单粗糙，配送、人员安排、培训方案等方面规划准备差，没有针对性得5分。</w:t>
            </w:r>
          </w:p>
          <w:p>
            <w:pPr>
              <w:spacing w:line="360" w:lineRule="auto"/>
              <w:ind w:firstLine="420" w:firstLineChars="200"/>
              <w:rPr>
                <w:rFonts w:ascii="仿宋" w:hAnsi="仿宋" w:eastAsia="仿宋" w:cs="仿宋"/>
              </w:rPr>
            </w:pPr>
            <w:r>
              <w:rPr>
                <w:rFonts w:hint="eastAsia" w:ascii="仿宋" w:hAnsi="仿宋" w:eastAsia="仿宋" w:cs="仿宋"/>
              </w:rPr>
              <w:t>二挡（10分）：供应商对本项目内容进行了阐述，对本项目的特点、实施难点、工作重点描述一般，配送、人员安排、培训方案等方面规划准备一般，有针对性，但不够强的得10分。</w:t>
            </w:r>
          </w:p>
          <w:p>
            <w:pPr>
              <w:spacing w:line="360" w:lineRule="auto"/>
              <w:ind w:firstLine="420" w:firstLineChars="200"/>
              <w:rPr>
                <w:rFonts w:ascii="仿宋" w:hAnsi="仿宋" w:eastAsia="仿宋" w:cs="仿宋"/>
              </w:rPr>
            </w:pPr>
            <w:r>
              <w:rPr>
                <w:rFonts w:hint="eastAsia" w:ascii="仿宋" w:hAnsi="仿宋" w:eastAsia="仿宋" w:cs="仿宋"/>
              </w:rPr>
              <w:t>三挡（15分）：供应商对本项目内容完全了解和熟悉的，进行全面阐述，对本项目的特点、实施难点、设备及系统安装工作重点描述准确，配送、人员安排、培训方案等方面规划准备充足，有针对性，从准备、实施、到安装、培训、验收合格并交付使用每一道工序都能较详尽的阐述的得15分。</w:t>
            </w:r>
          </w:p>
        </w:tc>
        <w:tc>
          <w:tcPr>
            <w:tcW w:w="722" w:type="dxa"/>
          </w:tcPr>
          <w:p>
            <w:pPr>
              <w:spacing w:line="360" w:lineRule="auto"/>
              <w:rPr>
                <w:rFonts w:ascii="仿宋" w:hAnsi="仿宋" w:eastAsia="仿宋" w:cs="仿宋"/>
                <w:bCs/>
              </w:rPr>
            </w:pPr>
            <w:r>
              <w:rPr>
                <w:rFonts w:hint="eastAsia" w:ascii="仿宋" w:hAnsi="仿宋" w:eastAsia="仿宋" w:cs="仿宋"/>
                <w:bCs/>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09" w:type="dxa"/>
          </w:tcPr>
          <w:p>
            <w:pPr>
              <w:spacing w:line="360" w:lineRule="auto"/>
              <w:rPr>
                <w:rFonts w:ascii="仿宋" w:hAnsi="仿宋" w:eastAsia="仿宋" w:cs="仿宋"/>
                <w:bCs/>
              </w:rPr>
            </w:pPr>
            <w:r>
              <w:rPr>
                <w:rFonts w:hint="eastAsia" w:ascii="仿宋" w:hAnsi="仿宋" w:eastAsia="仿宋" w:cs="仿宋"/>
                <w:bCs/>
              </w:rPr>
              <w:t>2.3</w:t>
            </w:r>
          </w:p>
        </w:tc>
        <w:tc>
          <w:tcPr>
            <w:tcW w:w="1126" w:type="dxa"/>
          </w:tcPr>
          <w:p>
            <w:pPr>
              <w:spacing w:line="360" w:lineRule="auto"/>
              <w:jc w:val="center"/>
              <w:rPr>
                <w:rFonts w:ascii="仿宋" w:hAnsi="仿宋" w:eastAsia="仿宋" w:cs="仿宋"/>
                <w:bCs/>
              </w:rPr>
            </w:pPr>
            <w:r>
              <w:rPr>
                <w:rFonts w:hint="eastAsia" w:ascii="仿宋" w:hAnsi="仿宋" w:eastAsia="仿宋" w:cs="仿宋"/>
                <w:bCs/>
              </w:rPr>
              <w:t>售后服务分</w:t>
            </w:r>
          </w:p>
        </w:tc>
        <w:tc>
          <w:tcPr>
            <w:tcW w:w="7067" w:type="dxa"/>
          </w:tcPr>
          <w:p>
            <w:pPr>
              <w:spacing w:line="360" w:lineRule="auto"/>
              <w:ind w:firstLine="420" w:firstLineChars="200"/>
              <w:rPr>
                <w:rFonts w:ascii="仿宋" w:hAnsi="仿宋" w:eastAsia="仿宋" w:cs="仿宋"/>
                <w:bCs/>
              </w:rPr>
            </w:pPr>
            <w:r>
              <w:rPr>
                <w:rFonts w:hint="eastAsia" w:ascii="仿宋" w:hAnsi="仿宋" w:eastAsia="仿宋" w:cs="仿宋"/>
                <w:bCs/>
              </w:rPr>
              <w:t>1）售后服务方案分（12分）</w:t>
            </w:r>
          </w:p>
          <w:p>
            <w:pPr>
              <w:spacing w:line="360" w:lineRule="auto"/>
              <w:ind w:firstLine="420" w:firstLineChars="200"/>
              <w:rPr>
                <w:rFonts w:ascii="仿宋" w:hAnsi="仿宋" w:eastAsia="仿宋" w:cs="仿宋"/>
                <w:bCs/>
              </w:rPr>
            </w:pPr>
            <w:r>
              <w:rPr>
                <w:rFonts w:hint="eastAsia" w:ascii="仿宋" w:hAnsi="仿宋" w:eastAsia="仿宋" w:cs="仿宋"/>
                <w:bCs/>
              </w:rPr>
              <w:t>不提供相关内容或方案得0分</w:t>
            </w:r>
          </w:p>
          <w:p>
            <w:pPr>
              <w:spacing w:line="360" w:lineRule="auto"/>
              <w:ind w:firstLine="420" w:firstLineChars="200"/>
              <w:rPr>
                <w:rFonts w:ascii="仿宋" w:hAnsi="仿宋" w:eastAsia="仿宋" w:cs="仿宋"/>
                <w:bCs/>
              </w:rPr>
            </w:pPr>
            <w:r>
              <w:rPr>
                <w:rFonts w:hint="eastAsia" w:ascii="仿宋" w:hAnsi="仿宋" w:eastAsia="仿宋" w:cs="仿宋"/>
                <w:bCs/>
              </w:rPr>
              <w:t>一档（4分）：售后服务方案仅基本满足采购需求，售后服务方案一般；</w:t>
            </w:r>
          </w:p>
          <w:p>
            <w:pPr>
              <w:spacing w:line="360" w:lineRule="auto"/>
              <w:ind w:firstLine="420" w:firstLineChars="200"/>
              <w:rPr>
                <w:rFonts w:ascii="仿宋" w:hAnsi="仿宋" w:eastAsia="仿宋" w:cs="仿宋"/>
                <w:bCs/>
              </w:rPr>
            </w:pPr>
            <w:r>
              <w:rPr>
                <w:rFonts w:hint="eastAsia" w:ascii="仿宋" w:hAnsi="仿宋" w:eastAsia="仿宋" w:cs="仿宋"/>
                <w:bCs/>
              </w:rPr>
              <w:t>二档（8分）：售后服务方案具体，满足采购需求，有较具体的售后服务保障措施，拟投入的售后服务人员能保障售后服务水平。</w:t>
            </w:r>
          </w:p>
          <w:p>
            <w:pPr>
              <w:spacing w:line="360" w:lineRule="auto"/>
              <w:ind w:firstLine="420" w:firstLineChars="200"/>
              <w:rPr>
                <w:rFonts w:ascii="仿宋" w:hAnsi="仿宋" w:eastAsia="仿宋" w:cs="仿宋"/>
                <w:bCs/>
              </w:rPr>
            </w:pPr>
            <w:r>
              <w:rPr>
                <w:rFonts w:hint="eastAsia" w:ascii="仿宋" w:hAnsi="仿宋" w:eastAsia="仿宋" w:cs="仿宋"/>
                <w:bCs/>
              </w:rPr>
              <w:t>三档（12分）：售后服务方案详细，部分指标优于采购需求，售后服务方案详实具体、科学合理，有全面、完善的售后服务保障措施，拟投入的售后服务人员有相关能力、经验，能保障售后服务水平。</w:t>
            </w:r>
          </w:p>
          <w:p>
            <w:pPr>
              <w:spacing w:line="360" w:lineRule="auto"/>
              <w:ind w:firstLine="420" w:firstLineChars="200"/>
              <w:rPr>
                <w:rFonts w:ascii="仿宋" w:hAnsi="仿宋" w:eastAsia="仿宋" w:cs="仿宋"/>
                <w:bCs/>
              </w:rPr>
            </w:pPr>
            <w:r>
              <w:rPr>
                <w:rFonts w:hint="eastAsia" w:ascii="仿宋" w:hAnsi="仿宋" w:eastAsia="仿宋" w:cs="仿宋"/>
                <w:bCs/>
              </w:rPr>
              <w:t>2）售后服务响应能力（8分）</w:t>
            </w:r>
          </w:p>
          <w:p>
            <w:pPr>
              <w:spacing w:line="360" w:lineRule="auto"/>
              <w:ind w:firstLine="420" w:firstLineChars="200"/>
              <w:rPr>
                <w:rFonts w:ascii="仿宋" w:hAnsi="仿宋" w:eastAsia="仿宋" w:cs="仿宋"/>
                <w:bCs/>
              </w:rPr>
            </w:pPr>
            <w:r>
              <w:rPr>
                <w:rFonts w:hint="eastAsia" w:ascii="仿宋" w:hAnsi="仿宋" w:eastAsia="仿宋" w:cs="仿宋"/>
                <w:bCs/>
              </w:rPr>
              <w:t>一档（2分）：接到报修电话，能远程解决的，承诺在30分钟内提供远程协助，故障服务的现场响应时间为6小时，在系统故障出现短时间（6小时）内无法恢复，并严重影响业务系统正常运行的情况下，供应商应保证在12小时内，采取应急措施使业务系统尽快恢复运行。</w:t>
            </w:r>
          </w:p>
          <w:p>
            <w:pPr>
              <w:spacing w:line="360" w:lineRule="auto"/>
              <w:ind w:firstLine="420" w:firstLineChars="200"/>
              <w:rPr>
                <w:rFonts w:ascii="仿宋" w:hAnsi="仿宋" w:eastAsia="仿宋" w:cs="仿宋"/>
                <w:bCs/>
              </w:rPr>
            </w:pPr>
            <w:r>
              <w:rPr>
                <w:rFonts w:hint="eastAsia" w:ascii="仿宋" w:hAnsi="仿宋" w:eastAsia="仿宋" w:cs="仿宋"/>
                <w:bCs/>
              </w:rPr>
              <w:t>二档（5分）：接到报修电话，能远程解决的，承诺在30分钟内提供远程协助，故障服务的现场响应时间为5小时，在系统故障出现短时间（5小时）内无法恢复，并严重影响业务系统正常运行的情况下，供应商应保证在11小时内，采取应急措施使业务系统尽快恢复运行。</w:t>
            </w:r>
          </w:p>
          <w:p>
            <w:pPr>
              <w:spacing w:line="360" w:lineRule="auto"/>
              <w:ind w:firstLine="420" w:firstLineChars="200"/>
              <w:rPr>
                <w:rFonts w:ascii="仿宋" w:hAnsi="仿宋" w:eastAsia="仿宋" w:cs="仿宋"/>
                <w:bCs/>
              </w:rPr>
            </w:pPr>
            <w:r>
              <w:rPr>
                <w:rFonts w:hint="eastAsia" w:ascii="仿宋" w:hAnsi="仿宋" w:eastAsia="仿宋" w:cs="仿宋"/>
                <w:bCs/>
              </w:rPr>
              <w:t>三档（8分）：接到报修电话，能远程解决的，承诺在30分钟内提供远程协助，故障服务的现场响应时间为4小时，在系统故障出现短时间（4小时）内无法恢复，并严重影响业务系统正常运行的情况下，供应商应保证在10小时内，采取应急措施使业务系统尽快恢复运行。</w:t>
            </w:r>
          </w:p>
        </w:tc>
        <w:tc>
          <w:tcPr>
            <w:tcW w:w="722" w:type="dxa"/>
          </w:tcPr>
          <w:p>
            <w:pPr>
              <w:spacing w:line="360" w:lineRule="auto"/>
              <w:rPr>
                <w:rFonts w:ascii="仿宋" w:hAnsi="仿宋" w:eastAsia="仿宋" w:cs="仿宋"/>
                <w:bCs/>
              </w:rPr>
            </w:pPr>
            <w:r>
              <w:rPr>
                <w:rFonts w:hint="eastAsia" w:ascii="仿宋" w:hAnsi="仿宋" w:eastAsia="仿宋" w:cs="仿宋"/>
                <w:bCs/>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809" w:type="dxa"/>
            <w:vMerge w:val="restart"/>
          </w:tcPr>
          <w:p>
            <w:pPr>
              <w:spacing w:line="360" w:lineRule="auto"/>
              <w:ind w:firstLine="420" w:firstLineChars="200"/>
              <w:jc w:val="left"/>
              <w:rPr>
                <w:rFonts w:ascii="仿宋" w:hAnsi="仿宋" w:eastAsia="仿宋" w:cs="仿宋"/>
                <w:bCs/>
              </w:rPr>
            </w:pPr>
            <w:r>
              <w:rPr>
                <w:rFonts w:hint="eastAsia" w:ascii="仿宋" w:hAnsi="仿宋" w:eastAsia="仿宋" w:cs="仿宋"/>
                <w:bCs/>
              </w:rPr>
              <w:t>3</w:t>
            </w:r>
          </w:p>
        </w:tc>
        <w:tc>
          <w:tcPr>
            <w:tcW w:w="1126" w:type="dxa"/>
            <w:vMerge w:val="restart"/>
          </w:tcPr>
          <w:p>
            <w:pPr>
              <w:spacing w:line="360" w:lineRule="auto"/>
              <w:rPr>
                <w:rFonts w:ascii="仿宋" w:hAnsi="仿宋" w:eastAsia="仿宋" w:cs="仿宋"/>
                <w:bCs/>
              </w:rPr>
            </w:pPr>
            <w:r>
              <w:rPr>
                <w:rFonts w:hint="eastAsia" w:ascii="仿宋" w:hAnsi="仿宋" w:eastAsia="仿宋" w:cs="仿宋"/>
                <w:bCs/>
              </w:rPr>
              <w:t>商务资信</w:t>
            </w:r>
          </w:p>
          <w:p>
            <w:pPr>
              <w:spacing w:line="360" w:lineRule="auto"/>
              <w:rPr>
                <w:rFonts w:ascii="仿宋" w:hAnsi="仿宋" w:eastAsia="仿宋" w:cs="仿宋"/>
                <w:bCs/>
              </w:rPr>
            </w:pPr>
            <w:r>
              <w:rPr>
                <w:rFonts w:hint="eastAsia" w:ascii="仿宋" w:hAnsi="仿宋" w:eastAsia="仿宋" w:cs="仿宋"/>
                <w:bCs/>
              </w:rPr>
              <w:t>（满分15分）</w:t>
            </w:r>
          </w:p>
        </w:tc>
        <w:tc>
          <w:tcPr>
            <w:tcW w:w="7067" w:type="dxa"/>
          </w:tcPr>
          <w:p>
            <w:pPr>
              <w:spacing w:line="360" w:lineRule="auto"/>
              <w:ind w:firstLine="420" w:firstLineChars="200"/>
              <w:rPr>
                <w:rFonts w:ascii="仿宋" w:hAnsi="仿宋" w:eastAsia="仿宋" w:cs="仿宋"/>
                <w:bCs/>
              </w:rPr>
            </w:pPr>
            <w:r>
              <w:rPr>
                <w:rFonts w:hint="eastAsia" w:ascii="仿宋" w:hAnsi="仿宋" w:eastAsia="仿宋" w:cs="仿宋"/>
                <w:bCs/>
              </w:rPr>
              <w:t>集成开发能力。为证明产品集成开发能力，提供产品获得的由SEI组织官方注册认证的“CMMI能力成熟度五级证书”复印件。满足5级得3分，5级以下得1分，不提供不得分。</w:t>
            </w:r>
          </w:p>
        </w:tc>
        <w:tc>
          <w:tcPr>
            <w:tcW w:w="722" w:type="dxa"/>
          </w:tcPr>
          <w:p>
            <w:pPr>
              <w:spacing w:line="360" w:lineRule="auto"/>
              <w:rPr>
                <w:rFonts w:ascii="仿宋" w:hAnsi="仿宋" w:eastAsia="仿宋" w:cs="仿宋"/>
                <w:bCs/>
              </w:rPr>
            </w:pPr>
            <w:r>
              <w:rPr>
                <w:rFonts w:hint="eastAsia" w:ascii="仿宋" w:hAnsi="仿宋" w:eastAsia="仿宋" w:cs="仿宋"/>
                <w:bCs/>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09" w:type="dxa"/>
            <w:vMerge w:val="continue"/>
          </w:tcPr>
          <w:p>
            <w:pPr>
              <w:spacing w:line="360" w:lineRule="auto"/>
              <w:ind w:firstLine="420" w:firstLineChars="200"/>
              <w:jc w:val="left"/>
              <w:rPr>
                <w:rFonts w:ascii="仿宋" w:hAnsi="仿宋" w:eastAsia="仿宋" w:cs="仿宋"/>
                <w:bCs/>
              </w:rPr>
            </w:pPr>
          </w:p>
        </w:tc>
        <w:tc>
          <w:tcPr>
            <w:tcW w:w="1126" w:type="dxa"/>
            <w:vMerge w:val="continue"/>
          </w:tcPr>
          <w:p>
            <w:pPr>
              <w:spacing w:line="360" w:lineRule="auto"/>
              <w:ind w:firstLine="420" w:firstLineChars="200"/>
              <w:rPr>
                <w:rFonts w:ascii="仿宋" w:hAnsi="仿宋" w:eastAsia="仿宋" w:cs="仿宋"/>
                <w:bCs/>
              </w:rPr>
            </w:pPr>
          </w:p>
        </w:tc>
        <w:tc>
          <w:tcPr>
            <w:tcW w:w="7067" w:type="dxa"/>
          </w:tcPr>
          <w:p>
            <w:pPr>
              <w:spacing w:line="360" w:lineRule="auto"/>
              <w:ind w:firstLine="420" w:firstLineChars="200"/>
              <w:rPr>
                <w:rFonts w:ascii="仿宋" w:hAnsi="仿宋" w:eastAsia="仿宋" w:cs="仿宋"/>
                <w:bCs/>
              </w:rPr>
            </w:pPr>
            <w:r>
              <w:rPr>
                <w:rFonts w:hint="eastAsia" w:ascii="仿宋" w:hAnsi="仿宋" w:eastAsia="仿宋" w:cs="仿宋"/>
                <w:bCs/>
              </w:rPr>
              <w:t>管理体系认证。提供产品获得的由第三方认证机构认证的“知识产权管理体系认证证书”的复印件证明。提供得4分，不提供不得分。</w:t>
            </w:r>
          </w:p>
        </w:tc>
        <w:tc>
          <w:tcPr>
            <w:tcW w:w="722" w:type="dxa"/>
          </w:tcPr>
          <w:p>
            <w:pPr>
              <w:spacing w:line="360" w:lineRule="auto"/>
              <w:rPr>
                <w:rFonts w:ascii="仿宋" w:hAnsi="仿宋" w:eastAsia="仿宋" w:cs="仿宋"/>
                <w:bCs/>
              </w:rPr>
            </w:pPr>
            <w:r>
              <w:rPr>
                <w:rFonts w:hint="eastAsia" w:ascii="仿宋" w:hAnsi="仿宋" w:eastAsia="仿宋" w:cs="仿宋"/>
                <w:bCs/>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809" w:type="dxa"/>
            <w:vMerge w:val="continue"/>
          </w:tcPr>
          <w:p>
            <w:pPr>
              <w:spacing w:line="360" w:lineRule="auto"/>
              <w:ind w:firstLine="420" w:firstLineChars="200"/>
              <w:jc w:val="left"/>
              <w:rPr>
                <w:rFonts w:ascii="仿宋" w:hAnsi="仿宋" w:eastAsia="仿宋" w:cs="仿宋"/>
                <w:bCs/>
              </w:rPr>
            </w:pPr>
          </w:p>
        </w:tc>
        <w:tc>
          <w:tcPr>
            <w:tcW w:w="1126" w:type="dxa"/>
            <w:vMerge w:val="continue"/>
          </w:tcPr>
          <w:p>
            <w:pPr>
              <w:spacing w:line="360" w:lineRule="auto"/>
              <w:ind w:firstLine="420" w:firstLineChars="200"/>
              <w:rPr>
                <w:rFonts w:ascii="仿宋" w:hAnsi="仿宋" w:eastAsia="仿宋" w:cs="仿宋"/>
                <w:bCs/>
              </w:rPr>
            </w:pPr>
          </w:p>
        </w:tc>
        <w:tc>
          <w:tcPr>
            <w:tcW w:w="7067" w:type="dxa"/>
          </w:tcPr>
          <w:p>
            <w:pPr>
              <w:spacing w:line="360" w:lineRule="auto"/>
              <w:ind w:firstLine="420" w:firstLineChars="200"/>
              <w:rPr>
                <w:rFonts w:ascii="仿宋" w:hAnsi="仿宋" w:eastAsia="仿宋" w:cs="仿宋"/>
                <w:bCs/>
              </w:rPr>
            </w:pPr>
            <w:r>
              <w:rPr>
                <w:rFonts w:hint="eastAsia" w:ascii="仿宋" w:hAnsi="仿宋" w:eastAsia="仿宋" w:cs="仿宋"/>
                <w:bCs/>
              </w:rPr>
              <w:t>信息安全认证资质。为保证供应商在应用软件开发与运维、信息系统集成、硬件开发与运维相关的信息安全管理体系活动，提供产品获得的由中国质量认证中心颁发的“信息安全管理体系认证证书”复印件证明。提供资质证明得4分，不提供不得分。</w:t>
            </w:r>
          </w:p>
        </w:tc>
        <w:tc>
          <w:tcPr>
            <w:tcW w:w="722" w:type="dxa"/>
          </w:tcPr>
          <w:p>
            <w:pPr>
              <w:spacing w:line="360" w:lineRule="auto"/>
              <w:rPr>
                <w:rFonts w:ascii="仿宋" w:hAnsi="仿宋" w:eastAsia="仿宋" w:cs="仿宋"/>
                <w:bCs/>
              </w:rPr>
            </w:pPr>
            <w:r>
              <w:rPr>
                <w:rFonts w:hint="eastAsia" w:ascii="仿宋" w:hAnsi="仿宋" w:eastAsia="仿宋" w:cs="仿宋"/>
                <w:bCs/>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809" w:type="dxa"/>
            <w:vMerge w:val="continue"/>
          </w:tcPr>
          <w:p>
            <w:pPr>
              <w:spacing w:line="360" w:lineRule="auto"/>
              <w:ind w:firstLine="420" w:firstLineChars="200"/>
              <w:jc w:val="left"/>
              <w:rPr>
                <w:rFonts w:ascii="仿宋" w:hAnsi="仿宋" w:eastAsia="仿宋" w:cs="仿宋"/>
                <w:bCs/>
              </w:rPr>
            </w:pPr>
          </w:p>
        </w:tc>
        <w:tc>
          <w:tcPr>
            <w:tcW w:w="1126" w:type="dxa"/>
            <w:vMerge w:val="continue"/>
          </w:tcPr>
          <w:p>
            <w:pPr>
              <w:spacing w:line="360" w:lineRule="auto"/>
              <w:ind w:firstLine="420" w:firstLineChars="200"/>
              <w:rPr>
                <w:rFonts w:ascii="仿宋" w:hAnsi="仿宋" w:eastAsia="仿宋" w:cs="仿宋"/>
                <w:bCs/>
              </w:rPr>
            </w:pPr>
          </w:p>
        </w:tc>
        <w:tc>
          <w:tcPr>
            <w:tcW w:w="7067" w:type="dxa"/>
          </w:tcPr>
          <w:p>
            <w:pPr>
              <w:spacing w:line="360" w:lineRule="auto"/>
              <w:ind w:firstLine="420" w:firstLineChars="200"/>
              <w:rPr>
                <w:rFonts w:ascii="仿宋" w:hAnsi="仿宋" w:eastAsia="仿宋" w:cs="仿宋"/>
                <w:bCs/>
              </w:rPr>
            </w:pPr>
            <w:r>
              <w:rPr>
                <w:rFonts w:hint="eastAsia" w:ascii="仿宋" w:hAnsi="仿宋" w:eastAsia="仿宋" w:cs="仿宋"/>
                <w:bCs/>
              </w:rPr>
              <w:t>IT服务认证资质。为保证产品能够提供应用软件开发与维护、硬件运维的服务管理体系，提供产品获得的由中国质量认证中心颁发的“信息技术服务管理体系认证证书”复印件证明。提供资质证明得4分，不提供不得分。</w:t>
            </w:r>
          </w:p>
        </w:tc>
        <w:tc>
          <w:tcPr>
            <w:tcW w:w="722" w:type="dxa"/>
          </w:tcPr>
          <w:p>
            <w:pPr>
              <w:spacing w:line="360" w:lineRule="auto"/>
              <w:rPr>
                <w:rFonts w:ascii="仿宋" w:hAnsi="仿宋" w:eastAsia="仿宋" w:cs="仿宋"/>
                <w:bCs/>
              </w:rPr>
            </w:pPr>
            <w:r>
              <w:rPr>
                <w:rFonts w:hint="eastAsia" w:ascii="仿宋" w:hAnsi="仿宋" w:eastAsia="仿宋" w:cs="仿宋"/>
                <w:bCs/>
              </w:rPr>
              <w:t>0~4</w:t>
            </w:r>
          </w:p>
        </w:tc>
      </w:tr>
    </w:tbl>
    <w:p/>
    <w:p>
      <w:pPr>
        <w:pStyle w:val="6"/>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5"/>
    <w:multiLevelType w:val="multilevel"/>
    <w:tmpl w:val="00000005"/>
    <w:lvl w:ilvl="0" w:tentative="0">
      <w:start w:val="1"/>
      <w:numFmt w:val="decimal"/>
      <w:lvlText w:val="%1"/>
      <w:lvlJc w:val="center"/>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DBC1BBC"/>
    <w:multiLevelType w:val="multilevel"/>
    <w:tmpl w:val="0DBC1BBC"/>
    <w:lvl w:ilvl="0" w:tentative="0">
      <w:start w:val="1"/>
      <w:numFmt w:val="japaneseCounting"/>
      <w:lvlText w:val="%1、"/>
      <w:lvlJc w:val="left"/>
      <w:pPr>
        <w:ind w:left="-108" w:hanging="600"/>
      </w:pPr>
      <w:rPr>
        <w:rFonts w:hint="default"/>
      </w:rPr>
    </w:lvl>
    <w:lvl w:ilvl="1" w:tentative="0">
      <w:start w:val="1"/>
      <w:numFmt w:val="lowerLetter"/>
      <w:lvlText w:val="%2)"/>
      <w:lvlJc w:val="left"/>
      <w:pPr>
        <w:ind w:left="132" w:hanging="420"/>
      </w:pPr>
    </w:lvl>
    <w:lvl w:ilvl="2" w:tentative="0">
      <w:start w:val="1"/>
      <w:numFmt w:val="lowerRoman"/>
      <w:lvlText w:val="%3."/>
      <w:lvlJc w:val="right"/>
      <w:pPr>
        <w:ind w:left="552" w:hanging="420"/>
      </w:pPr>
    </w:lvl>
    <w:lvl w:ilvl="3" w:tentative="0">
      <w:start w:val="1"/>
      <w:numFmt w:val="decimal"/>
      <w:lvlText w:val="%4."/>
      <w:lvlJc w:val="left"/>
      <w:pPr>
        <w:ind w:left="972" w:hanging="420"/>
      </w:pPr>
    </w:lvl>
    <w:lvl w:ilvl="4" w:tentative="0">
      <w:start w:val="1"/>
      <w:numFmt w:val="lowerLetter"/>
      <w:lvlText w:val="%5)"/>
      <w:lvlJc w:val="left"/>
      <w:pPr>
        <w:ind w:left="1392" w:hanging="420"/>
      </w:pPr>
    </w:lvl>
    <w:lvl w:ilvl="5" w:tentative="0">
      <w:start w:val="1"/>
      <w:numFmt w:val="lowerRoman"/>
      <w:lvlText w:val="%6."/>
      <w:lvlJc w:val="right"/>
      <w:pPr>
        <w:ind w:left="1812" w:hanging="420"/>
      </w:pPr>
    </w:lvl>
    <w:lvl w:ilvl="6" w:tentative="0">
      <w:start w:val="1"/>
      <w:numFmt w:val="decimal"/>
      <w:lvlText w:val="%7."/>
      <w:lvlJc w:val="left"/>
      <w:pPr>
        <w:ind w:left="2232" w:hanging="420"/>
      </w:pPr>
    </w:lvl>
    <w:lvl w:ilvl="7" w:tentative="0">
      <w:start w:val="1"/>
      <w:numFmt w:val="lowerLetter"/>
      <w:lvlText w:val="%8)"/>
      <w:lvlJc w:val="left"/>
      <w:pPr>
        <w:ind w:left="2652" w:hanging="420"/>
      </w:pPr>
    </w:lvl>
    <w:lvl w:ilvl="8" w:tentative="0">
      <w:start w:val="1"/>
      <w:numFmt w:val="lowerRoman"/>
      <w:lvlText w:val="%9."/>
      <w:lvlJc w:val="right"/>
      <w:pPr>
        <w:ind w:left="3072" w:hanging="420"/>
      </w:pPr>
    </w:lvl>
  </w:abstractNum>
  <w:abstractNum w:abstractNumId="3">
    <w:nsid w:val="350E8B6C"/>
    <w:multiLevelType w:val="singleLevel"/>
    <w:tmpl w:val="350E8B6C"/>
    <w:lvl w:ilvl="0" w:tentative="0">
      <w:start w:val="2"/>
      <w:numFmt w:val="chineseCounting"/>
      <w:suff w:val="nothing"/>
      <w:lvlText w:val="（%1）"/>
      <w:lvlJc w:val="left"/>
      <w:rPr>
        <w:rFonts w:hint="eastAsia"/>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zOTBlNTU2NGZiNjNmMTk2MTU3MmYyODNjZjEwOTgifQ=="/>
    <w:docVar w:name="KY_MEDREF_DOCUID" w:val="{642EBB7A-05DF-4F7F-990F-180E42AE779D}"/>
    <w:docVar w:name="KY_MEDREF_VERSION" w:val="3"/>
  </w:docVars>
  <w:rsids>
    <w:rsidRoot w:val="004C7EB2"/>
    <w:rsid w:val="00044B09"/>
    <w:rsid w:val="000514CC"/>
    <w:rsid w:val="0005449C"/>
    <w:rsid w:val="00066185"/>
    <w:rsid w:val="00080292"/>
    <w:rsid w:val="0008196D"/>
    <w:rsid w:val="00095D83"/>
    <w:rsid w:val="000A6C18"/>
    <w:rsid w:val="000B5907"/>
    <w:rsid w:val="000B7E2D"/>
    <w:rsid w:val="000D6A9A"/>
    <w:rsid w:val="000E1AA6"/>
    <w:rsid w:val="000E4AE1"/>
    <w:rsid w:val="00132C85"/>
    <w:rsid w:val="00204183"/>
    <w:rsid w:val="00241CD6"/>
    <w:rsid w:val="00242E0C"/>
    <w:rsid w:val="00247166"/>
    <w:rsid w:val="002C7944"/>
    <w:rsid w:val="003A238D"/>
    <w:rsid w:val="003C3AB5"/>
    <w:rsid w:val="003E7DC1"/>
    <w:rsid w:val="00447B05"/>
    <w:rsid w:val="0045266D"/>
    <w:rsid w:val="00474079"/>
    <w:rsid w:val="004B16BB"/>
    <w:rsid w:val="004C7EB2"/>
    <w:rsid w:val="004D08F5"/>
    <w:rsid w:val="004D2825"/>
    <w:rsid w:val="004D39F5"/>
    <w:rsid w:val="004F5A76"/>
    <w:rsid w:val="005007DD"/>
    <w:rsid w:val="00505791"/>
    <w:rsid w:val="005808DF"/>
    <w:rsid w:val="005C77C4"/>
    <w:rsid w:val="005D491D"/>
    <w:rsid w:val="005F2AC1"/>
    <w:rsid w:val="00634DA6"/>
    <w:rsid w:val="00654BC6"/>
    <w:rsid w:val="00684BD7"/>
    <w:rsid w:val="006D0F61"/>
    <w:rsid w:val="006E5543"/>
    <w:rsid w:val="00707A97"/>
    <w:rsid w:val="007567F1"/>
    <w:rsid w:val="007814EA"/>
    <w:rsid w:val="00784DCA"/>
    <w:rsid w:val="007A5910"/>
    <w:rsid w:val="007F6F70"/>
    <w:rsid w:val="00825B15"/>
    <w:rsid w:val="00841D6D"/>
    <w:rsid w:val="008553F8"/>
    <w:rsid w:val="00884F79"/>
    <w:rsid w:val="008A5DC5"/>
    <w:rsid w:val="008C2299"/>
    <w:rsid w:val="008D3A6F"/>
    <w:rsid w:val="009530DC"/>
    <w:rsid w:val="00A0169A"/>
    <w:rsid w:val="00A2105C"/>
    <w:rsid w:val="00A44D5C"/>
    <w:rsid w:val="00A83F43"/>
    <w:rsid w:val="00AA7F50"/>
    <w:rsid w:val="00AC0EA5"/>
    <w:rsid w:val="00B8409A"/>
    <w:rsid w:val="00BA3521"/>
    <w:rsid w:val="00BA6C34"/>
    <w:rsid w:val="00BE0FEB"/>
    <w:rsid w:val="00C33384"/>
    <w:rsid w:val="00C762C8"/>
    <w:rsid w:val="00C93EE8"/>
    <w:rsid w:val="00C97AD7"/>
    <w:rsid w:val="00CA2C6F"/>
    <w:rsid w:val="00CC2DEE"/>
    <w:rsid w:val="00CD27A2"/>
    <w:rsid w:val="00D2685D"/>
    <w:rsid w:val="00D41CB5"/>
    <w:rsid w:val="00D57065"/>
    <w:rsid w:val="00DB572C"/>
    <w:rsid w:val="00DB5864"/>
    <w:rsid w:val="00E14108"/>
    <w:rsid w:val="00E72BBE"/>
    <w:rsid w:val="00EB1C9B"/>
    <w:rsid w:val="00ED5546"/>
    <w:rsid w:val="00F04801"/>
    <w:rsid w:val="00FB1660"/>
    <w:rsid w:val="00FE021C"/>
    <w:rsid w:val="064A73D7"/>
    <w:rsid w:val="072036B4"/>
    <w:rsid w:val="07335773"/>
    <w:rsid w:val="09B71B02"/>
    <w:rsid w:val="0ABD286D"/>
    <w:rsid w:val="0AC020D5"/>
    <w:rsid w:val="0B5B0591"/>
    <w:rsid w:val="0BC91684"/>
    <w:rsid w:val="0E567442"/>
    <w:rsid w:val="0E794762"/>
    <w:rsid w:val="0FB24ACB"/>
    <w:rsid w:val="10C97A40"/>
    <w:rsid w:val="10E85BA5"/>
    <w:rsid w:val="122B15C9"/>
    <w:rsid w:val="12A34C6E"/>
    <w:rsid w:val="139D651F"/>
    <w:rsid w:val="13BA7888"/>
    <w:rsid w:val="140316E8"/>
    <w:rsid w:val="17210985"/>
    <w:rsid w:val="17C876A2"/>
    <w:rsid w:val="18E26BB2"/>
    <w:rsid w:val="19466124"/>
    <w:rsid w:val="1A2D088A"/>
    <w:rsid w:val="1A5D5E77"/>
    <w:rsid w:val="1B0C539F"/>
    <w:rsid w:val="1B6D6341"/>
    <w:rsid w:val="1BA95240"/>
    <w:rsid w:val="1DCC0AED"/>
    <w:rsid w:val="1F534C87"/>
    <w:rsid w:val="21486EDD"/>
    <w:rsid w:val="2218153E"/>
    <w:rsid w:val="22BD2FB3"/>
    <w:rsid w:val="24635DDC"/>
    <w:rsid w:val="24D01E56"/>
    <w:rsid w:val="27566395"/>
    <w:rsid w:val="27F42210"/>
    <w:rsid w:val="2A182F66"/>
    <w:rsid w:val="2A467D32"/>
    <w:rsid w:val="2E075A2A"/>
    <w:rsid w:val="2E44559E"/>
    <w:rsid w:val="30ED3E75"/>
    <w:rsid w:val="3194337D"/>
    <w:rsid w:val="32222E32"/>
    <w:rsid w:val="342509B8"/>
    <w:rsid w:val="34DB599D"/>
    <w:rsid w:val="36F64519"/>
    <w:rsid w:val="3737378F"/>
    <w:rsid w:val="374A1A54"/>
    <w:rsid w:val="3806606D"/>
    <w:rsid w:val="394D7E2D"/>
    <w:rsid w:val="397701BE"/>
    <w:rsid w:val="3998667A"/>
    <w:rsid w:val="3A0D261A"/>
    <w:rsid w:val="3A5A5133"/>
    <w:rsid w:val="3BCB51D8"/>
    <w:rsid w:val="3BD441BE"/>
    <w:rsid w:val="3BFA2EDC"/>
    <w:rsid w:val="3CF9545E"/>
    <w:rsid w:val="3E661BC6"/>
    <w:rsid w:val="3E700C2E"/>
    <w:rsid w:val="3E8433D8"/>
    <w:rsid w:val="3F867182"/>
    <w:rsid w:val="41366ED0"/>
    <w:rsid w:val="4146095D"/>
    <w:rsid w:val="41C3062C"/>
    <w:rsid w:val="44B81156"/>
    <w:rsid w:val="45BA7D92"/>
    <w:rsid w:val="46F63C71"/>
    <w:rsid w:val="488A6899"/>
    <w:rsid w:val="4A7D4C52"/>
    <w:rsid w:val="4DF63713"/>
    <w:rsid w:val="4DFF2762"/>
    <w:rsid w:val="4E1C29D4"/>
    <w:rsid w:val="4E5403C0"/>
    <w:rsid w:val="4F5368C9"/>
    <w:rsid w:val="4F867DEE"/>
    <w:rsid w:val="51870AAC"/>
    <w:rsid w:val="53BF62DB"/>
    <w:rsid w:val="54200270"/>
    <w:rsid w:val="5499550F"/>
    <w:rsid w:val="55D342C0"/>
    <w:rsid w:val="5801580F"/>
    <w:rsid w:val="58AB32D2"/>
    <w:rsid w:val="596D013A"/>
    <w:rsid w:val="5B6420CB"/>
    <w:rsid w:val="5B6428CC"/>
    <w:rsid w:val="5C58551F"/>
    <w:rsid w:val="5CD85CEA"/>
    <w:rsid w:val="5D430144"/>
    <w:rsid w:val="5D46573D"/>
    <w:rsid w:val="5E716A4B"/>
    <w:rsid w:val="5EDF3CD6"/>
    <w:rsid w:val="61C34344"/>
    <w:rsid w:val="63BA4802"/>
    <w:rsid w:val="6485390B"/>
    <w:rsid w:val="656E5DB3"/>
    <w:rsid w:val="65C62F49"/>
    <w:rsid w:val="6727446C"/>
    <w:rsid w:val="676A25AA"/>
    <w:rsid w:val="67DD7890"/>
    <w:rsid w:val="69D72179"/>
    <w:rsid w:val="6BA613D5"/>
    <w:rsid w:val="6C6E4CAC"/>
    <w:rsid w:val="6D4177E3"/>
    <w:rsid w:val="6DD0797D"/>
    <w:rsid w:val="6E915CA1"/>
    <w:rsid w:val="6F771D08"/>
    <w:rsid w:val="70C8281B"/>
    <w:rsid w:val="72133F6A"/>
    <w:rsid w:val="737C683E"/>
    <w:rsid w:val="74B5471E"/>
    <w:rsid w:val="7500157D"/>
    <w:rsid w:val="75C6187D"/>
    <w:rsid w:val="77073972"/>
    <w:rsid w:val="7AD922EE"/>
    <w:rsid w:val="7C6D4186"/>
    <w:rsid w:val="7F2F1CB8"/>
    <w:rsid w:val="7F5A53F2"/>
    <w:rsid w:val="7F787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toc 1"/>
    <w:basedOn w:val="1"/>
    <w:next w:val="1"/>
    <w:uiPriority w:val="39"/>
    <w:rPr>
      <w:rFonts w:ascii="Calibri" w:hAnsi="Calibri"/>
    </w:rPr>
  </w:style>
  <w:style w:type="paragraph" w:styleId="3">
    <w:name w:val="annotation text"/>
    <w:basedOn w:val="1"/>
    <w:link w:val="18"/>
    <w:qFormat/>
    <w:uiPriority w:val="99"/>
    <w:pPr>
      <w:jc w:val="left"/>
    </w:pPr>
  </w:style>
  <w:style w:type="paragraph" w:styleId="4">
    <w:name w:val="Body Text"/>
    <w:basedOn w:val="1"/>
    <w:next w:val="1"/>
    <w:unhideWhenUsed/>
    <w:qFormat/>
    <w:uiPriority w:val="0"/>
    <w:pPr>
      <w:spacing w:after="120"/>
    </w:pPr>
  </w:style>
  <w:style w:type="paragraph" w:styleId="5">
    <w:name w:val="Plain Text"/>
    <w:basedOn w:val="1"/>
    <w:next w:val="6"/>
    <w:link w:val="20"/>
    <w:qFormat/>
    <w:uiPriority w:val="99"/>
    <w:rPr>
      <w:rFonts w:ascii="宋体" w:hAnsi="Courier New"/>
    </w:rPr>
  </w:style>
  <w:style w:type="paragraph" w:customStyle="1" w:styleId="6">
    <w:name w:val="Default"/>
    <w:next w:val="7"/>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List 4"/>
    <w:basedOn w:val="1"/>
    <w:qFormat/>
    <w:uiPriority w:val="0"/>
    <w:pPr>
      <w:ind w:left="100" w:leftChars="600" w:hanging="200" w:hangingChars="200"/>
    </w:pPr>
    <w:rPr>
      <w:szCs w:val="24"/>
    </w:rPr>
  </w:style>
  <w:style w:type="paragraph" w:styleId="11">
    <w:name w:val="annotation subject"/>
    <w:basedOn w:val="3"/>
    <w:next w:val="3"/>
    <w:link w:val="19"/>
    <w:semiHidden/>
    <w:unhideWhenUsed/>
    <w:qFormat/>
    <w:uiPriority w:val="99"/>
    <w:rPr>
      <w:b/>
      <w:bCs/>
    </w:rPr>
  </w:style>
  <w:style w:type="paragraph" w:styleId="12">
    <w:name w:val="Body Text First Indent"/>
    <w:basedOn w:val="4"/>
    <w:unhideWhenUsed/>
    <w:qFormat/>
    <w:uiPriority w:val="99"/>
    <w:pPr>
      <w:ind w:firstLine="420" w:firstLineChars="100"/>
    </w:p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annotation reference"/>
    <w:semiHidden/>
    <w:qFormat/>
    <w:uiPriority w:val="99"/>
    <w:rPr>
      <w:sz w:val="21"/>
      <w:szCs w:val="21"/>
    </w:rPr>
  </w:style>
  <w:style w:type="character" w:customStyle="1" w:styleId="17">
    <w:name w:val="批注文字 字符"/>
    <w:basedOn w:val="15"/>
    <w:qFormat/>
    <w:uiPriority w:val="99"/>
    <w:rPr>
      <w:rFonts w:ascii="Times New Roman" w:hAnsi="Times New Roman" w:eastAsia="宋体" w:cs="Times New Roman"/>
      <w:szCs w:val="21"/>
    </w:rPr>
  </w:style>
  <w:style w:type="character" w:customStyle="1" w:styleId="18">
    <w:name w:val="批注文字 字符1"/>
    <w:link w:val="3"/>
    <w:semiHidden/>
    <w:qFormat/>
    <w:uiPriority w:val="99"/>
    <w:rPr>
      <w:rFonts w:ascii="Times New Roman" w:hAnsi="Times New Roman" w:eastAsia="宋体" w:cs="Times New Roman"/>
      <w:szCs w:val="21"/>
    </w:rPr>
  </w:style>
  <w:style w:type="character" w:customStyle="1" w:styleId="19">
    <w:name w:val="批注主题 字符"/>
    <w:basedOn w:val="18"/>
    <w:link w:val="11"/>
    <w:semiHidden/>
    <w:qFormat/>
    <w:uiPriority w:val="99"/>
    <w:rPr>
      <w:rFonts w:ascii="Times New Roman" w:hAnsi="Times New Roman" w:eastAsia="宋体" w:cs="Times New Roman"/>
      <w:b/>
      <w:bCs/>
      <w:szCs w:val="21"/>
    </w:rPr>
  </w:style>
  <w:style w:type="character" w:customStyle="1" w:styleId="20">
    <w:name w:val="纯文本 字符"/>
    <w:basedOn w:val="15"/>
    <w:link w:val="5"/>
    <w:qFormat/>
    <w:uiPriority w:val="99"/>
    <w:rPr>
      <w:rFonts w:ascii="宋体" w:hAnsi="Courier New" w:eastAsia="宋体" w:cs="Times New Roman"/>
      <w:szCs w:val="21"/>
    </w:rPr>
  </w:style>
  <w:style w:type="paragraph" w:customStyle="1" w:styleId="21">
    <w:name w:val="表格文字"/>
    <w:basedOn w:val="1"/>
    <w:qFormat/>
    <w:uiPriority w:val="0"/>
    <w:pPr>
      <w:spacing w:before="25" w:after="25"/>
      <w:jc w:val="left"/>
    </w:pPr>
    <w:rPr>
      <w:rFonts w:ascii="Calibri" w:hAnsi="Calibri"/>
      <w:bCs/>
      <w:spacing w:val="10"/>
      <w:kern w:val="0"/>
      <w:sz w:val="24"/>
      <w:szCs w:val="20"/>
    </w:rPr>
  </w:style>
  <w:style w:type="character" w:customStyle="1" w:styleId="22">
    <w:name w:val="fontstyle01"/>
    <w:qFormat/>
    <w:uiPriority w:val="0"/>
    <w:rPr>
      <w:rFonts w:hint="eastAsia" w:ascii="宋体" w:hAnsi="宋体" w:eastAsia="宋体"/>
      <w:color w:val="000000"/>
      <w:sz w:val="24"/>
      <w:szCs w:val="24"/>
    </w:rPr>
  </w:style>
  <w:style w:type="character" w:customStyle="1" w:styleId="23">
    <w:name w:val="页眉 字符"/>
    <w:basedOn w:val="15"/>
    <w:link w:val="9"/>
    <w:qFormat/>
    <w:uiPriority w:val="99"/>
    <w:rPr>
      <w:rFonts w:ascii="Times New Roman" w:hAnsi="Times New Roman" w:eastAsia="宋体" w:cs="Times New Roman"/>
      <w:sz w:val="18"/>
      <w:szCs w:val="18"/>
    </w:rPr>
  </w:style>
  <w:style w:type="character" w:customStyle="1" w:styleId="24">
    <w:name w:val="页脚 字符"/>
    <w:basedOn w:val="15"/>
    <w:link w:val="8"/>
    <w:qFormat/>
    <w:uiPriority w:val="99"/>
    <w:rPr>
      <w:rFonts w:ascii="Times New Roman" w:hAnsi="Times New Roman" w:eastAsia="宋体" w:cs="Times New Roman"/>
      <w:sz w:val="18"/>
      <w:szCs w:val="18"/>
    </w:rPr>
  </w:style>
  <w:style w:type="character" w:styleId="25">
    <w:name w:val="Placeholder Text"/>
    <w:basedOn w:val="15"/>
    <w:semiHidden/>
    <w:qFormat/>
    <w:uiPriority w:val="99"/>
    <w:rPr>
      <w:color w:val="808080"/>
    </w:rPr>
  </w:style>
  <w:style w:type="paragraph" w:customStyle="1" w:styleId="26">
    <w:name w:val="样式1"/>
    <w:basedOn w:val="1"/>
    <w:qFormat/>
    <w:uiPriority w:val="0"/>
  </w:style>
  <w:style w:type="paragraph" w:styleId="27">
    <w:name w:val="List Paragraph"/>
    <w:basedOn w:val="1"/>
    <w:link w:val="28"/>
    <w:qFormat/>
    <w:uiPriority w:val="34"/>
    <w:pPr>
      <w:ind w:firstLine="420" w:firstLineChars="200"/>
    </w:pPr>
  </w:style>
  <w:style w:type="character" w:customStyle="1" w:styleId="28">
    <w:name w:val="列表段落 字符"/>
    <w:link w:val="27"/>
    <w:qFormat/>
    <w:uiPriority w:val="34"/>
    <w:rPr>
      <w:kern w:val="2"/>
      <w:sz w:val="21"/>
      <w:szCs w:val="21"/>
    </w:rPr>
  </w:style>
  <w:style w:type="character" w:customStyle="1" w:styleId="29">
    <w:name w:val="列出段落 Char"/>
    <w:link w:val="30"/>
    <w:qFormat/>
    <w:locked/>
    <w:uiPriority w:val="34"/>
    <w:rPr>
      <w:rFonts w:ascii="Times New Roman" w:hAnsi="Times New Roman" w:cs="Times New Roman"/>
      <w:kern w:val="2"/>
      <w:sz w:val="21"/>
    </w:rPr>
  </w:style>
  <w:style w:type="paragraph" w:customStyle="1" w:styleId="30">
    <w:name w:val="_Style 28"/>
    <w:basedOn w:val="1"/>
    <w:next w:val="27"/>
    <w:link w:val="29"/>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390aa0fa-d6d9-4c36-956e-8e8d999897eb}"/>
        <w:style w:val=""/>
        <w:category>
          <w:name w:val="常规"/>
          <w:gallery w:val="placeholder"/>
        </w:category>
        <w:types>
          <w:type w:val="bbPlcHdr"/>
        </w:types>
        <w:behaviors>
          <w:behavior w:val="content"/>
        </w:behaviors>
        <w:description w:val=""/>
        <w:guid w:val="{390AA0FA-D6D9-4C36-956E-8E8D999897EB}"/>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286DCD"/>
    <w:rsid w:val="0048475D"/>
    <w:rsid w:val="007311C2"/>
    <w:rsid w:val="0080285A"/>
    <w:rsid w:val="00CB1F83"/>
    <w:rsid w:val="00CD142A"/>
    <w:rsid w:val="00E50490"/>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Normal.dotm</Template>
  <Pages>6</Pages>
  <Words>690</Words>
  <Characters>3939</Characters>
  <Lines>32</Lines>
  <Paragraphs>9</Paragraphs>
  <TotalTime>0</TotalTime>
  <ScaleCrop>false</ScaleCrop>
  <LinksUpToDate>false</LinksUpToDate>
  <CharactersWithSpaces>4620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2023-03-24T07:31:49Z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34FD2CB971E942EEB1549ABC57D8E9E8</vt:lpwstr>
  </property>
</Properties>
</file>