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spacing w:line="240" w:lineRule="auto"/>
        <w:ind w:left="-708" w:leftChars="-337" w:firstLine="843" w:firstLineChars="300"/>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eastAsia="zh-CN"/>
        </w:rPr>
        <w:t>服务</w:t>
      </w:r>
      <w:r>
        <w:rPr>
          <w:rFonts w:hint="eastAsia" w:ascii="宋体" w:hAnsi="宋体" w:eastAsia="宋体" w:cs="宋体"/>
          <w:b/>
          <w:bCs/>
          <w:sz w:val="28"/>
          <w:szCs w:val="28"/>
        </w:rPr>
        <w:t>清单</w:t>
      </w:r>
      <w:r>
        <w:rPr>
          <w:rFonts w:hint="eastAsia" w:ascii="宋体" w:hAnsi="宋体" w:eastAsia="宋体" w:cs="宋体"/>
          <w:b/>
          <w:bCs/>
          <w:sz w:val="28"/>
          <w:szCs w:val="28"/>
          <w:lang w:eastAsia="zh-CN"/>
        </w:rPr>
        <w:t>、</w:t>
      </w:r>
      <w:r>
        <w:rPr>
          <w:rFonts w:hint="eastAsia" w:ascii="宋体" w:hAnsi="宋体" w:eastAsia="宋体" w:cs="宋体"/>
          <w:b/>
          <w:bCs/>
          <w:sz w:val="28"/>
          <w:szCs w:val="28"/>
        </w:rPr>
        <w:t>质量要求</w:t>
      </w:r>
    </w:p>
    <w:p>
      <w:pPr>
        <w:pStyle w:val="2"/>
        <w:spacing w:line="240" w:lineRule="auto"/>
        <w:ind w:left="-708" w:leftChars="-337" w:firstLine="843" w:firstLineChars="300"/>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eastAsia="zh-CN"/>
        </w:rPr>
        <w:t>服务</w:t>
      </w:r>
      <w:r>
        <w:rPr>
          <w:rFonts w:hint="eastAsia" w:ascii="宋体" w:hAnsi="宋体" w:eastAsia="宋体" w:cs="宋体"/>
          <w:b/>
          <w:bCs/>
          <w:sz w:val="28"/>
          <w:szCs w:val="28"/>
        </w:rPr>
        <w:t>清单 </w:t>
      </w:r>
    </w:p>
    <w:p>
      <w:pPr>
        <w:pStyle w:val="2"/>
        <w:spacing w:line="240" w:lineRule="auto"/>
        <w:ind w:left="-145" w:leftChars="-69" w:firstLine="560" w:firstLineChars="200"/>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424242"/>
          <w:spacing w:val="0"/>
          <w:sz w:val="28"/>
          <w:szCs w:val="28"/>
        </w:rPr>
        <w:t>对</w:t>
      </w:r>
      <w:r>
        <w:rPr>
          <w:rFonts w:hint="eastAsia" w:ascii="宋体" w:hAnsi="宋体" w:eastAsia="宋体" w:cs="宋体"/>
          <w:b w:val="0"/>
          <w:bCs w:val="0"/>
          <w:i w:val="0"/>
          <w:iCs w:val="0"/>
          <w:caps w:val="0"/>
          <w:color w:val="424242"/>
          <w:spacing w:val="0"/>
          <w:sz w:val="28"/>
          <w:szCs w:val="28"/>
          <w:lang w:eastAsia="zh-CN"/>
        </w:rPr>
        <w:t>广西壮族自治区桂东人民医院202</w:t>
      </w:r>
      <w:r>
        <w:rPr>
          <w:rFonts w:hint="eastAsia" w:ascii="宋体" w:hAnsi="宋体" w:eastAsia="宋体" w:cs="宋体"/>
          <w:b w:val="0"/>
          <w:bCs w:val="0"/>
          <w:i w:val="0"/>
          <w:iCs w:val="0"/>
          <w:caps w:val="0"/>
          <w:color w:val="424242"/>
          <w:spacing w:val="0"/>
          <w:sz w:val="28"/>
          <w:szCs w:val="28"/>
          <w:lang w:val="en-US" w:eastAsia="zh-CN"/>
        </w:rPr>
        <w:t>2</w:t>
      </w:r>
      <w:r>
        <w:rPr>
          <w:rFonts w:hint="eastAsia" w:ascii="宋体" w:hAnsi="宋体" w:eastAsia="宋体" w:cs="宋体"/>
          <w:b w:val="0"/>
          <w:bCs w:val="0"/>
          <w:i w:val="0"/>
          <w:iCs w:val="0"/>
          <w:caps w:val="0"/>
          <w:color w:val="424242"/>
          <w:spacing w:val="0"/>
          <w:sz w:val="28"/>
          <w:szCs w:val="28"/>
        </w:rPr>
        <w:t>年度财务报</w:t>
      </w:r>
      <w:r>
        <w:rPr>
          <w:rFonts w:hint="eastAsia" w:ascii="宋体" w:hAnsi="宋体" w:eastAsia="宋体" w:cs="宋体"/>
          <w:b w:val="0"/>
          <w:bCs w:val="0"/>
          <w:i w:val="0"/>
          <w:iCs w:val="0"/>
          <w:caps w:val="0"/>
          <w:color w:val="424242"/>
          <w:spacing w:val="0"/>
          <w:sz w:val="28"/>
          <w:szCs w:val="28"/>
          <w:lang w:eastAsia="zh-CN"/>
        </w:rPr>
        <w:t>表</w:t>
      </w:r>
      <w:r>
        <w:rPr>
          <w:rFonts w:hint="eastAsia" w:ascii="宋体" w:hAnsi="宋体" w:eastAsia="宋体" w:cs="宋体"/>
          <w:b w:val="0"/>
          <w:bCs w:val="0"/>
          <w:i w:val="0"/>
          <w:iCs w:val="0"/>
          <w:caps w:val="0"/>
          <w:color w:val="424242"/>
          <w:spacing w:val="0"/>
          <w:sz w:val="28"/>
          <w:szCs w:val="28"/>
        </w:rPr>
        <w:t>进行</w:t>
      </w:r>
      <w:r>
        <w:rPr>
          <w:rFonts w:hint="eastAsia" w:ascii="宋体" w:hAnsi="宋体" w:eastAsia="宋体" w:cs="宋体"/>
          <w:b w:val="0"/>
          <w:bCs w:val="0"/>
          <w:i w:val="0"/>
          <w:iCs w:val="0"/>
          <w:caps w:val="0"/>
          <w:color w:val="auto"/>
          <w:spacing w:val="0"/>
          <w:sz w:val="28"/>
          <w:szCs w:val="28"/>
        </w:rPr>
        <w:t>审计</w:t>
      </w:r>
      <w:r>
        <w:rPr>
          <w:rFonts w:hint="eastAsia" w:ascii="宋体" w:hAnsi="宋体" w:eastAsia="宋体" w:cs="宋体"/>
          <w:b w:val="0"/>
          <w:bCs w:val="0"/>
          <w:i w:val="0"/>
          <w:iCs w:val="0"/>
          <w:caps w:val="0"/>
          <w:color w:val="auto"/>
          <w:spacing w:val="0"/>
          <w:sz w:val="28"/>
          <w:szCs w:val="28"/>
          <w:lang w:eastAsia="zh-CN"/>
        </w:rPr>
        <w:t>并出具审计报告和管理意见书</w:t>
      </w:r>
      <w:r>
        <w:rPr>
          <w:rFonts w:hint="eastAsia" w:ascii="宋体" w:hAnsi="宋体" w:eastAsia="宋体" w:cs="宋体"/>
          <w:b w:val="0"/>
          <w:bCs w:val="0"/>
          <w:i w:val="0"/>
          <w:iCs w:val="0"/>
          <w:caps w:val="0"/>
          <w:color w:val="auto"/>
          <w:spacing w:val="0"/>
          <w:sz w:val="28"/>
          <w:szCs w:val="28"/>
        </w:rPr>
        <w:t>。</w:t>
      </w:r>
    </w:p>
    <w:p>
      <w:pPr>
        <w:pStyle w:val="2"/>
        <w:spacing w:line="240" w:lineRule="auto"/>
        <w:rPr>
          <w:rFonts w:hint="eastAsia" w:ascii="宋体" w:hAnsi="宋体" w:eastAsia="宋体" w:cs="宋体"/>
          <w:b/>
          <w:bCs/>
          <w:color w:val="000000"/>
          <w:kern w:val="0"/>
          <w:sz w:val="28"/>
          <w:szCs w:val="28"/>
        </w:rPr>
      </w:pPr>
      <w:r>
        <w:rPr>
          <w:rFonts w:hint="eastAsia" w:ascii="宋体" w:hAnsi="宋体" w:cs="宋体"/>
          <w:b/>
          <w:bCs/>
          <w:color w:val="000000"/>
          <w:kern w:val="0"/>
          <w:sz w:val="28"/>
          <w:szCs w:val="28"/>
          <w:lang w:val="en-US" w:eastAsia="zh-CN"/>
        </w:rPr>
        <w:t>（二）</w:t>
      </w:r>
      <w:r>
        <w:rPr>
          <w:rFonts w:hint="eastAsia" w:ascii="宋体" w:hAnsi="宋体" w:eastAsia="宋体" w:cs="宋体"/>
          <w:b/>
          <w:bCs/>
          <w:color w:val="000000"/>
          <w:kern w:val="0"/>
          <w:sz w:val="28"/>
          <w:szCs w:val="28"/>
          <w:lang w:val="en-US" w:eastAsia="zh-CN"/>
        </w:rPr>
        <w:t>质量</w:t>
      </w:r>
      <w:r>
        <w:rPr>
          <w:rFonts w:hint="eastAsia" w:ascii="宋体" w:hAnsi="宋体" w:eastAsia="宋体" w:cs="宋体"/>
          <w:b/>
          <w:bCs/>
          <w:color w:val="000000"/>
          <w:kern w:val="0"/>
          <w:sz w:val="28"/>
          <w:szCs w:val="28"/>
        </w:rPr>
        <w:t>要求</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宋体" w:hAnsi="宋体" w:eastAsia="宋体" w:cs="宋体"/>
          <w:i w:val="0"/>
          <w:iCs w:val="0"/>
          <w:caps w:val="0"/>
          <w:color w:val="424242"/>
          <w:spacing w:val="0"/>
          <w:sz w:val="28"/>
          <w:szCs w:val="28"/>
        </w:rPr>
      </w:pPr>
      <w:r>
        <w:rPr>
          <w:rFonts w:hint="eastAsia" w:ascii="宋体" w:hAnsi="宋体" w:eastAsia="宋体" w:cs="宋体"/>
          <w:i w:val="0"/>
          <w:iCs w:val="0"/>
          <w:caps w:val="0"/>
          <w:color w:val="424242"/>
          <w:spacing w:val="0"/>
          <w:sz w:val="28"/>
          <w:szCs w:val="28"/>
        </w:rPr>
        <w:t>受托方应提供包括服务内容、出具审计报告时限等具体的服务方案。</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rPr>
          <w:rFonts w:hint="eastAsia" w:ascii="宋体" w:hAnsi="宋体" w:eastAsia="宋体" w:cs="宋体"/>
          <w:i w:val="0"/>
          <w:iCs w:val="0"/>
          <w:caps w:val="0"/>
          <w:color w:val="424242"/>
          <w:spacing w:val="0"/>
          <w:sz w:val="28"/>
          <w:szCs w:val="28"/>
        </w:rPr>
      </w:pPr>
      <w:r>
        <w:rPr>
          <w:rFonts w:hint="eastAsia" w:ascii="宋体" w:hAnsi="宋体" w:eastAsia="宋体" w:cs="宋体"/>
          <w:i w:val="0"/>
          <w:iCs w:val="0"/>
          <w:caps w:val="0"/>
          <w:color w:val="424242"/>
          <w:spacing w:val="0"/>
          <w:sz w:val="28"/>
          <w:szCs w:val="28"/>
        </w:rPr>
        <w:t>受托方有责任在审计报告中指明所发现的被审计单位在某重大方面没有遵循《医院</w:t>
      </w:r>
      <w:r>
        <w:rPr>
          <w:rFonts w:hint="eastAsia" w:ascii="宋体" w:hAnsi="宋体" w:eastAsia="宋体" w:cs="宋体"/>
          <w:i w:val="0"/>
          <w:iCs w:val="0"/>
          <w:caps w:val="0"/>
          <w:color w:val="424242"/>
          <w:spacing w:val="0"/>
          <w:sz w:val="28"/>
          <w:szCs w:val="28"/>
          <w:lang w:val="en-US" w:eastAsia="zh-CN"/>
        </w:rPr>
        <w:t>财务</w:t>
      </w:r>
      <w:r>
        <w:rPr>
          <w:rFonts w:hint="eastAsia" w:ascii="宋体" w:hAnsi="宋体" w:eastAsia="宋体" w:cs="宋体"/>
          <w:i w:val="0"/>
          <w:iCs w:val="0"/>
          <w:caps w:val="0"/>
          <w:color w:val="424242"/>
          <w:spacing w:val="0"/>
          <w:sz w:val="28"/>
          <w:szCs w:val="28"/>
        </w:rPr>
        <w:t>制度》和《政府会计制度》进行核算，且未按审计小组的建议进行调整的事项。</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宋体" w:hAnsi="宋体" w:eastAsia="宋体" w:cs="宋体"/>
          <w:i w:val="0"/>
          <w:iCs w:val="0"/>
          <w:caps w:val="0"/>
          <w:color w:val="424242"/>
          <w:spacing w:val="0"/>
          <w:sz w:val="28"/>
          <w:szCs w:val="28"/>
        </w:rPr>
      </w:pPr>
      <w:r>
        <w:rPr>
          <w:rFonts w:hint="eastAsia" w:ascii="宋体" w:hAnsi="宋体" w:eastAsia="宋体" w:cs="宋体"/>
          <w:b/>
          <w:bCs/>
          <w:i w:val="0"/>
          <w:iCs w:val="0"/>
          <w:caps w:val="0"/>
          <w:color w:val="424242"/>
          <w:spacing w:val="0"/>
          <w:sz w:val="28"/>
          <w:szCs w:val="28"/>
        </w:rPr>
        <w:t>（3）</w:t>
      </w:r>
      <w:r>
        <w:rPr>
          <w:rFonts w:hint="eastAsia" w:ascii="宋体" w:hAnsi="宋体" w:eastAsia="宋体" w:cs="宋体"/>
          <w:i w:val="0"/>
          <w:iCs w:val="0"/>
          <w:caps w:val="0"/>
          <w:color w:val="424242"/>
          <w:spacing w:val="0"/>
          <w:sz w:val="28"/>
          <w:szCs w:val="28"/>
        </w:rPr>
        <w:t>在年报审计的同时，须就在审计过程中发现的会计核算、财务管理、内部控制等问题，向委托方提交管理建议书。</w:t>
      </w:r>
    </w:p>
    <w:p>
      <w:pPr>
        <w:pStyle w:val="2"/>
        <w:spacing w:line="240" w:lineRule="auto"/>
        <w:ind w:left="-708" w:leftChars="-337"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三</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服</w:t>
      </w:r>
      <w:r>
        <w:rPr>
          <w:rFonts w:hint="eastAsia" w:ascii="宋体" w:hAnsi="宋体" w:eastAsia="宋体" w:cs="宋体"/>
          <w:b w:val="0"/>
          <w:bCs w:val="0"/>
          <w:sz w:val="28"/>
          <w:szCs w:val="28"/>
        </w:rPr>
        <w:t>务要求</w:t>
      </w:r>
    </w:p>
    <w:p>
      <w:pPr>
        <w:pStyle w:val="2"/>
        <w:spacing w:line="240" w:lineRule="auto"/>
        <w:rPr>
          <w:rFonts w:hint="eastAsia" w:ascii="宋体" w:hAnsi="宋体" w:eastAsia="宋体" w:cs="宋体"/>
          <w:sz w:val="28"/>
          <w:szCs w:val="28"/>
        </w:rPr>
      </w:pP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1</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投标人资格要求：</w:t>
      </w:r>
      <w:r>
        <w:rPr>
          <w:rFonts w:hint="eastAsia" w:ascii="宋体" w:hAnsi="宋体" w:eastAsia="宋体" w:cs="宋体"/>
          <w:sz w:val="28"/>
          <w:szCs w:val="28"/>
        </w:rPr>
        <w:t>投标人为独立法人，并具备统一社会信用代码。</w:t>
      </w:r>
    </w:p>
    <w:p>
      <w:pPr>
        <w:pStyle w:val="2"/>
        <w:spacing w:line="240" w:lineRule="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eastAsia="宋体" w:cs="宋体"/>
          <w:sz w:val="28"/>
          <w:szCs w:val="28"/>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spacing w:line="240" w:lineRule="auto"/>
        <w:ind w:left="-145" w:leftChars="-69" w:firstLine="0" w:firstLineChars="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被列入我院投标人黑名单（在我院招投标活动中存在2次违规行为）未满3年的投标人将被拒绝其参与本次招投标活动。</w:t>
      </w:r>
    </w:p>
    <w:p>
      <w:pPr>
        <w:pStyle w:val="2"/>
        <w:spacing w:line="240" w:lineRule="auto"/>
        <w:ind w:left="-708" w:leftChars="-337" w:firstLine="560" w:firstLineChars="200"/>
        <w:rPr>
          <w:rFonts w:hint="eastAsia" w:ascii="宋体" w:hAnsi="宋体" w:eastAsia="宋体" w:cs="宋体"/>
          <w:color w:val="auto"/>
          <w:sz w:val="28"/>
          <w:szCs w:val="28"/>
        </w:rPr>
      </w:pPr>
      <w:r>
        <w:rPr>
          <w:rFonts w:hint="eastAsia" w:ascii="宋体" w:hAnsi="宋体" w:cs="宋体"/>
          <w:sz w:val="28"/>
          <w:szCs w:val="28"/>
          <w:lang w:val="en-US" w:eastAsia="zh-CN"/>
        </w:rPr>
        <w:t>（</w:t>
      </w:r>
      <w:r>
        <w:rPr>
          <w:rFonts w:hint="eastAsia" w:ascii="宋体" w:hAnsi="宋体" w:eastAsia="宋体" w:cs="宋体"/>
          <w:sz w:val="28"/>
          <w:szCs w:val="28"/>
          <w:lang w:val="en-US" w:eastAsia="zh-CN"/>
        </w:rPr>
        <w:t>4</w:t>
      </w:r>
      <w:r>
        <w:rPr>
          <w:rFonts w:hint="eastAsia" w:ascii="宋体" w:hAnsi="宋体" w:cs="宋体"/>
          <w:sz w:val="28"/>
          <w:szCs w:val="28"/>
          <w:lang w:val="en-US" w:eastAsia="zh-CN"/>
        </w:rPr>
        <w:t>）</w:t>
      </w:r>
      <w:r>
        <w:rPr>
          <w:rFonts w:hint="eastAsia" w:ascii="宋体" w:hAnsi="宋体" w:eastAsia="宋体" w:cs="宋体"/>
          <w:color w:val="auto"/>
          <w:sz w:val="28"/>
          <w:szCs w:val="28"/>
        </w:rPr>
        <w:t>本项目不接收联合体投标。</w:t>
      </w:r>
    </w:p>
    <w:p>
      <w:pPr>
        <w:pStyle w:val="2"/>
        <w:spacing w:line="240" w:lineRule="auto"/>
        <w:ind w:left="-708" w:leftChars="-337"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5</w:t>
      </w:r>
      <w:r>
        <w:rPr>
          <w:rFonts w:hint="eastAsia" w:ascii="宋体" w:hAnsi="宋体" w:cs="宋体"/>
          <w:kern w:val="0"/>
          <w:sz w:val="28"/>
          <w:szCs w:val="28"/>
          <w:lang w:eastAsia="zh-CN"/>
        </w:rPr>
        <w:t>）审计报告交付</w:t>
      </w:r>
      <w:r>
        <w:rPr>
          <w:rFonts w:hint="eastAsia" w:ascii="宋体" w:hAnsi="宋体" w:eastAsia="宋体" w:cs="宋体"/>
          <w:kern w:val="0"/>
          <w:sz w:val="28"/>
          <w:szCs w:val="28"/>
        </w:rPr>
        <w:t>地点为：</w:t>
      </w:r>
      <w:r>
        <w:rPr>
          <w:rFonts w:hint="eastAsia" w:ascii="宋体" w:hAnsi="宋体" w:eastAsia="宋体" w:cs="宋体"/>
          <w:kern w:val="0"/>
          <w:sz w:val="28"/>
          <w:szCs w:val="28"/>
          <w:highlight w:val="yellow"/>
        </w:rPr>
        <w:t>广西壮族自治区桂东人民医院</w:t>
      </w:r>
      <w:r>
        <w:rPr>
          <w:rFonts w:hint="eastAsia" w:ascii="宋体" w:hAnsi="宋体" w:eastAsia="宋体" w:cs="宋体"/>
          <w:kern w:val="0"/>
          <w:sz w:val="28"/>
          <w:szCs w:val="28"/>
        </w:rPr>
        <w:t xml:space="preserve">     </w:t>
      </w:r>
    </w:p>
    <w:p>
      <w:pPr>
        <w:pStyle w:val="2"/>
        <w:spacing w:line="240" w:lineRule="auto"/>
        <w:ind w:left="-708" w:leftChars="-337" w:firstLine="560" w:firstLineChars="200"/>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（6</w:t>
      </w:r>
      <w:r>
        <w:rPr>
          <w:rFonts w:hint="eastAsia" w:ascii="宋体" w:hAnsi="宋体" w:eastAsia="宋体" w:cs="宋体"/>
          <w:kern w:val="0"/>
          <w:sz w:val="28"/>
          <w:szCs w:val="28"/>
          <w:lang w:val="en-US" w:eastAsia="zh-CN"/>
        </w:rPr>
        <w:t>）付款条件和方式：</w:t>
      </w:r>
    </w:p>
    <w:p>
      <w:pPr>
        <w:widowControl/>
        <w:spacing w:line="240" w:lineRule="auto"/>
        <w:ind w:left="-710" w:leftChars="-338" w:firstLine="1120" w:firstLineChars="400"/>
        <w:jc w:val="left"/>
        <w:rPr>
          <w:rFonts w:hint="eastAsia" w:ascii="宋体" w:hAnsi="宋体" w:eastAsia="宋体" w:cs="宋体"/>
          <w:kern w:val="0"/>
          <w:sz w:val="28"/>
          <w:szCs w:val="28"/>
          <w:lang w:eastAsia="zh-CN"/>
        </w:rPr>
      </w:pPr>
      <w:r>
        <w:rPr>
          <w:rFonts w:hint="eastAsia" w:ascii="宋体" w:hAnsi="宋体"/>
          <w:sz w:val="28"/>
          <w:szCs w:val="28"/>
          <w:lang w:eastAsia="zh-CN"/>
        </w:rPr>
        <w:t>在出具</w:t>
      </w:r>
      <w:r>
        <w:rPr>
          <w:rFonts w:hint="eastAsia" w:ascii="宋体" w:hAnsi="宋体"/>
          <w:sz w:val="28"/>
          <w:szCs w:val="28"/>
        </w:rPr>
        <w:t>审计报告</w:t>
      </w:r>
      <w:r>
        <w:rPr>
          <w:rFonts w:hint="eastAsia" w:ascii="宋体" w:hAnsi="宋体"/>
          <w:sz w:val="28"/>
          <w:szCs w:val="28"/>
          <w:lang w:eastAsia="zh-CN"/>
        </w:rPr>
        <w:t>和管理意见书及有效发票</w:t>
      </w:r>
      <w:r>
        <w:rPr>
          <w:rFonts w:hint="eastAsia" w:ascii="宋体" w:hAnsi="宋体"/>
          <w:sz w:val="28"/>
          <w:szCs w:val="28"/>
        </w:rPr>
        <w:t>之</w:t>
      </w:r>
      <w:r>
        <w:rPr>
          <w:rFonts w:hint="eastAsia" w:ascii="宋体" w:hAnsi="宋体"/>
          <w:sz w:val="28"/>
          <w:szCs w:val="28"/>
          <w:lang w:eastAsia="zh-CN"/>
        </w:rPr>
        <w:t>后</w:t>
      </w:r>
      <w:r>
        <w:rPr>
          <w:rFonts w:hint="eastAsia" w:ascii="宋体" w:hAnsi="宋体"/>
          <w:sz w:val="28"/>
          <w:szCs w:val="28"/>
        </w:rPr>
        <w:t>10</w:t>
      </w:r>
      <w:r>
        <w:rPr>
          <w:rFonts w:hint="eastAsia" w:ascii="宋体" w:hAnsi="宋体"/>
          <w:sz w:val="28"/>
          <w:szCs w:val="28"/>
          <w:lang w:eastAsia="zh-CN"/>
        </w:rPr>
        <w:t>个工作</w:t>
      </w:r>
      <w:r>
        <w:rPr>
          <w:rFonts w:hint="eastAsia" w:ascii="宋体" w:hAnsi="宋体"/>
          <w:sz w:val="28"/>
          <w:szCs w:val="28"/>
        </w:rPr>
        <w:t>日内支付100%的审计费用</w:t>
      </w:r>
      <w:r>
        <w:rPr>
          <w:rFonts w:hint="eastAsia" w:ascii="宋体" w:hAnsi="宋体"/>
          <w:sz w:val="28"/>
          <w:szCs w:val="28"/>
          <w:lang w:eastAsia="zh-CN"/>
        </w:rPr>
        <w:t>。</w:t>
      </w:r>
    </w:p>
    <w:p>
      <w:pPr>
        <w:widowControl/>
        <w:spacing w:line="240" w:lineRule="auto"/>
        <w:ind w:left="-708" w:leftChars="-338" w:hanging="2"/>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 </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lang w:val="en-US" w:eastAsia="zh-CN"/>
        </w:rPr>
        <w:t>二</w:t>
      </w:r>
      <w:r>
        <w:rPr>
          <w:rFonts w:hint="eastAsia" w:ascii="宋体" w:hAnsi="宋体" w:eastAsia="宋体" w:cs="宋体"/>
          <w:b/>
          <w:bCs/>
          <w:kern w:val="0"/>
          <w:sz w:val="28"/>
          <w:szCs w:val="28"/>
        </w:rPr>
        <w:t>、合同签订</w:t>
      </w:r>
    </w:p>
    <w:p>
      <w:pPr>
        <w:widowControl/>
        <w:spacing w:line="240" w:lineRule="auto"/>
        <w:ind w:left="-428" w:leftChars="-204" w:firstLine="557" w:firstLineChars="199"/>
        <w:jc w:val="left"/>
        <w:rPr>
          <w:rFonts w:hint="eastAsia"/>
        </w:rPr>
      </w:pPr>
      <w:r>
        <w:rPr>
          <w:rFonts w:hint="eastAsia" w:ascii="宋体" w:hAnsi="宋体" w:eastAsia="宋体" w:cs="宋体"/>
          <w:b w:val="0"/>
          <w:bCs w:val="0"/>
          <w:kern w:val="0"/>
          <w:sz w:val="28"/>
          <w:szCs w:val="28"/>
        </w:rPr>
        <w:t>招标人和中标人应当自公示结束后</w:t>
      </w:r>
      <w:sdt>
        <w:sdtPr>
          <w:rPr>
            <w:rFonts w:hint="eastAsia" w:ascii="宋体" w:hAnsi="宋体" w:eastAsia="宋体" w:cs="宋体"/>
            <w:b w:val="0"/>
            <w:bCs w:val="0"/>
            <w:kern w:val="0"/>
            <w:sz w:val="28"/>
            <w:szCs w:val="28"/>
          </w:rPr>
          <w:alias w:val="无特殊情况不建议修改"/>
          <w:tag w:val="无特殊情况不建议修改"/>
          <w:id w:val="-183904816"/>
          <w:placeholder>
            <w:docPart w:val="DefaultPlaceholder_-1854013440"/>
          </w:placeholder>
          <w15:color w:val="FF0000"/>
        </w:sdtPr>
        <w:sdtEndPr>
          <w:rPr>
            <w:rFonts w:hint="default" w:ascii="宋体" w:hAnsi="宋体" w:eastAsia="宋体" w:cs="宋体"/>
            <w:b w:val="0"/>
            <w:bCs w:val="0"/>
            <w:color w:val="FF0000"/>
            <w:kern w:val="0"/>
            <w:sz w:val="28"/>
            <w:szCs w:val="28"/>
            <w:u w:val="single"/>
            <w:lang w:val="en-US"/>
          </w:rPr>
        </w:sdtEndPr>
        <w:sdtContent>
          <w:r>
            <w:rPr>
              <w:rFonts w:hint="eastAsia" w:ascii="宋体" w:hAnsi="宋体" w:cs="宋体"/>
              <w:b w:val="0"/>
              <w:bCs w:val="0"/>
              <w:color w:val="FF0000"/>
              <w:kern w:val="0"/>
              <w:sz w:val="28"/>
              <w:szCs w:val="28"/>
              <w:u w:val="single"/>
              <w:lang w:val="en-US" w:eastAsia="zh-CN"/>
            </w:rPr>
            <w:t>7</w:t>
          </w:r>
        </w:sdtContent>
      </w:sdt>
      <w:r>
        <w:rPr>
          <w:rFonts w:hint="eastAsia" w:ascii="宋体" w:hAnsi="宋体" w:eastAsia="宋体" w:cs="宋体"/>
          <w:b w:val="0"/>
          <w:bCs w:val="0"/>
          <w:kern w:val="0"/>
          <w:sz w:val="28"/>
          <w:szCs w:val="28"/>
          <w:lang w:val="en-US" w:eastAsia="zh-CN"/>
        </w:rPr>
        <w:t>工作日</w:t>
      </w:r>
      <w:r>
        <w:rPr>
          <w:rFonts w:hint="eastAsia" w:ascii="宋体" w:hAnsi="宋体" w:eastAsia="宋体" w:cs="宋体"/>
          <w:b w:val="0"/>
          <w:bCs w:val="0"/>
          <w:kern w:val="0"/>
          <w:sz w:val="28"/>
          <w:szCs w:val="28"/>
        </w:rPr>
        <w:t>内签订</w:t>
      </w:r>
      <w:r>
        <w:rPr>
          <w:rFonts w:hint="eastAsia" w:ascii="宋体" w:hAnsi="宋体" w:cs="宋体"/>
          <w:b w:val="0"/>
          <w:bCs w:val="0"/>
          <w:kern w:val="0"/>
          <w:sz w:val="28"/>
          <w:szCs w:val="28"/>
          <w:lang w:eastAsia="zh-CN"/>
        </w:rPr>
        <w:t>服务</w:t>
      </w:r>
      <w:r>
        <w:rPr>
          <w:rFonts w:hint="eastAsia" w:ascii="宋体" w:hAnsi="宋体" w:eastAsia="宋体" w:cs="宋体"/>
          <w:b w:val="0"/>
          <w:bCs w:val="0"/>
          <w:kern w:val="0"/>
          <w:sz w:val="28"/>
          <w:szCs w:val="28"/>
        </w:rPr>
        <w:t>合同。</w:t>
      </w:r>
    </w:p>
    <w:p>
      <w:pPr>
        <w:pStyle w:val="2"/>
        <w:spacing w:line="240" w:lineRule="auto"/>
        <w:ind w:left="-708" w:leftChars="-337" w:firstLine="843" w:firstLineChars="3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三、项目概况及要求：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55"/>
        <w:rPr>
          <w:rFonts w:hint="eastAsia" w:ascii="宋体" w:hAnsi="宋体" w:eastAsia="宋体" w:cs="宋体"/>
          <w:i w:val="0"/>
          <w:iCs w:val="0"/>
          <w:caps w:val="0"/>
          <w:color w:val="auto"/>
          <w:spacing w:val="0"/>
          <w:sz w:val="28"/>
          <w:szCs w:val="28"/>
          <w:lang w:val="en-US" w:eastAsia="zh-CN"/>
        </w:rPr>
      </w:pPr>
      <w:r>
        <w:rPr>
          <w:rFonts w:hint="eastAsia" w:ascii="宋体" w:hAnsi="宋体" w:cs="宋体"/>
          <w:i w:val="0"/>
          <w:iCs w:val="0"/>
          <w:caps w:val="0"/>
          <w:color w:val="424242"/>
          <w:spacing w:val="0"/>
          <w:sz w:val="28"/>
          <w:szCs w:val="28"/>
          <w:lang w:val="en-US" w:eastAsia="zh-CN"/>
        </w:rPr>
        <w:t>（1）</w:t>
      </w:r>
      <w:r>
        <w:rPr>
          <w:rFonts w:hint="eastAsia" w:ascii="宋体" w:hAnsi="宋体" w:eastAsia="宋体" w:cs="宋体"/>
          <w:i w:val="0"/>
          <w:iCs w:val="0"/>
          <w:caps w:val="0"/>
          <w:color w:val="auto"/>
          <w:spacing w:val="0"/>
          <w:sz w:val="28"/>
          <w:szCs w:val="28"/>
          <w:lang w:val="en-US" w:eastAsia="zh-CN"/>
        </w:rPr>
        <w:t>项目概况：</w:t>
      </w:r>
      <w:r>
        <w:rPr>
          <w:rFonts w:hint="eastAsia" w:ascii="宋体" w:hAnsi="宋体" w:eastAsia="宋体" w:cs="宋体"/>
          <w:i w:val="0"/>
          <w:iCs w:val="0"/>
          <w:caps w:val="0"/>
          <w:color w:val="auto"/>
          <w:spacing w:val="0"/>
          <w:sz w:val="28"/>
          <w:szCs w:val="28"/>
          <w:lang w:eastAsia="zh-CN"/>
        </w:rPr>
        <w:t>广西壮族自治区桂东人民医院属三级甲等医院，202</w:t>
      </w:r>
      <w:r>
        <w:rPr>
          <w:rFonts w:hint="eastAsia" w:ascii="宋体" w:hAnsi="宋体" w:eastAsia="宋体" w:cs="宋体"/>
          <w:i w:val="0"/>
          <w:iCs w:val="0"/>
          <w:caps w:val="0"/>
          <w:color w:val="auto"/>
          <w:spacing w:val="0"/>
          <w:sz w:val="28"/>
          <w:szCs w:val="28"/>
          <w:lang w:val="en-US" w:eastAsia="zh-CN"/>
        </w:rPr>
        <w:t>2</w:t>
      </w:r>
      <w:r>
        <w:rPr>
          <w:rFonts w:hint="eastAsia" w:ascii="宋体" w:hAnsi="宋体" w:eastAsia="宋体" w:cs="宋体"/>
          <w:i w:val="0"/>
          <w:iCs w:val="0"/>
          <w:caps w:val="0"/>
          <w:color w:val="auto"/>
          <w:spacing w:val="0"/>
          <w:sz w:val="28"/>
          <w:szCs w:val="28"/>
        </w:rPr>
        <w:t>年</w:t>
      </w:r>
      <w:r>
        <w:rPr>
          <w:rFonts w:hint="eastAsia" w:ascii="宋体" w:hAnsi="宋体" w:eastAsia="宋体" w:cs="宋体"/>
          <w:i w:val="0"/>
          <w:iCs w:val="0"/>
          <w:caps w:val="0"/>
          <w:color w:val="auto"/>
          <w:spacing w:val="0"/>
          <w:sz w:val="28"/>
          <w:szCs w:val="28"/>
          <w:lang w:val="en-US" w:eastAsia="zh-CN"/>
        </w:rPr>
        <w:t xml:space="preserve">末资产5.08亿元、收入6.65亿元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55"/>
        <w:rPr>
          <w:rFonts w:hint="eastAsia" w:ascii="宋体" w:hAnsi="宋体" w:eastAsia="宋体" w:cs="宋体"/>
          <w:i w:val="0"/>
          <w:iCs w:val="0"/>
          <w:caps w:val="0"/>
          <w:color w:val="424242"/>
          <w:spacing w:val="0"/>
          <w:sz w:val="28"/>
          <w:szCs w:val="28"/>
        </w:rPr>
      </w:pPr>
      <w:r>
        <w:rPr>
          <w:rFonts w:hint="eastAsia" w:ascii="宋体" w:hAnsi="宋体" w:cs="宋体"/>
          <w:i w:val="0"/>
          <w:iCs w:val="0"/>
          <w:caps w:val="0"/>
          <w:color w:val="424242"/>
          <w:spacing w:val="0"/>
          <w:sz w:val="28"/>
          <w:szCs w:val="28"/>
          <w:lang w:val="en-US" w:eastAsia="zh-CN"/>
        </w:rPr>
        <w:t>（2）</w:t>
      </w:r>
      <w:r>
        <w:rPr>
          <w:rFonts w:hint="eastAsia" w:ascii="宋体" w:hAnsi="宋体" w:eastAsia="宋体" w:cs="宋体"/>
          <w:i w:val="0"/>
          <w:iCs w:val="0"/>
          <w:caps w:val="0"/>
          <w:color w:val="424242"/>
          <w:spacing w:val="0"/>
          <w:sz w:val="28"/>
          <w:szCs w:val="28"/>
        </w:rPr>
        <w:t>审计时限要求：</w:t>
      </w:r>
      <w:r>
        <w:rPr>
          <w:rFonts w:hint="eastAsia" w:ascii="宋体" w:hAnsi="宋体" w:eastAsia="宋体" w:cs="宋体"/>
          <w:i w:val="0"/>
          <w:iCs w:val="0"/>
          <w:caps w:val="0"/>
          <w:color w:val="424242"/>
          <w:spacing w:val="0"/>
          <w:sz w:val="28"/>
          <w:szCs w:val="28"/>
          <w:lang w:eastAsia="zh-CN"/>
        </w:rPr>
        <w:t>签合同后一个月内</w:t>
      </w:r>
      <w:r>
        <w:rPr>
          <w:rFonts w:hint="eastAsia" w:ascii="宋体" w:hAnsi="宋体" w:eastAsia="宋体" w:cs="宋体"/>
          <w:i w:val="0"/>
          <w:iCs w:val="0"/>
          <w:caps w:val="0"/>
          <w:color w:val="424242"/>
          <w:spacing w:val="0"/>
          <w:sz w:val="28"/>
          <w:szCs w:val="28"/>
        </w:rPr>
        <w:t>出具审计报告</w:t>
      </w:r>
      <w:r>
        <w:rPr>
          <w:rFonts w:hint="eastAsia" w:ascii="宋体" w:hAnsi="宋体" w:eastAsia="宋体" w:cs="宋体"/>
          <w:b w:val="0"/>
          <w:bCs w:val="0"/>
          <w:i w:val="0"/>
          <w:iCs w:val="0"/>
          <w:caps w:val="0"/>
          <w:color w:val="auto"/>
          <w:spacing w:val="0"/>
          <w:sz w:val="28"/>
          <w:szCs w:val="28"/>
          <w:lang w:eastAsia="zh-CN"/>
        </w:rPr>
        <w:t>和管理意见书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55"/>
        <w:rPr>
          <w:rFonts w:hint="eastAsia" w:ascii="宋体" w:hAnsi="宋体" w:eastAsia="宋体" w:cs="宋体"/>
          <w:i w:val="0"/>
          <w:iCs w:val="0"/>
          <w:caps w:val="0"/>
          <w:color w:val="424242"/>
          <w:spacing w:val="0"/>
          <w:sz w:val="28"/>
          <w:szCs w:val="28"/>
        </w:rPr>
      </w:pPr>
      <w:r>
        <w:rPr>
          <w:rFonts w:hint="eastAsia" w:ascii="宋体" w:hAnsi="宋体" w:cs="宋体"/>
          <w:i w:val="0"/>
          <w:iCs w:val="0"/>
          <w:caps w:val="0"/>
          <w:color w:val="424242"/>
          <w:spacing w:val="0"/>
          <w:sz w:val="28"/>
          <w:szCs w:val="28"/>
          <w:lang w:val="en-US" w:eastAsia="zh-CN"/>
        </w:rPr>
        <w:t>（3）</w:t>
      </w:r>
      <w:r>
        <w:rPr>
          <w:rFonts w:hint="eastAsia" w:ascii="宋体" w:hAnsi="宋体" w:eastAsia="宋体" w:cs="宋体"/>
          <w:i w:val="0"/>
          <w:iCs w:val="0"/>
          <w:caps w:val="0"/>
          <w:color w:val="424242"/>
          <w:spacing w:val="0"/>
          <w:sz w:val="28"/>
          <w:szCs w:val="28"/>
          <w:lang w:eastAsia="zh-CN"/>
        </w:rPr>
        <w:t>开标中选服务</w:t>
      </w:r>
      <w:r>
        <w:rPr>
          <w:rFonts w:hint="eastAsia" w:ascii="宋体" w:hAnsi="宋体" w:eastAsia="宋体" w:cs="宋体"/>
          <w:i w:val="0"/>
          <w:iCs w:val="0"/>
          <w:caps w:val="0"/>
          <w:color w:val="424242"/>
          <w:spacing w:val="0"/>
          <w:sz w:val="28"/>
          <w:szCs w:val="28"/>
        </w:rPr>
        <w:t>数：1家</w:t>
      </w:r>
    </w:p>
    <w:p>
      <w:pPr>
        <w:widowControl/>
        <w:spacing w:line="240" w:lineRule="auto"/>
        <w:ind w:left="-613" w:leftChars="-292" w:firstLine="481" w:firstLineChars="172"/>
        <w:jc w:val="left"/>
        <w:rPr>
          <w:rFonts w:hint="eastAsia" w:ascii="宋体" w:hAnsi="宋体" w:eastAsia="宋体" w:cs="宋体"/>
          <w:kern w:val="0"/>
          <w:sz w:val="28"/>
          <w:szCs w:val="28"/>
          <w:lang w:eastAsia="zh-CN"/>
        </w:rPr>
      </w:pPr>
    </w:p>
    <w:p>
      <w:pPr>
        <w:widowControl/>
        <w:spacing w:line="240" w:lineRule="auto"/>
        <w:jc w:val="center"/>
        <w:rPr>
          <w:rFonts w:hint="eastAsia" w:cs="宋体"/>
          <w:b/>
          <w:bCs/>
          <w:kern w:val="0"/>
          <w:sz w:val="38"/>
          <w:szCs w:val="38"/>
        </w:rPr>
      </w:pPr>
      <w:r>
        <w:rPr>
          <w:rFonts w:hint="eastAsia" w:ascii="宋体" w:hAnsi="宋体" w:eastAsia="宋体" w:cs="宋体"/>
          <w:b/>
          <w:bCs/>
          <w:kern w:val="0"/>
          <w:sz w:val="28"/>
          <w:szCs w:val="28"/>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一、评标方法与定标原则</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评委会将对确定为实质性响应招标文件要求的投标文件进行评价和比较，评标方法采用</w:t>
      </w:r>
      <w:r>
        <w:rPr>
          <w:rFonts w:hint="eastAsia" w:ascii="宋体" w:hAnsi="宋体" w:eastAsia="宋体" w:cs="宋体"/>
          <w:b w:val="0"/>
          <w:bCs w:val="0"/>
          <w:kern w:val="0"/>
          <w:sz w:val="28"/>
          <w:szCs w:val="28"/>
          <w:u w:val="single"/>
        </w:rPr>
        <w:t xml:space="preserve"> </w:t>
      </w:r>
      <w:sdt>
        <w:sdtPr>
          <w:rPr>
            <w:rFonts w:hint="eastAsia" w:ascii="宋体" w:hAnsi="宋体" w:eastAsia="宋体" w:cs="宋体"/>
            <w:b w:val="0"/>
            <w:bCs w:val="0"/>
            <w:kern w:val="0"/>
            <w:sz w:val="28"/>
            <w:szCs w:val="28"/>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ascii="宋体" w:hAnsi="宋体" w:eastAsia="宋体" w:cs="宋体"/>
            <w:b w:val="0"/>
            <w:bCs w:val="0"/>
            <w:kern w:val="0"/>
            <w:sz w:val="28"/>
            <w:szCs w:val="28"/>
            <w:u w:val="single"/>
          </w:rPr>
        </w:sdtEndPr>
        <w:sdtContent>
          <w:r>
            <w:rPr>
              <w:rFonts w:hint="eastAsia" w:ascii="宋体" w:hAnsi="宋体" w:eastAsia="宋体" w:cs="宋体"/>
              <w:b/>
              <w:bCs/>
              <w:kern w:val="0"/>
              <w:sz w:val="28"/>
              <w:szCs w:val="28"/>
              <w:u w:val="single"/>
              <w:lang w:eastAsia="zh-CN"/>
            </w:rPr>
            <w:t>综合评分法</w:t>
          </w:r>
        </w:sdtContent>
      </w:sdt>
      <w:r>
        <w:rPr>
          <w:rFonts w:hint="eastAsia" w:ascii="宋体" w:hAnsi="宋体" w:eastAsia="宋体" w:cs="宋体"/>
          <w:b w:val="0"/>
          <w:bCs w:val="0"/>
          <w:kern w:val="0"/>
          <w:sz w:val="28"/>
          <w:szCs w:val="28"/>
          <w:u w:val="single"/>
        </w:rPr>
        <w:t xml:space="preserve">  </w:t>
      </w:r>
      <w:r>
        <w:rPr>
          <w:rFonts w:hint="eastAsia" w:ascii="宋体" w:hAnsi="宋体" w:eastAsia="宋体" w:cs="宋体"/>
          <w:b w:val="0"/>
          <w:bCs w:val="0"/>
          <w:kern w:val="0"/>
          <w:sz w:val="28"/>
          <w:szCs w:val="28"/>
        </w:rPr>
        <w:t>确定中标候选人。</w:t>
      </w:r>
    </w:p>
    <w:p>
      <w:pPr>
        <w:widowControl/>
        <w:spacing w:line="360" w:lineRule="auto"/>
        <w:ind w:firstLine="560" w:firstLineChars="200"/>
        <w:jc w:val="left"/>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rPr>
        <w:t>二、评分标准</w:t>
      </w:r>
      <w:r>
        <w:rPr>
          <w:rFonts w:hint="eastAsia" w:ascii="宋体" w:hAnsi="宋体" w:cs="宋体"/>
          <w:b w:val="0"/>
          <w:bCs w:val="0"/>
          <w:kern w:val="0"/>
          <w:sz w:val="28"/>
          <w:szCs w:val="28"/>
          <w:lang w:eastAsia="zh-CN"/>
        </w:rPr>
        <w:t>（见附表）</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本项目评分总分值为100分。</w:t>
      </w:r>
    </w:p>
    <w:p>
      <w:pPr>
        <w:widowControl/>
        <w:numPr>
          <w:ilvl w:val="0"/>
          <w:numId w:val="2"/>
        </w:numPr>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投标报价分（</w:t>
      </w:r>
      <w:r>
        <w:rPr>
          <w:rFonts w:hint="eastAsia" w:ascii="宋体" w:hAnsi="宋体" w:cs="宋体"/>
          <w:b w:val="0"/>
          <w:bCs w:val="0"/>
          <w:kern w:val="0"/>
          <w:sz w:val="28"/>
          <w:szCs w:val="28"/>
          <w:lang w:val="en-US" w:eastAsia="zh-CN"/>
        </w:rPr>
        <w:t>3</w:t>
      </w:r>
      <w:r>
        <w:rPr>
          <w:rFonts w:hint="eastAsia" w:ascii="宋体" w:hAnsi="宋体" w:eastAsia="宋体" w:cs="宋体"/>
          <w:b w:val="0"/>
          <w:bCs w:val="0"/>
          <w:kern w:val="0"/>
          <w:sz w:val="28"/>
          <w:szCs w:val="28"/>
          <w:lang w:val="en-US" w:eastAsia="zh-CN"/>
        </w:rPr>
        <w:t>0</w:t>
      </w:r>
      <w:r>
        <w:rPr>
          <w:rFonts w:hint="eastAsia" w:ascii="宋体" w:hAnsi="宋体" w:eastAsia="宋体" w:cs="宋体"/>
          <w:b w:val="0"/>
          <w:bCs w:val="0"/>
          <w:kern w:val="0"/>
          <w:sz w:val="28"/>
          <w:szCs w:val="28"/>
        </w:rPr>
        <w:t>分）</w:t>
      </w:r>
    </w:p>
    <w:p>
      <w:pPr>
        <w:widowControl/>
        <w:spacing w:line="360" w:lineRule="auto"/>
        <w:ind w:left="482"/>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1.1投标报价超过项目预算的计为0分，列为无效投标。</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1.2 以有效投标中最低的报价为评标基准价，其价格分为满分。</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1.3 各有效投标人的投标报价得分按照下列公式计算：</w:t>
      </w:r>
    </w:p>
    <w:p>
      <w:pPr>
        <w:pStyle w:val="2"/>
        <w:ind w:firstLine="1120" w:firstLineChars="400"/>
        <w:rPr>
          <w:rFonts w:hint="eastAsia" w:ascii="宋体" w:hAnsi="宋体" w:eastAsia="宋体" w:cs="宋体"/>
          <w:b w:val="0"/>
          <w:bCs w:val="0"/>
          <w:sz w:val="28"/>
          <w:szCs w:val="28"/>
        </w:rPr>
      </w:pPr>
      <w:r>
        <w:rPr>
          <w:rFonts w:hint="eastAsia" w:ascii="宋体" w:hAnsi="宋体" w:eastAsia="宋体" w:cs="宋体"/>
          <w:b w:val="0"/>
          <w:bCs w:val="0"/>
          <w:sz w:val="28"/>
          <w:szCs w:val="28"/>
        </w:rPr>
        <w:t>投标报价得分=（评标基准价÷投标报价）×</w:t>
      </w:r>
      <w:r>
        <w:rPr>
          <w:rFonts w:hint="eastAsia" w:ascii="宋体" w:hAnsi="宋体" w:eastAsia="宋体" w:cs="宋体"/>
          <w:b w:val="0"/>
          <w:bCs w:val="0"/>
          <w:color w:val="auto"/>
          <w:sz w:val="28"/>
          <w:szCs w:val="28"/>
        </w:rPr>
        <w:t>X</w:t>
      </w:r>
      <w:r>
        <w:rPr>
          <w:rFonts w:hint="eastAsia" w:ascii="宋体" w:hAnsi="宋体" w:eastAsia="宋体" w:cs="宋体"/>
          <w:b w:val="0"/>
          <w:bCs w:val="0"/>
          <w:sz w:val="28"/>
          <w:szCs w:val="28"/>
        </w:rPr>
        <w:t>（保留两位小数）</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2.</w:t>
      </w:r>
      <w:r>
        <w:rPr>
          <w:rFonts w:hint="eastAsia" w:ascii="宋体" w:hAnsi="宋体" w:eastAsia="宋体" w:cs="宋体"/>
          <w:b w:val="0"/>
          <w:bCs w:val="0"/>
          <w:kern w:val="0"/>
          <w:sz w:val="28"/>
          <w:szCs w:val="28"/>
          <w:lang w:eastAsia="zh-CN"/>
        </w:rPr>
        <w:t>服务业绩</w:t>
      </w:r>
      <w:r>
        <w:rPr>
          <w:rFonts w:hint="eastAsia" w:ascii="宋体" w:hAnsi="宋体" w:eastAsia="宋体" w:cs="宋体"/>
          <w:b w:val="0"/>
          <w:bCs w:val="0"/>
          <w:kern w:val="0"/>
          <w:sz w:val="28"/>
          <w:szCs w:val="28"/>
        </w:rPr>
        <w:t>分（</w:t>
      </w:r>
      <w:r>
        <w:rPr>
          <w:rFonts w:hint="eastAsia" w:ascii="宋体" w:hAnsi="宋体" w:cs="宋体"/>
          <w:b w:val="0"/>
          <w:bCs w:val="0"/>
          <w:kern w:val="0"/>
          <w:sz w:val="28"/>
          <w:szCs w:val="28"/>
          <w:lang w:val="en-US" w:eastAsia="zh-CN"/>
        </w:rPr>
        <w:t>2</w:t>
      </w:r>
      <w:r>
        <w:rPr>
          <w:rFonts w:hint="eastAsia" w:ascii="宋体" w:hAnsi="宋体" w:eastAsia="宋体" w:cs="宋体"/>
          <w:b w:val="0"/>
          <w:bCs w:val="0"/>
          <w:kern w:val="0"/>
          <w:sz w:val="28"/>
          <w:szCs w:val="28"/>
          <w:lang w:val="en-US" w:eastAsia="zh-CN"/>
        </w:rPr>
        <w:t>0</w:t>
      </w:r>
      <w:r>
        <w:rPr>
          <w:rFonts w:hint="eastAsia" w:ascii="宋体" w:hAnsi="宋体" w:eastAsia="宋体" w:cs="宋体"/>
          <w:b w:val="0"/>
          <w:bCs w:val="0"/>
          <w:kern w:val="0"/>
          <w:sz w:val="28"/>
          <w:szCs w:val="28"/>
        </w:rPr>
        <w:t>分）</w:t>
      </w:r>
    </w:p>
    <w:p>
      <w:pPr>
        <w:pStyle w:val="2"/>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sz w:val="28"/>
          <w:szCs w:val="28"/>
          <w:lang w:eastAsia="zh-CN"/>
        </w:rPr>
        <w:t>近3年来审计的三级医院，有1-5家以内的，每家得2分，第6家以上的，每家得3分，满分20分</w:t>
      </w:r>
    </w:p>
    <w:p>
      <w:pPr>
        <w:widowControl/>
        <w:spacing w:line="360" w:lineRule="auto"/>
        <w:ind w:firstLine="560" w:firstLineChars="200"/>
        <w:jc w:val="left"/>
        <w:rPr>
          <w:rFonts w:hint="eastAsia" w:ascii="宋体" w:hAnsi="宋体" w:eastAsia="宋体" w:cs="宋体"/>
          <w:b w:val="0"/>
          <w:bCs w:val="0"/>
          <w:kern w:val="0"/>
          <w:sz w:val="28"/>
          <w:szCs w:val="28"/>
          <w:lang w:val="en-US"/>
        </w:rPr>
      </w:pPr>
      <w:r>
        <w:rPr>
          <w:rFonts w:hint="eastAsia" w:ascii="宋体" w:hAnsi="宋体" w:eastAsia="宋体" w:cs="宋体"/>
          <w:b w:val="0"/>
          <w:bCs w:val="0"/>
          <w:kern w:val="0"/>
          <w:sz w:val="28"/>
          <w:szCs w:val="28"/>
        </w:rPr>
        <w:t xml:space="preserve">3. </w:t>
      </w:r>
      <w:r>
        <w:rPr>
          <w:rFonts w:hint="eastAsia" w:ascii="宋体" w:hAnsi="宋体" w:eastAsia="宋体" w:cs="宋体"/>
          <w:b w:val="0"/>
          <w:bCs w:val="0"/>
          <w:kern w:val="0"/>
          <w:sz w:val="28"/>
          <w:szCs w:val="28"/>
          <w:lang w:eastAsia="zh-CN"/>
        </w:rPr>
        <w:t>审计服务分（</w:t>
      </w:r>
      <w:r>
        <w:rPr>
          <w:rFonts w:hint="eastAsia" w:ascii="宋体" w:hAnsi="宋体" w:eastAsia="宋体" w:cs="宋体"/>
          <w:b w:val="0"/>
          <w:bCs w:val="0"/>
          <w:kern w:val="0"/>
          <w:sz w:val="28"/>
          <w:szCs w:val="28"/>
          <w:lang w:val="en-US" w:eastAsia="zh-CN"/>
        </w:rPr>
        <w:t>40分）</w:t>
      </w:r>
    </w:p>
    <w:p>
      <w:pPr>
        <w:pStyle w:val="2"/>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对</w:t>
      </w:r>
      <w:r>
        <w:rPr>
          <w:rFonts w:hint="eastAsia" w:ascii="宋体" w:hAnsi="宋体" w:eastAsia="宋体" w:cs="宋体"/>
          <w:b w:val="0"/>
          <w:bCs w:val="0"/>
          <w:sz w:val="28"/>
          <w:szCs w:val="28"/>
        </w:rPr>
        <w:t>投标人的</w:t>
      </w:r>
      <w:r>
        <w:rPr>
          <w:rFonts w:hint="eastAsia" w:ascii="宋体" w:hAnsi="宋体" w:eastAsia="宋体" w:cs="宋体"/>
          <w:b w:val="0"/>
          <w:bCs w:val="0"/>
          <w:sz w:val="28"/>
          <w:szCs w:val="28"/>
          <w:lang w:eastAsia="zh-CN"/>
        </w:rPr>
        <w:t>审计服务方案</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时间进度</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服务范围、服务措施</w:t>
      </w:r>
      <w:r>
        <w:rPr>
          <w:rFonts w:hint="eastAsia" w:ascii="宋体" w:hAnsi="宋体" w:eastAsia="宋体" w:cs="宋体"/>
          <w:b w:val="0"/>
          <w:bCs w:val="0"/>
          <w:sz w:val="28"/>
          <w:szCs w:val="28"/>
        </w:rPr>
        <w:t>等情况</w:t>
      </w:r>
      <w:r>
        <w:rPr>
          <w:rFonts w:hint="eastAsia" w:ascii="宋体" w:hAnsi="宋体" w:eastAsia="宋体" w:cs="宋体"/>
          <w:b w:val="0"/>
          <w:bCs w:val="0"/>
          <w:sz w:val="28"/>
          <w:szCs w:val="28"/>
          <w:lang w:eastAsia="zh-CN"/>
        </w:rPr>
        <w:t>评分</w:t>
      </w:r>
    </w:p>
    <w:p>
      <w:pPr>
        <w:pStyle w:val="2"/>
        <w:numPr>
          <w:ilvl w:val="0"/>
          <w:numId w:val="3"/>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企业资质</w:t>
      </w:r>
      <w:r>
        <w:rPr>
          <w:rFonts w:hint="eastAsia" w:ascii="宋体" w:hAnsi="宋体" w:eastAsia="宋体" w:cs="宋体"/>
          <w:b w:val="0"/>
          <w:bCs w:val="0"/>
          <w:sz w:val="28"/>
          <w:szCs w:val="28"/>
        </w:rPr>
        <w:t>分</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10</w:t>
      </w:r>
      <w:r>
        <w:rPr>
          <w:rFonts w:hint="eastAsia" w:ascii="宋体" w:hAnsi="宋体" w:eastAsia="宋体" w:cs="宋体"/>
          <w:b w:val="0"/>
          <w:bCs w:val="0"/>
          <w:sz w:val="28"/>
          <w:szCs w:val="28"/>
          <w:lang w:eastAsia="zh-CN"/>
        </w:rPr>
        <w:t>）</w:t>
      </w: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对服务人员状况等的评分</w:t>
      </w:r>
    </w:p>
    <w:p>
      <w:pPr>
        <w:jc w:val="both"/>
        <w:rPr>
          <w:rFonts w:hint="eastAsia" w:ascii="宋体" w:hAnsi="宋体" w:eastAsia="宋体" w:cs="宋体"/>
          <w:b w:val="0"/>
          <w:bCs w:val="0"/>
          <w:sz w:val="28"/>
          <w:szCs w:val="28"/>
        </w:rPr>
      </w:pPr>
    </w:p>
    <w:p>
      <w:pPr>
        <w:jc w:val="both"/>
        <w:rPr>
          <w:rFonts w:hint="eastAsia" w:ascii="宋体" w:hAnsi="宋体" w:eastAsia="宋体" w:cs="宋体"/>
          <w:b w:val="0"/>
          <w:bCs w:val="0"/>
          <w:sz w:val="28"/>
          <w:szCs w:val="28"/>
        </w:rPr>
      </w:pPr>
    </w:p>
    <w:p>
      <w:pPr>
        <w:jc w:val="both"/>
        <w:rPr>
          <w:rFonts w:hint="eastAsia" w:ascii="宋体" w:hAnsi="宋体" w:eastAsia="宋体" w:cs="宋体"/>
          <w:b w:val="0"/>
          <w:bCs w:val="0"/>
          <w:sz w:val="28"/>
          <w:szCs w:val="28"/>
        </w:rPr>
      </w:pPr>
    </w:p>
    <w:p>
      <w:pPr>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附件：</w:t>
      </w:r>
    </w:p>
    <w:p>
      <w:pPr>
        <w:jc w:val="center"/>
        <w:rPr>
          <w:rFonts w:hint="eastAsia"/>
          <w:sz w:val="28"/>
          <w:szCs w:val="28"/>
          <w:lang w:eastAsia="zh-CN"/>
        </w:rPr>
      </w:pPr>
      <w:r>
        <w:rPr>
          <w:rFonts w:hint="eastAsia"/>
          <w:sz w:val="28"/>
          <w:szCs w:val="28"/>
          <w:lang w:eastAsia="zh-CN"/>
        </w:rPr>
        <w:t>评分标准</w:t>
      </w:r>
    </w:p>
    <w:tbl>
      <w:tblPr>
        <w:tblStyle w:val="10"/>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880"/>
        <w:gridCol w:w="871"/>
        <w:gridCol w:w="3941"/>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jc w:val="center"/>
              <w:rPr>
                <w:rFonts w:hint="eastAsia"/>
                <w:vertAlign w:val="baseline"/>
                <w:lang w:eastAsia="zh-CN"/>
              </w:rPr>
            </w:pPr>
            <w:r>
              <w:rPr>
                <w:rFonts w:hint="eastAsia"/>
                <w:lang w:eastAsia="zh-CN"/>
              </w:rPr>
              <w:t>序号</w:t>
            </w:r>
          </w:p>
        </w:tc>
        <w:tc>
          <w:tcPr>
            <w:tcW w:w="18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2"/>
                <w:szCs w:val="22"/>
                <w:u w:val="none"/>
                <w:lang w:val="en-US" w:eastAsia="zh-CN" w:bidi="ar"/>
              </w:rPr>
              <w:t>评分要素及权重</w:t>
            </w:r>
          </w:p>
        </w:tc>
        <w:tc>
          <w:tcPr>
            <w:tcW w:w="87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2"/>
                <w:szCs w:val="22"/>
                <w:u w:val="none"/>
                <w:lang w:val="en-US" w:eastAsia="zh-CN" w:bidi="ar"/>
              </w:rPr>
              <w:t>分值</w:t>
            </w:r>
          </w:p>
        </w:tc>
        <w:tc>
          <w:tcPr>
            <w:tcW w:w="394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2"/>
                <w:szCs w:val="22"/>
                <w:u w:val="none"/>
                <w:lang w:val="en-US" w:eastAsia="zh-CN" w:bidi="ar"/>
              </w:rPr>
              <w:t>评分标准</w:t>
            </w:r>
          </w:p>
        </w:tc>
        <w:tc>
          <w:tcPr>
            <w:tcW w:w="1756"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2"/>
                <w:szCs w:val="22"/>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rFonts w:hint="eastAsia"/>
                <w:vertAlign w:val="baseline"/>
                <w:lang w:val="en-US" w:eastAsia="zh-CN"/>
              </w:rPr>
            </w:pPr>
            <w:r>
              <w:rPr>
                <w:rFonts w:hint="eastAsia"/>
                <w:vertAlign w:val="baseline"/>
                <w:lang w:val="en-US" w:eastAsia="zh-CN"/>
              </w:rPr>
              <w:t>1</w:t>
            </w:r>
          </w:p>
        </w:tc>
        <w:tc>
          <w:tcPr>
            <w:tcW w:w="1880" w:type="dxa"/>
            <w:vAlign w:val="center"/>
          </w:tcPr>
          <w:p>
            <w:pPr>
              <w:jc w:val="center"/>
              <w:rPr>
                <w:rFonts w:hint="eastAsia"/>
                <w:vertAlign w:val="baseline"/>
                <w:lang w:val="en-US" w:eastAsia="zh-CN"/>
              </w:rPr>
            </w:pPr>
            <w:r>
              <w:rPr>
                <w:rFonts w:hint="eastAsia"/>
                <w:vertAlign w:val="baseline"/>
                <w:lang w:eastAsia="zh-CN"/>
              </w:rPr>
              <w:t>投标报价分</w:t>
            </w:r>
            <w:r>
              <w:rPr>
                <w:rFonts w:hint="eastAsia"/>
                <w:vertAlign w:val="baseline"/>
                <w:lang w:val="en-US" w:eastAsia="zh-CN"/>
              </w:rPr>
              <w:t>30%</w:t>
            </w:r>
          </w:p>
        </w:tc>
        <w:tc>
          <w:tcPr>
            <w:tcW w:w="871" w:type="dxa"/>
            <w:vAlign w:val="center"/>
          </w:tcPr>
          <w:p>
            <w:pPr>
              <w:jc w:val="center"/>
              <w:rPr>
                <w:rFonts w:hint="eastAsia"/>
                <w:vertAlign w:val="baseline"/>
                <w:lang w:val="en-US" w:eastAsia="zh-CN"/>
              </w:rPr>
            </w:pPr>
            <w:r>
              <w:rPr>
                <w:rFonts w:hint="eastAsia"/>
                <w:vertAlign w:val="baseline"/>
                <w:lang w:val="en-US" w:eastAsia="zh-CN"/>
              </w:rPr>
              <w:t>30分</w:t>
            </w:r>
          </w:p>
        </w:tc>
        <w:tc>
          <w:tcPr>
            <w:tcW w:w="3941" w:type="dxa"/>
          </w:tcPr>
          <w:p>
            <w:pPr>
              <w:rPr>
                <w:rFonts w:hint="eastAsia"/>
                <w:vertAlign w:val="baseline"/>
                <w:lang w:val="en-US" w:eastAsia="zh-CN"/>
              </w:rPr>
            </w:pPr>
            <w:r>
              <w:rPr>
                <w:rFonts w:hint="eastAsia"/>
                <w:vertAlign w:val="baseline"/>
                <w:lang w:eastAsia="zh-CN"/>
              </w:rPr>
              <w:t>以有效招标价最低价为基准值，报价得分</w:t>
            </w:r>
            <w:r>
              <w:rPr>
                <w:rFonts w:hint="eastAsia"/>
                <w:vertAlign w:val="baseline"/>
                <w:lang w:val="en-US" w:eastAsia="zh-CN"/>
              </w:rPr>
              <w:t>=（最低价/报价*30）</w:t>
            </w:r>
          </w:p>
        </w:tc>
        <w:tc>
          <w:tcPr>
            <w:tcW w:w="1756" w:type="dxa"/>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rFonts w:hint="eastAsia"/>
                <w:vertAlign w:val="baseline"/>
                <w:lang w:val="en-US" w:eastAsia="zh-CN"/>
              </w:rPr>
            </w:pPr>
            <w:r>
              <w:rPr>
                <w:rFonts w:hint="eastAsia"/>
                <w:vertAlign w:val="baseline"/>
                <w:lang w:val="en-US" w:eastAsia="zh-CN"/>
              </w:rPr>
              <w:t>2</w:t>
            </w:r>
          </w:p>
        </w:tc>
        <w:tc>
          <w:tcPr>
            <w:tcW w:w="1880" w:type="dxa"/>
            <w:vAlign w:val="center"/>
          </w:tcPr>
          <w:p>
            <w:pPr>
              <w:jc w:val="center"/>
              <w:rPr>
                <w:rFonts w:hint="eastAsia"/>
                <w:vertAlign w:val="baseline"/>
                <w:lang w:val="en-US" w:eastAsia="zh-CN"/>
              </w:rPr>
            </w:pPr>
            <w:r>
              <w:rPr>
                <w:rFonts w:hint="eastAsia"/>
                <w:vertAlign w:val="baseline"/>
                <w:lang w:eastAsia="zh-CN"/>
              </w:rPr>
              <w:t>业绩分</w:t>
            </w:r>
            <w:r>
              <w:rPr>
                <w:rFonts w:hint="eastAsia"/>
                <w:vertAlign w:val="baseline"/>
                <w:lang w:val="en-US" w:eastAsia="zh-CN"/>
              </w:rPr>
              <w:t>20%</w:t>
            </w:r>
          </w:p>
        </w:tc>
        <w:tc>
          <w:tcPr>
            <w:tcW w:w="871" w:type="dxa"/>
            <w:vAlign w:val="center"/>
          </w:tcPr>
          <w:p>
            <w:pPr>
              <w:jc w:val="center"/>
              <w:rPr>
                <w:rFonts w:hint="eastAsia"/>
                <w:vertAlign w:val="baseline"/>
                <w:lang w:val="en-US" w:eastAsia="zh-CN"/>
              </w:rPr>
            </w:pPr>
            <w:r>
              <w:rPr>
                <w:rFonts w:hint="eastAsia"/>
                <w:vertAlign w:val="baseline"/>
                <w:lang w:val="en-US" w:eastAsia="zh-CN"/>
              </w:rPr>
              <w:t>20分</w:t>
            </w:r>
          </w:p>
        </w:tc>
        <w:tc>
          <w:tcPr>
            <w:tcW w:w="3941" w:type="dxa"/>
          </w:tcPr>
          <w:p>
            <w:pPr>
              <w:numPr>
                <w:ilvl w:val="0"/>
                <w:numId w:val="0"/>
              </w:numPr>
              <w:rPr>
                <w:rFonts w:hint="eastAsia"/>
                <w:lang w:val="en-US" w:eastAsia="zh-CN"/>
              </w:rPr>
            </w:pPr>
            <w:r>
              <w:rPr>
                <w:rFonts w:hint="eastAsia"/>
                <w:lang w:eastAsia="zh-CN"/>
              </w:rPr>
              <w:t>近3年来审计的三级医院，有1-5家以内的，每家得2分，第6家以上的，每家得3分，满分20分</w:t>
            </w:r>
          </w:p>
        </w:tc>
        <w:tc>
          <w:tcPr>
            <w:tcW w:w="1756" w:type="dxa"/>
          </w:tcPr>
          <w:p>
            <w:pPr>
              <w:rPr>
                <w:rFonts w:hint="eastAsia"/>
                <w:vertAlign w:val="baseline"/>
                <w:lang w:eastAsia="zh-CN"/>
              </w:rPr>
            </w:pPr>
            <w:r>
              <w:rPr>
                <w:rFonts w:hint="eastAsia"/>
                <w:vertAlign w:val="baseline"/>
                <w:lang w:eastAsia="zh-CN"/>
              </w:rPr>
              <w:t>附合同复印件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rFonts w:hint="eastAsia"/>
                <w:vertAlign w:val="baseline"/>
                <w:lang w:val="en-US" w:eastAsia="zh-CN"/>
              </w:rPr>
            </w:pPr>
            <w:r>
              <w:rPr>
                <w:rFonts w:hint="eastAsia"/>
                <w:vertAlign w:val="baseline"/>
                <w:lang w:val="en-US" w:eastAsia="zh-CN"/>
              </w:rPr>
              <w:t>3</w:t>
            </w:r>
          </w:p>
        </w:tc>
        <w:tc>
          <w:tcPr>
            <w:tcW w:w="1880" w:type="dxa"/>
            <w:vAlign w:val="center"/>
          </w:tcPr>
          <w:p>
            <w:pPr>
              <w:jc w:val="center"/>
              <w:rPr>
                <w:rFonts w:hint="eastAsia"/>
                <w:vertAlign w:val="baseline"/>
                <w:lang w:val="en-US" w:eastAsia="zh-CN"/>
              </w:rPr>
            </w:pPr>
            <w:r>
              <w:rPr>
                <w:rFonts w:hint="eastAsia"/>
                <w:vertAlign w:val="baseline"/>
                <w:lang w:eastAsia="zh-CN"/>
              </w:rPr>
              <w:t>审计方案</w:t>
            </w:r>
            <w:r>
              <w:rPr>
                <w:rFonts w:hint="eastAsia"/>
                <w:vertAlign w:val="baseline"/>
                <w:lang w:val="en-US" w:eastAsia="zh-CN"/>
              </w:rPr>
              <w:t>40%</w:t>
            </w:r>
          </w:p>
        </w:tc>
        <w:tc>
          <w:tcPr>
            <w:tcW w:w="871" w:type="dxa"/>
            <w:vAlign w:val="center"/>
          </w:tcPr>
          <w:p>
            <w:pPr>
              <w:jc w:val="center"/>
              <w:rPr>
                <w:rFonts w:hint="eastAsia"/>
                <w:vertAlign w:val="baseline"/>
                <w:lang w:val="en-US" w:eastAsia="zh-CN"/>
              </w:rPr>
            </w:pPr>
            <w:r>
              <w:rPr>
                <w:rFonts w:hint="eastAsia"/>
                <w:vertAlign w:val="baseline"/>
                <w:lang w:val="en-US" w:eastAsia="zh-CN"/>
              </w:rPr>
              <w:t>40分</w:t>
            </w:r>
          </w:p>
        </w:tc>
        <w:tc>
          <w:tcPr>
            <w:tcW w:w="3941" w:type="dxa"/>
          </w:tcPr>
          <w:p>
            <w:pPr>
              <w:numPr>
                <w:ilvl w:val="0"/>
                <w:numId w:val="0"/>
              </w:numPr>
              <w:ind w:left="210" w:hanging="210" w:hangingChars="100"/>
              <w:rPr>
                <w:rFonts w:hint="eastAsia"/>
                <w:vertAlign w:val="baseline"/>
                <w:lang w:val="en-US" w:eastAsia="zh-CN"/>
              </w:rPr>
            </w:pPr>
            <w:r>
              <w:rPr>
                <w:rFonts w:hint="eastAsia"/>
                <w:vertAlign w:val="baseline"/>
                <w:lang w:val="en-US" w:eastAsia="zh-CN"/>
              </w:rPr>
              <w:t>1、针对项目审计的服务工作方案详细、     完好、全面，服务目注明确，工作流程清楚、规范，方案确实可行得30分；工作方案较详尽、完好，工作流程较清楚、规范，方案确实可行得10分。</w:t>
            </w:r>
          </w:p>
          <w:p>
            <w:pPr>
              <w:numPr>
                <w:ilvl w:val="0"/>
                <w:numId w:val="0"/>
              </w:numPr>
              <w:rPr>
                <w:rFonts w:hint="eastAsia"/>
                <w:vertAlign w:val="baseline"/>
                <w:lang w:val="en-US" w:eastAsia="zh-CN"/>
              </w:rPr>
            </w:pPr>
            <w:r>
              <w:rPr>
                <w:rFonts w:hint="eastAsia"/>
                <w:vertAlign w:val="baseline"/>
                <w:lang w:val="en-US" w:eastAsia="zh-CN"/>
              </w:rPr>
              <w:t>2、时间进度设计合理3分。</w:t>
            </w:r>
          </w:p>
          <w:p>
            <w:pPr>
              <w:numPr>
                <w:ilvl w:val="0"/>
                <w:numId w:val="0"/>
              </w:numPr>
              <w:ind w:left="210" w:hanging="210" w:hangingChars="100"/>
              <w:rPr>
                <w:rFonts w:hint="eastAsia"/>
                <w:vertAlign w:val="baseline"/>
                <w:lang w:val="en-US" w:eastAsia="zh-CN"/>
              </w:rPr>
            </w:pPr>
            <w:r>
              <w:rPr>
                <w:rFonts w:hint="eastAsia"/>
                <w:vertAlign w:val="baseline"/>
                <w:lang w:val="en-US" w:eastAsia="zh-CN"/>
              </w:rPr>
              <w:t>3、对项目涉及行业及审计范围、内容和 要点有必要认知程度2分。</w:t>
            </w:r>
          </w:p>
          <w:p>
            <w:pPr>
              <w:numPr>
                <w:ilvl w:val="0"/>
                <w:numId w:val="0"/>
              </w:numPr>
              <w:ind w:left="210" w:hanging="210" w:hangingChars="100"/>
              <w:rPr>
                <w:rFonts w:hint="eastAsia"/>
                <w:vertAlign w:val="baseline"/>
                <w:lang w:val="en-US" w:eastAsia="zh-CN"/>
              </w:rPr>
            </w:pPr>
            <w:r>
              <w:rPr>
                <w:rFonts w:hint="eastAsia"/>
                <w:vertAlign w:val="baseline"/>
                <w:lang w:val="en-US" w:eastAsia="zh-CN"/>
              </w:rPr>
              <w:t>4、对审计中可能出现的困难和问题有初   步的认知和相应的举措5分。</w:t>
            </w:r>
          </w:p>
        </w:tc>
        <w:tc>
          <w:tcPr>
            <w:tcW w:w="1756" w:type="dxa"/>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638" w:type="dxa"/>
            <w:vAlign w:val="center"/>
          </w:tcPr>
          <w:p>
            <w:pPr>
              <w:jc w:val="center"/>
              <w:rPr>
                <w:rFonts w:hint="eastAsia"/>
                <w:vertAlign w:val="baseline"/>
                <w:lang w:val="en-US" w:eastAsia="zh-CN"/>
              </w:rPr>
            </w:pPr>
            <w:r>
              <w:rPr>
                <w:rFonts w:hint="eastAsia"/>
                <w:vertAlign w:val="baseline"/>
                <w:lang w:val="en-US" w:eastAsia="zh-CN"/>
              </w:rPr>
              <w:t>4</w:t>
            </w:r>
          </w:p>
        </w:tc>
        <w:tc>
          <w:tcPr>
            <w:tcW w:w="1880" w:type="dxa"/>
            <w:vAlign w:val="center"/>
          </w:tcPr>
          <w:p>
            <w:pPr>
              <w:jc w:val="center"/>
              <w:rPr>
                <w:rFonts w:hint="eastAsia"/>
                <w:vertAlign w:val="baseline"/>
                <w:lang w:val="en-US" w:eastAsia="zh-CN"/>
              </w:rPr>
            </w:pPr>
            <w:r>
              <w:rPr>
                <w:rFonts w:hint="eastAsia"/>
                <w:vertAlign w:val="baseline"/>
                <w:lang w:eastAsia="zh-CN"/>
              </w:rPr>
              <w:t>企业资质</w:t>
            </w:r>
            <w:r>
              <w:rPr>
                <w:rFonts w:hint="eastAsia"/>
                <w:vertAlign w:val="baseline"/>
                <w:lang w:val="en-US" w:eastAsia="zh-CN"/>
              </w:rPr>
              <w:t>10%</w:t>
            </w:r>
          </w:p>
        </w:tc>
        <w:tc>
          <w:tcPr>
            <w:tcW w:w="871" w:type="dxa"/>
            <w:vAlign w:val="center"/>
          </w:tcPr>
          <w:p>
            <w:pPr>
              <w:jc w:val="center"/>
              <w:rPr>
                <w:rFonts w:hint="eastAsia"/>
                <w:vertAlign w:val="baseline"/>
                <w:lang w:val="en-US" w:eastAsia="zh-CN"/>
              </w:rPr>
            </w:pPr>
            <w:r>
              <w:rPr>
                <w:rFonts w:hint="eastAsia"/>
                <w:vertAlign w:val="baseline"/>
                <w:lang w:val="en-US" w:eastAsia="zh-CN"/>
              </w:rPr>
              <w:t>10分</w:t>
            </w:r>
          </w:p>
        </w:tc>
        <w:tc>
          <w:tcPr>
            <w:tcW w:w="3941" w:type="dxa"/>
          </w:tcPr>
          <w:p>
            <w:pPr>
              <w:ind w:left="210" w:hanging="210" w:hangingChars="100"/>
              <w:rPr>
                <w:rFonts w:hint="eastAsia"/>
                <w:vertAlign w:val="baseline"/>
                <w:lang w:val="en-US" w:eastAsia="zh-CN"/>
              </w:rPr>
            </w:pPr>
            <w:r>
              <w:rPr>
                <w:rFonts w:hint="eastAsia"/>
                <w:vertAlign w:val="baseline"/>
                <w:lang w:val="en-US" w:eastAsia="zh-CN"/>
              </w:rPr>
              <w:t>1、提供2022年财务报表，报表完好的得2分，差的、不完好的及不提供的得0分。</w:t>
            </w:r>
          </w:p>
          <w:p>
            <w:pPr>
              <w:rPr>
                <w:rFonts w:hint="eastAsia"/>
                <w:vertAlign w:val="baseline"/>
                <w:lang w:val="en-US" w:eastAsia="zh-CN"/>
              </w:rPr>
            </w:pPr>
            <w:r>
              <w:rPr>
                <w:rFonts w:hint="eastAsia"/>
                <w:vertAlign w:val="baseline"/>
                <w:lang w:val="en-US" w:eastAsia="zh-CN"/>
              </w:rPr>
              <w:t>2、项目负责人为注册会计师得1分。</w:t>
            </w:r>
          </w:p>
          <w:p>
            <w:pPr>
              <w:ind w:left="210" w:hanging="210" w:hangingChars="100"/>
              <w:rPr>
                <w:rFonts w:hint="eastAsia"/>
                <w:vertAlign w:val="baseline"/>
                <w:lang w:val="en-US" w:eastAsia="zh-CN"/>
              </w:rPr>
            </w:pPr>
            <w:r>
              <w:rPr>
                <w:rFonts w:hint="eastAsia"/>
                <w:vertAlign w:val="baseline"/>
                <w:lang w:val="en-US" w:eastAsia="zh-CN"/>
              </w:rPr>
              <w:t>3、项目负责人近三年负责过三甲医院财务审计工作的，每个业绩得1分，最高3分。（需提供给合同复印件，不然不得分）</w:t>
            </w:r>
          </w:p>
          <w:p>
            <w:pPr>
              <w:ind w:left="210" w:hanging="210" w:hangingChars="100"/>
              <w:rPr>
                <w:rFonts w:hint="eastAsia"/>
                <w:vertAlign w:val="baseline"/>
                <w:lang w:val="en-US" w:eastAsia="zh-CN"/>
              </w:rPr>
            </w:pPr>
            <w:r>
              <w:rPr>
                <w:rFonts w:hint="eastAsia"/>
                <w:vertAlign w:val="baseline"/>
                <w:lang w:val="en-US" w:eastAsia="zh-CN"/>
              </w:rPr>
              <w:t>4、其余审计人员拥有注册会计师证的，每人得1分，拥有财会类高级职称的每人得0.5分，拥有中级技术职称的，每人得0.2分，其余不得分，最高得分4分</w:t>
            </w:r>
          </w:p>
        </w:tc>
        <w:tc>
          <w:tcPr>
            <w:tcW w:w="1756" w:type="dxa"/>
            <w:vAlign w:val="center"/>
          </w:tcPr>
          <w:p>
            <w:pPr>
              <w:jc w:val="center"/>
              <w:rPr>
                <w:rFonts w:hint="eastAsia"/>
                <w:vertAlign w:val="baseline"/>
                <w:lang w:eastAsia="zh-CN"/>
              </w:rPr>
            </w:pPr>
            <w:r>
              <w:rPr>
                <w:rFonts w:hint="eastAsia"/>
                <w:vertAlign w:val="baseline"/>
                <w:lang w:eastAsia="zh-CN"/>
              </w:rPr>
              <w:t>附合同复印件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rPr>
                <w:rFonts w:hint="eastAsia"/>
                <w:vertAlign w:val="baseline"/>
                <w:lang w:eastAsia="zh-CN"/>
              </w:rPr>
            </w:pPr>
          </w:p>
        </w:tc>
        <w:tc>
          <w:tcPr>
            <w:tcW w:w="1880" w:type="dxa"/>
          </w:tcPr>
          <w:p>
            <w:pPr>
              <w:rPr>
                <w:rFonts w:hint="eastAsia"/>
                <w:vertAlign w:val="baseline"/>
                <w:lang w:val="en-US" w:eastAsia="zh-CN"/>
              </w:rPr>
            </w:pPr>
            <w:r>
              <w:rPr>
                <w:rFonts w:hint="eastAsia"/>
                <w:vertAlign w:val="baseline"/>
                <w:lang w:val="en-US" w:eastAsia="zh-CN"/>
              </w:rPr>
              <w:t>100%</w:t>
            </w:r>
          </w:p>
        </w:tc>
        <w:tc>
          <w:tcPr>
            <w:tcW w:w="871" w:type="dxa"/>
          </w:tcPr>
          <w:p>
            <w:pPr>
              <w:rPr>
                <w:rFonts w:hint="eastAsia"/>
                <w:vertAlign w:val="baseline"/>
                <w:lang w:val="en-US" w:eastAsia="zh-CN"/>
              </w:rPr>
            </w:pPr>
            <w:r>
              <w:rPr>
                <w:rFonts w:hint="eastAsia"/>
                <w:vertAlign w:val="baseline"/>
                <w:lang w:val="en-US" w:eastAsia="zh-CN"/>
              </w:rPr>
              <w:t>100分</w:t>
            </w:r>
          </w:p>
        </w:tc>
        <w:tc>
          <w:tcPr>
            <w:tcW w:w="3941" w:type="dxa"/>
          </w:tcPr>
          <w:p>
            <w:pPr>
              <w:rPr>
                <w:rFonts w:hint="eastAsia"/>
                <w:vertAlign w:val="baseline"/>
                <w:lang w:eastAsia="zh-CN"/>
              </w:rPr>
            </w:pPr>
          </w:p>
        </w:tc>
        <w:tc>
          <w:tcPr>
            <w:tcW w:w="1756" w:type="dxa"/>
          </w:tcPr>
          <w:p>
            <w:pPr>
              <w:rPr>
                <w:rFonts w:hint="eastAsia"/>
                <w:vertAlign w:val="baseline"/>
                <w:lang w:eastAsia="zh-CN"/>
              </w:rPr>
            </w:pPr>
          </w:p>
        </w:tc>
      </w:tr>
    </w:tbl>
    <w:p>
      <w:pPr>
        <w:rPr>
          <w:rFonts w:hint="eastAsia"/>
          <w:lang w:eastAsia="zh-CN"/>
        </w:rPr>
      </w:pPr>
    </w:p>
    <w:p>
      <w:pPr>
        <w:pStyle w:val="2"/>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8476"/>
    <w:multiLevelType w:val="singleLevel"/>
    <w:tmpl w:val="A5338476"/>
    <w:lvl w:ilvl="0" w:tentative="0">
      <w:start w:val="1"/>
      <w:numFmt w:val="decimal"/>
      <w:suff w:val="nothing"/>
      <w:lvlText w:val="（%1）"/>
      <w:lvlJc w:val="left"/>
    </w:lvl>
  </w:abstractNum>
  <w:abstractNum w:abstractNumId="1">
    <w:nsid w:val="A9C0E848"/>
    <w:multiLevelType w:val="singleLevel"/>
    <w:tmpl w:val="A9C0E848"/>
    <w:lvl w:ilvl="0" w:tentative="0">
      <w:start w:val="4"/>
      <w:numFmt w:val="decimal"/>
      <w:suff w:val="space"/>
      <w:lvlText w:val="%1."/>
      <w:lvlJc w:val="left"/>
    </w:lvl>
  </w:abstractNum>
  <w:abstractNum w:abstractNumId="2">
    <w:nsid w:val="59C0F106"/>
    <w:multiLevelType w:val="singleLevel"/>
    <w:tmpl w:val="59C0F106"/>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A4335B6"/>
    <w:rsid w:val="0BC91684"/>
    <w:rsid w:val="10C97A40"/>
    <w:rsid w:val="122B15C9"/>
    <w:rsid w:val="12D048AB"/>
    <w:rsid w:val="17DE032D"/>
    <w:rsid w:val="1A0304C9"/>
    <w:rsid w:val="1A5D5E77"/>
    <w:rsid w:val="1CCC51A6"/>
    <w:rsid w:val="1D56770E"/>
    <w:rsid w:val="2218153E"/>
    <w:rsid w:val="22BD2FB3"/>
    <w:rsid w:val="24BB3DC6"/>
    <w:rsid w:val="25D15D84"/>
    <w:rsid w:val="2AD132D3"/>
    <w:rsid w:val="2BE5738D"/>
    <w:rsid w:val="2CA4121C"/>
    <w:rsid w:val="2D7D07B6"/>
    <w:rsid w:val="2E44559E"/>
    <w:rsid w:val="3194337D"/>
    <w:rsid w:val="33D105A6"/>
    <w:rsid w:val="3737378F"/>
    <w:rsid w:val="3806606D"/>
    <w:rsid w:val="397701BE"/>
    <w:rsid w:val="3CAA2150"/>
    <w:rsid w:val="3D1C7FB8"/>
    <w:rsid w:val="3DBA5835"/>
    <w:rsid w:val="41366ED0"/>
    <w:rsid w:val="435422AB"/>
    <w:rsid w:val="4FFD7C43"/>
    <w:rsid w:val="516A4F7E"/>
    <w:rsid w:val="58AB32D2"/>
    <w:rsid w:val="59A51265"/>
    <w:rsid w:val="642B195B"/>
    <w:rsid w:val="64A53AE0"/>
    <w:rsid w:val="673078C8"/>
    <w:rsid w:val="6C3206CF"/>
    <w:rsid w:val="6DD0797D"/>
    <w:rsid w:val="74B5471E"/>
    <w:rsid w:val="7E50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Plain Text"/>
    <w:basedOn w:val="1"/>
    <w:link w:val="17"/>
    <w:qFormat/>
    <w:uiPriority w:val="99"/>
    <w:rPr>
      <w:rFonts w:ascii="宋体" w:hAnsi="Courier New"/>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annotation reference"/>
    <w:semiHidden/>
    <w:qFormat/>
    <w:uiPriority w:val="99"/>
    <w:rPr>
      <w:sz w:val="21"/>
      <w:szCs w:val="21"/>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4"/>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6"/>
    <w:qFormat/>
    <w:uiPriority w:val="99"/>
    <w:rPr>
      <w:rFonts w:ascii="Times New Roman" w:hAnsi="Times New Roman" w:eastAsia="宋体" w:cs="Times New Roman"/>
      <w:sz w:val="18"/>
      <w:szCs w:val="18"/>
    </w:rPr>
  </w:style>
  <w:style w:type="character" w:customStyle="1" w:styleId="21">
    <w:name w:val="页脚 字符"/>
    <w:basedOn w:val="11"/>
    <w:link w:val="5"/>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4</TotalTime>
  <ScaleCrop>false</ScaleCrop>
  <LinksUpToDate>false</LinksUpToDate>
  <CharactersWithSpaces>3680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2023-04-10T01:39:11Z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