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6"/>
        <w:ind w:left="-708" w:leftChars="-337"/>
        <w:rPr>
          <w:rFonts w:cs="宋体"/>
          <w:b/>
          <w:bCs/>
          <w:sz w:val="28"/>
          <w:szCs w:val="28"/>
        </w:rPr>
      </w:pPr>
      <w:r>
        <w:rPr>
          <w:rFonts w:hint="eastAsia" w:cs="宋体"/>
          <w:b/>
          <w:bCs/>
          <w:sz w:val="28"/>
          <w:szCs w:val="28"/>
        </w:rPr>
        <w:t>一、采购清单、技术规格参数、质量标准和要求</w:t>
      </w:r>
    </w:p>
    <w:p>
      <w:pPr>
        <w:pStyle w:val="16"/>
        <w:ind w:left="-708" w:leftChars="-337"/>
        <w:rPr>
          <w:rFonts w:hint="eastAsia"/>
          <w:sz w:val="28"/>
          <w:szCs w:val="28"/>
          <w:lang w:eastAsia="zh-CN"/>
        </w:rPr>
      </w:pPr>
      <w:r>
        <w:rPr>
          <w:rFonts w:hint="eastAsia" w:cs="宋体"/>
          <w:b/>
          <w:bCs/>
        </w:rPr>
        <w:t>（一）</w:t>
      </w:r>
      <w:r>
        <w:rPr>
          <w:rFonts w:hint="eastAsia" w:cs="宋体"/>
          <w:b/>
          <w:bCs/>
          <w:lang w:eastAsia="zh-CN"/>
        </w:rPr>
        <w:t>采购需求：</w:t>
      </w:r>
      <w:r>
        <w:rPr>
          <w:b/>
          <w:bCs/>
        </w:rPr>
        <w:t> </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广西壮族自治区桂东人民医院Netapp影像存储阵列维保；1.本次维保范围:Netapp FAS8200存储阵列1套（双控制器、6个DS212C磁盘柜72块3.5' 寸4TB 7.2K NL_SAS硬盘）；2.Brocade 6505存储交换机2台及技术支持服务。</w:t>
      </w:r>
    </w:p>
    <w:tbl>
      <w:tblPr>
        <w:tblStyle w:val="12"/>
        <w:tblW w:w="8564"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1947"/>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序号</w:t>
            </w:r>
          </w:p>
        </w:tc>
        <w:tc>
          <w:tcPr>
            <w:tcW w:w="2451"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设备名称</w:t>
            </w:r>
          </w:p>
        </w:tc>
        <w:tc>
          <w:tcPr>
            <w:tcW w:w="116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数量</w:t>
            </w:r>
          </w:p>
        </w:tc>
        <w:tc>
          <w:tcPr>
            <w:tcW w:w="1947"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维保年限</w:t>
            </w:r>
          </w:p>
        </w:tc>
        <w:tc>
          <w:tcPr>
            <w:tcW w:w="23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w:t>
            </w:r>
          </w:p>
        </w:tc>
        <w:tc>
          <w:tcPr>
            <w:tcW w:w="2451"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存储阵列</w:t>
            </w:r>
          </w:p>
        </w:tc>
        <w:tc>
          <w:tcPr>
            <w:tcW w:w="116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1套</w:t>
            </w:r>
          </w:p>
        </w:tc>
        <w:tc>
          <w:tcPr>
            <w:tcW w:w="1947"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w:t>
            </w:r>
          </w:p>
        </w:tc>
        <w:tc>
          <w:tcPr>
            <w:tcW w:w="23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宋体" w:hAnsi="宋体" w:eastAsia="宋体" w:cs="宋体"/>
                <w:color w:val="auto"/>
                <w:kern w:val="0"/>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w:t>
            </w:r>
          </w:p>
        </w:tc>
        <w:tc>
          <w:tcPr>
            <w:tcW w:w="2451"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存储交换机</w:t>
            </w:r>
          </w:p>
        </w:tc>
        <w:tc>
          <w:tcPr>
            <w:tcW w:w="116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2台</w:t>
            </w:r>
          </w:p>
        </w:tc>
        <w:tc>
          <w:tcPr>
            <w:tcW w:w="1947"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w:t>
            </w:r>
          </w:p>
        </w:tc>
        <w:tc>
          <w:tcPr>
            <w:tcW w:w="23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宋体" w:hAnsi="宋体" w:eastAsia="宋体" w:cs="宋体"/>
                <w:color w:val="auto"/>
                <w:kern w:val="0"/>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w:t>
            </w:r>
          </w:p>
        </w:tc>
        <w:tc>
          <w:tcPr>
            <w:tcW w:w="2451"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技术支持服务</w:t>
            </w:r>
          </w:p>
        </w:tc>
        <w:tc>
          <w:tcPr>
            <w:tcW w:w="116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1项</w:t>
            </w:r>
          </w:p>
        </w:tc>
        <w:tc>
          <w:tcPr>
            <w:tcW w:w="1947"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w:t>
            </w:r>
          </w:p>
        </w:tc>
        <w:tc>
          <w:tcPr>
            <w:tcW w:w="230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宋体" w:hAnsi="宋体" w:eastAsia="宋体" w:cs="宋体"/>
                <w:color w:val="auto"/>
                <w:kern w:val="0"/>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5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说明：</w:t>
            </w:r>
          </w:p>
        </w:tc>
      </w:tr>
    </w:tbl>
    <w:p>
      <w:pPr>
        <w:widowControl/>
        <w:numPr>
          <w:ilvl w:val="0"/>
          <w:numId w:val="1"/>
        </w:numPr>
        <w:spacing w:line="360" w:lineRule="auto"/>
        <w:ind w:left="-708" w:leftChars="-337"/>
        <w:jc w:val="left"/>
        <w:rPr>
          <w:rFonts w:hint="default" w:ascii="Times New Roman" w:hAnsi="Times New Roman" w:eastAsia="宋体" w:cs="宋体"/>
          <w:b/>
          <w:bCs/>
          <w:color w:val="000000"/>
          <w:kern w:val="0"/>
          <w:sz w:val="24"/>
          <w:szCs w:val="24"/>
          <w:lang w:val="en-US" w:eastAsia="zh-CN" w:bidi="ar-SA"/>
        </w:rPr>
      </w:pPr>
      <w:r>
        <w:rPr>
          <w:rFonts w:hint="eastAsia" w:ascii="Times New Roman" w:hAnsi="Times New Roman" w:eastAsia="宋体" w:cs="宋体"/>
          <w:b/>
          <w:bCs/>
          <w:color w:val="000000"/>
          <w:kern w:val="0"/>
          <w:sz w:val="24"/>
          <w:szCs w:val="24"/>
          <w:lang w:val="en-US" w:eastAsia="zh-CN" w:bidi="ar-SA"/>
        </w:rPr>
        <w:t>技术规格参数</w:t>
      </w:r>
    </w:p>
    <w:tbl>
      <w:tblPr>
        <w:tblStyle w:val="12"/>
        <w:tblW w:w="8706" w:type="dxa"/>
        <w:jc w:val="center"/>
        <w:tblInd w:w="2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83"/>
        <w:gridCol w:w="1250"/>
        <w:gridCol w:w="478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Pr>
          <w:p>
            <w:pPr>
              <w:spacing w:before="156" w:after="156" w:line="30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183" w:type="dxa"/>
          </w:tcPr>
          <w:p>
            <w:pPr>
              <w:spacing w:before="156" w:after="156" w:line="30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1250" w:type="dxa"/>
          </w:tcPr>
          <w:p>
            <w:pPr>
              <w:spacing w:before="156" w:after="156" w:line="30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设备型号</w:t>
            </w:r>
          </w:p>
        </w:tc>
        <w:tc>
          <w:tcPr>
            <w:tcW w:w="4788" w:type="dxa"/>
          </w:tcPr>
          <w:p>
            <w:pPr>
              <w:spacing w:before="156" w:after="156" w:line="30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规格参数</w:t>
            </w:r>
          </w:p>
        </w:tc>
        <w:tc>
          <w:tcPr>
            <w:tcW w:w="733" w:type="dxa"/>
          </w:tcPr>
          <w:p>
            <w:pPr>
              <w:spacing w:before="156" w:after="156" w:line="30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before="156" w:after="156" w:line="300" w:lineRule="exact"/>
              <w:ind w:firstLine="199" w:firstLineChars="83"/>
              <w:jc w:val="both"/>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after="156"/>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存储阵列</w:t>
            </w: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after="156"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Netapp FAS8200</w:t>
            </w:r>
          </w:p>
        </w:tc>
        <w:tc>
          <w:tcPr>
            <w:tcW w:w="4788" w:type="dxa"/>
            <w:tcBorders>
              <w:top w:val="single" w:color="auto" w:sz="4" w:space="0"/>
              <w:left w:val="single" w:color="auto" w:sz="4" w:space="0"/>
              <w:bottom w:val="single" w:color="auto" w:sz="4" w:space="0"/>
              <w:right w:val="single" w:color="auto" w:sz="4" w:space="0"/>
            </w:tcBorders>
            <w:vAlign w:val="center"/>
          </w:tcPr>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存储阵列</w:t>
            </w:r>
            <w:r>
              <w:rPr>
                <w:rFonts w:hint="eastAsia" w:ascii="宋体" w:hAnsi="宋体" w:eastAsia="宋体" w:cs="宋体"/>
                <w:kern w:val="0"/>
                <w:sz w:val="24"/>
                <w:szCs w:val="24"/>
              </w:rPr>
              <w:t>配置：</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1.统一存储阵列，双激活控器,</w:t>
            </w:r>
            <w:r>
              <w:rPr>
                <w:rFonts w:hint="eastAsia" w:ascii="宋体" w:hAnsi="宋体" w:eastAsia="宋体" w:cs="宋体"/>
                <w:kern w:val="0"/>
                <w:sz w:val="24"/>
                <w:szCs w:val="24"/>
                <w:lang w:val="en-US" w:eastAsia="zh-CN"/>
              </w:rPr>
              <w:t>FAS8200-A,序列号451751000068；FAS8200-B,序列号451751000067</w:t>
            </w:r>
            <w:r>
              <w:rPr>
                <w:rFonts w:hint="eastAsia" w:ascii="宋体" w:hAnsi="宋体" w:eastAsia="宋体" w:cs="宋体"/>
                <w:kern w:val="0"/>
                <w:sz w:val="24"/>
                <w:szCs w:val="24"/>
              </w:rPr>
              <w:t>。</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2.系统能自动均衡所有节点的数据负载，可扩展的 NAS 容器FlexGroup，单个文件系统最大容量≥20PB；</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3.配置总缓存256GB 缓存，最大可扩展至3072GB缓存；</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支持统一协议：FC、FCoE、iSCSI、NFS、pNFS、SMB；</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5.6个DS212C磁盘柜12槽位3.5寸硬盘扩展柜，72</w:t>
            </w:r>
            <w:r>
              <w:rPr>
                <w:rFonts w:hint="eastAsia" w:ascii="宋体" w:hAnsi="宋体" w:eastAsia="宋体" w:cs="宋体"/>
                <w:kern w:val="0"/>
                <w:sz w:val="24"/>
                <w:szCs w:val="24"/>
              </w:rPr>
              <w:t>块3.5' 寸4TB 7.2K NL_SAS硬盘；</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4个16Gb FC光纤通道端口；</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置8个10 Gb SFP+万兆光口；</w:t>
            </w:r>
          </w:p>
          <w:p>
            <w:pPr>
              <w:widowControl/>
              <w:spacing w:line="288"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4个10 10GbE Base-T万兆电口；</w:t>
            </w:r>
          </w:p>
        </w:tc>
        <w:tc>
          <w:tcPr>
            <w:tcW w:w="733" w:type="dxa"/>
            <w:tcBorders>
              <w:top w:val="single" w:color="auto" w:sz="4" w:space="0"/>
              <w:left w:val="single" w:color="auto" w:sz="4" w:space="0"/>
              <w:bottom w:val="single" w:color="auto" w:sz="4" w:space="0"/>
              <w:right w:val="single" w:color="auto" w:sz="4" w:space="0"/>
            </w:tcBorders>
            <w:vAlign w:val="center"/>
          </w:tcPr>
          <w:p>
            <w:pPr>
              <w:spacing w:before="156" w:after="156"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before="156" w:after="156" w:line="300" w:lineRule="exact"/>
              <w:ind w:firstLine="199" w:firstLineChars="83"/>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11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after="156"/>
              <w:ind w:left="-88" w:leftChars="-42" w:firstLine="0" w:firstLineChars="0"/>
              <w:jc w:val="center"/>
              <w:rPr>
                <w:rFonts w:hint="eastAsia" w:ascii="宋体" w:hAnsi="宋体" w:eastAsia="宋体" w:cs="宋体"/>
                <w:sz w:val="24"/>
                <w:szCs w:val="24"/>
              </w:rPr>
            </w:pPr>
            <w:r>
              <w:rPr>
                <w:rFonts w:hint="eastAsia" w:ascii="宋体" w:hAnsi="宋体" w:eastAsia="宋体" w:cs="宋体"/>
                <w:sz w:val="24"/>
                <w:szCs w:val="24"/>
              </w:rPr>
              <w:t>存储交换机</w:t>
            </w: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after="156"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Brocade 6505</w:t>
            </w:r>
          </w:p>
        </w:tc>
        <w:tc>
          <w:tcPr>
            <w:tcW w:w="4788" w:type="dxa"/>
            <w:tcBorders>
              <w:top w:val="single" w:color="auto" w:sz="4" w:space="0"/>
              <w:left w:val="single" w:color="auto" w:sz="4" w:space="0"/>
              <w:bottom w:val="single" w:color="auto" w:sz="4" w:space="0"/>
              <w:right w:val="single" w:color="auto" w:sz="4" w:space="0"/>
            </w:tcBorders>
            <w:vAlign w:val="center"/>
          </w:tcPr>
          <w:p>
            <w:pPr>
              <w:widowControl/>
              <w:spacing w:before="156" w:after="156" w:line="288"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24口</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G 光纤交换机，</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端口激活，含</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口8G FC短波模块；端口支持自适应速率。</w:t>
            </w:r>
          </w:p>
        </w:tc>
        <w:tc>
          <w:tcPr>
            <w:tcW w:w="733" w:type="dxa"/>
            <w:tcBorders>
              <w:top w:val="single" w:color="auto" w:sz="4" w:space="0"/>
              <w:left w:val="single" w:color="auto" w:sz="4" w:space="0"/>
              <w:bottom w:val="single" w:color="auto" w:sz="4" w:space="0"/>
              <w:right w:val="single" w:color="auto" w:sz="4" w:space="0"/>
            </w:tcBorders>
            <w:vAlign w:val="center"/>
          </w:tcPr>
          <w:p>
            <w:pPr>
              <w:spacing w:before="156" w:after="156"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before="156" w:after="156" w:line="300" w:lineRule="exact"/>
              <w:ind w:firstLine="199" w:firstLineChars="83"/>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11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after="156"/>
              <w:ind w:left="-88" w:leftChars="-42" w:firstLine="0" w:firstLineChars="0"/>
              <w:jc w:val="center"/>
              <w:rPr>
                <w:rFonts w:hint="eastAsia" w:ascii="宋体" w:hAnsi="宋体" w:eastAsia="宋体" w:cs="宋体"/>
                <w:sz w:val="24"/>
                <w:szCs w:val="24"/>
              </w:rPr>
            </w:pPr>
            <w:r>
              <w:rPr>
                <w:rFonts w:hint="eastAsia" w:ascii="宋体" w:hAnsi="宋体" w:eastAsia="宋体" w:cs="宋体"/>
                <w:sz w:val="24"/>
                <w:szCs w:val="24"/>
              </w:rPr>
              <w:t>技术支持服务</w:t>
            </w:r>
          </w:p>
        </w:tc>
        <w:tc>
          <w:tcPr>
            <w:tcW w:w="1250" w:type="dxa"/>
            <w:tcBorders>
              <w:top w:val="single" w:color="auto" w:sz="4" w:space="0"/>
              <w:left w:val="single" w:color="auto" w:sz="4" w:space="0"/>
              <w:bottom w:val="single" w:color="auto" w:sz="4" w:space="0"/>
              <w:right w:val="single" w:color="auto" w:sz="4" w:space="0"/>
            </w:tcBorders>
            <w:vAlign w:val="center"/>
          </w:tcPr>
          <w:p>
            <w:pPr>
              <w:spacing w:before="156" w:after="156"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定制</w:t>
            </w:r>
          </w:p>
        </w:tc>
        <w:tc>
          <w:tcPr>
            <w:tcW w:w="4788" w:type="dxa"/>
            <w:tcBorders>
              <w:top w:val="single" w:color="auto" w:sz="4" w:space="0"/>
              <w:left w:val="single" w:color="auto" w:sz="4" w:space="0"/>
              <w:bottom w:val="single" w:color="auto" w:sz="4" w:space="0"/>
              <w:right w:val="single" w:color="auto" w:sz="4" w:space="0"/>
            </w:tcBorders>
            <w:vAlign w:val="center"/>
          </w:tcPr>
          <w:p>
            <w:pPr>
              <w:widowControl/>
              <w:spacing w:line="288" w:lineRule="auto"/>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服务及其他要求：</w:t>
            </w:r>
          </w:p>
          <w:p>
            <w:pPr>
              <w:pStyle w:val="27"/>
              <w:widowControl/>
              <w:numPr>
                <w:ilvl w:val="0"/>
                <w:numId w:val="0"/>
              </w:numPr>
              <w:spacing w:before="156" w:after="156" w:line="288" w:lineRule="auto"/>
              <w:ind w:left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rPr>
              <w:t>★</w:t>
            </w:r>
            <w:r>
              <w:rPr>
                <w:rFonts w:hint="eastAsia" w:ascii="宋体" w:hAnsi="宋体" w:eastAsia="宋体" w:cs="宋体"/>
                <w:kern w:val="0"/>
                <w:sz w:val="24"/>
                <w:szCs w:val="24"/>
                <w:lang w:val="en-US" w:eastAsia="zh-CN" w:bidi="ar-SA"/>
              </w:rPr>
              <w:t>维保期内提供硬件设备备品备件服务，提供Netapp存储设备及Brocade存储交换机季度巡检服务，并提供巡检报告。</w:t>
            </w:r>
          </w:p>
          <w:p>
            <w:pPr>
              <w:pStyle w:val="27"/>
              <w:widowControl/>
              <w:numPr>
                <w:ilvl w:val="0"/>
                <w:numId w:val="0"/>
              </w:numPr>
              <w:spacing w:before="156" w:after="156" w:line="288" w:lineRule="auto"/>
              <w:ind w:left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sz w:val="24"/>
                <w:szCs w:val="24"/>
              </w:rPr>
              <w:t>★</w:t>
            </w:r>
            <w:r>
              <w:rPr>
                <w:rFonts w:hint="eastAsia" w:ascii="宋体" w:hAnsi="宋体" w:eastAsia="宋体" w:cs="宋体"/>
                <w:kern w:val="0"/>
                <w:sz w:val="24"/>
                <w:szCs w:val="24"/>
                <w:lang w:val="en-US" w:eastAsia="zh-CN" w:bidi="ar-SA"/>
              </w:rPr>
              <w:t>提供现场备件服务，维保期内放置不少于2块4TB 7.2K NL_SAS硬盘，提高现场备件响应速度；</w:t>
            </w:r>
          </w:p>
          <w:p>
            <w:pPr>
              <w:pStyle w:val="27"/>
              <w:widowControl/>
              <w:numPr>
                <w:ilvl w:val="0"/>
                <w:numId w:val="0"/>
              </w:numPr>
              <w:spacing w:before="156" w:after="156" w:line="288" w:lineRule="auto"/>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3.提供存储技术支持服务，配置更改支持；</w:t>
            </w:r>
          </w:p>
          <w:p>
            <w:pPr>
              <w:pStyle w:val="27"/>
              <w:widowControl/>
              <w:numPr>
                <w:ilvl w:val="0"/>
                <w:numId w:val="0"/>
              </w:numPr>
              <w:spacing w:before="156" w:after="156" w:line="288" w:lineRule="auto"/>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SA"/>
              </w:rPr>
              <w:t>提供容灾演练每年一次的现场技术支持；</w:t>
            </w:r>
          </w:p>
          <w:p>
            <w:pPr>
              <w:pStyle w:val="27"/>
              <w:widowControl/>
              <w:numPr>
                <w:ilvl w:val="0"/>
                <w:numId w:val="0"/>
              </w:numPr>
              <w:spacing w:before="156" w:after="156" w:line="288" w:lineRule="auto"/>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SA"/>
              </w:rPr>
              <w:t>提供一次CDP容灾演练测试服务；</w:t>
            </w:r>
          </w:p>
          <w:p>
            <w:pPr>
              <w:pStyle w:val="27"/>
              <w:widowControl/>
              <w:numPr>
                <w:ilvl w:val="0"/>
                <w:numId w:val="0"/>
              </w:numPr>
              <w:spacing w:before="156" w:after="156" w:line="288" w:lineRule="auto"/>
              <w:ind w:leftChars="0"/>
              <w:jc w:val="both"/>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lang w:val="en-US" w:eastAsia="zh-CN" w:bidi="ar-SA"/>
              </w:rPr>
              <w:t>6.提供维保设备现场技术培训，日常设备管理维护培训；</w:t>
            </w:r>
          </w:p>
        </w:tc>
        <w:tc>
          <w:tcPr>
            <w:tcW w:w="733" w:type="dxa"/>
            <w:tcBorders>
              <w:top w:val="single" w:color="auto" w:sz="4" w:space="0"/>
              <w:left w:val="single" w:color="auto" w:sz="4" w:space="0"/>
              <w:bottom w:val="single" w:color="auto" w:sz="4" w:space="0"/>
              <w:right w:val="single" w:color="auto" w:sz="4" w:space="0"/>
            </w:tcBorders>
            <w:vAlign w:val="center"/>
          </w:tcPr>
          <w:p>
            <w:pPr>
              <w:spacing w:before="156" w:after="156"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1项</w:t>
            </w:r>
          </w:p>
        </w:tc>
      </w:tr>
    </w:tbl>
    <w:p>
      <w:pPr>
        <w:pStyle w:val="16"/>
        <w:rPr>
          <w:rFonts w:hint="default"/>
          <w:lang w:val="en-US" w:eastAsia="zh-CN"/>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16"/>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对1套Netapp影像存储阵列（双控制器、6个DS212C磁盘柜72块3.5' 寸4TB 7.2K NL_SAS硬盘），2台Brocade 6505存储交换机提供3年全面维修维保服务，同时提供技术支持及优化服务指导。</w:t>
      </w:r>
    </w:p>
    <w:p>
      <w:pPr>
        <w:pStyle w:val="16"/>
        <w:ind w:left="-708" w:leftChars="-337"/>
        <w:rPr>
          <w:rFonts w:hint="eastAsia" w:cs="宋体"/>
          <w:b/>
          <w:bCs/>
        </w:rPr>
      </w:pPr>
      <w:r>
        <w:rPr>
          <w:rFonts w:hint="eastAsia" w:cs="宋体"/>
          <w:b/>
          <w:bCs/>
        </w:rPr>
        <w:t>（四）商务要求</w:t>
      </w:r>
    </w:p>
    <w:p>
      <w:pPr>
        <w:pStyle w:val="16"/>
        <w:ind w:left="-708" w:leftChars="-337"/>
        <w:rPr>
          <w:rFonts w:hint="default" w:eastAsia="宋体" w:cs="宋体"/>
          <w:b w:val="0"/>
          <w:bCs w:val="0"/>
          <w:lang w:val="en-US" w:eastAsia="zh-CN"/>
        </w:rPr>
      </w:pPr>
      <w:r>
        <w:rPr>
          <w:rFonts w:hint="eastAsia" w:cs="宋体"/>
          <w:b/>
          <w:bCs/>
          <w:lang w:val="en-US" w:eastAsia="zh-CN"/>
        </w:rPr>
        <w:t>1、投标人资格要求</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（1）符合《中华人民共和国政府采购法》第二十二条规定：</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1）具备独立承担民事责任的能力；</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2）具有良好的商业信誉和健全的财务会计制度；</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3）具有履行合同所必需的设备和专业技术能力；</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4）有依法缴纳税收和社会保障资金的良好记录；</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5）参加政府采购活动前三年内，在经营活动中没有重大违法记录。</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（2）国内注册（指按国家有关规定要求注册的）具备法人资格的供应商，生产或经营达到本次招标采购内容。</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3）</w:t>
      </w:r>
      <w:r>
        <w:rPr>
          <w:rFonts w:hint="eastAsia" w:ascii="Times New Roman" w:hAnsi="Times New Roman" w:eastAsia="宋体" w:cs="宋体"/>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）对在“信用中国”网站(www.creditchina.gov.cn)、中国政府采购网(www.ccgp.gov.cn)等渠道列入失信被执行人、重大税收违法案件当事人名单、政府采购严重违法失信行为记录名单的供应商，不得参与政府采购活动。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5</w:t>
      </w:r>
      <w:r>
        <w:rPr>
          <w:rFonts w:hint="eastAsia" w:ascii="Times New Roman" w:hAnsi="Times New Roman" w:eastAsia="宋体" w:cs="宋体"/>
          <w:lang w:eastAsia="zh-CN"/>
        </w:rPr>
        <w:t>）本项目不接受联合体投标。</w:t>
      </w:r>
    </w:p>
    <w:p>
      <w:pPr>
        <w:pStyle w:val="16"/>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（1）技术支持：提供7×24小时的技术支持服务。</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（2）巡检服务：提供每季度一次驻场例行巡检服务，检测设备及系统运行情况、清洁设备并提供巡检报告。</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（3）现场备件服务：提供客户现场备件服务，</w:t>
      </w:r>
      <w:r>
        <w:rPr>
          <w:rFonts w:hint="eastAsia" w:ascii="Times New Roman" w:hAnsi="Times New Roman" w:eastAsia="宋体" w:cs="宋体"/>
          <w:lang w:val="en-US" w:eastAsia="zh-CN"/>
        </w:rPr>
        <w:t>维保期内放置至少2块4TB 7.2K NL_SAS硬盘</w:t>
      </w:r>
      <w:r>
        <w:rPr>
          <w:rFonts w:hint="eastAsia" w:ascii="Times New Roman" w:hAnsi="Times New Roman" w:eastAsia="宋体" w:cs="宋体"/>
          <w:lang w:eastAsia="zh-CN"/>
        </w:rPr>
        <w:t>，坏硬盘更换后补齐现场备盘，提高现场备件响应速度；</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）服务质量分析要求：在本服务期内，供应商应与广西壮族自治区桂东人民医院至少召开</w:t>
      </w:r>
      <w:r>
        <w:rPr>
          <w:rFonts w:hint="eastAsia" w:ascii="Times New Roman" w:hAnsi="Times New Roman" w:eastAsia="宋体" w:cs="宋体"/>
          <w:lang w:val="en-US" w:eastAsia="zh-CN"/>
        </w:rPr>
        <w:t>1</w:t>
      </w:r>
      <w:r>
        <w:rPr>
          <w:rFonts w:hint="eastAsia" w:ascii="Times New Roman" w:hAnsi="Times New Roman" w:eastAsia="宋体" w:cs="宋体"/>
          <w:lang w:eastAsia="zh-CN"/>
        </w:rPr>
        <w:t>次服务质量分析例会，对该阶段投标人所提供的服务进行总结和考核。在广西壮族自治区桂东人民医院的要求下，中标人有义务随时配合召开其他时间的例会。中标人对例会纪要中广西壮族自治区桂东人民医院的意见与建议部分于7日内进行反馈并跟踪落实。</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5</w:t>
      </w:r>
      <w:r>
        <w:rPr>
          <w:rFonts w:hint="eastAsia" w:ascii="Times New Roman" w:hAnsi="Times New Roman" w:eastAsia="宋体" w:cs="宋体"/>
          <w:lang w:eastAsia="zh-CN"/>
        </w:rPr>
        <w:t>）提供7×24小时的故障受理，30分钟内故障处理响应服务。故障包含硬件、软件故障等存储设备自身相关联，导致系统不能正常运行的一切故障对象。</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6</w:t>
      </w:r>
      <w:r>
        <w:rPr>
          <w:rFonts w:hint="eastAsia" w:ascii="Times New Roman" w:hAnsi="Times New Roman" w:eastAsia="宋体" w:cs="宋体"/>
          <w:lang w:eastAsia="zh-CN"/>
        </w:rPr>
        <w:t>）故障服务的现场响应时间小于4小时,即4小时内有能够处理故障的技术人员携带有效备件到达现场，并立即投入对故障的处理。</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7</w:t>
      </w:r>
      <w:r>
        <w:rPr>
          <w:rFonts w:hint="eastAsia" w:ascii="Times New Roman" w:hAnsi="Times New Roman" w:eastAsia="宋体" w:cs="宋体"/>
          <w:lang w:eastAsia="zh-CN"/>
        </w:rPr>
        <w:t>）在设备故障出现短时间（4小时）内无法恢复，并严重影响业务系统正常运行的情况下，供应商应保证在12小时内，采取应急措施或提供替代设备使业务系统尽快恢复运行。</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8</w:t>
      </w:r>
      <w:r>
        <w:rPr>
          <w:rFonts w:hint="eastAsia" w:ascii="Times New Roman" w:hAnsi="Times New Roman" w:eastAsia="宋体" w:cs="宋体"/>
          <w:lang w:eastAsia="zh-CN"/>
        </w:rPr>
        <w:t>）故障分析服务。供应商在完成排障，设备、系统恢复正常运行后，应于3日内向广西壮族自治区桂东人民医院提交书面报告。报告内容包括故障现象、原因，处理方法、配置变更内容、处理结果、可能存在的隐患以及今后避免问题的具体措施等。</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9</w:t>
      </w:r>
      <w:r>
        <w:rPr>
          <w:rFonts w:hint="eastAsia" w:ascii="Times New Roman" w:hAnsi="Times New Roman" w:eastAsia="宋体" w:cs="宋体"/>
          <w:lang w:eastAsia="zh-CN"/>
        </w:rPr>
        <w:t>）对设备不可用、生产系统宕机等重大故障提供7×24小时的现场支援。</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10</w:t>
      </w:r>
      <w:r>
        <w:rPr>
          <w:rFonts w:hint="eastAsia" w:ascii="Times New Roman" w:hAnsi="Times New Roman" w:eastAsia="宋体" w:cs="宋体"/>
          <w:lang w:eastAsia="zh-CN"/>
        </w:rPr>
        <w:t>）备件服务：供应商应具有本地区备件库，应保障在4小时内提供所需更换的备件，并保障备件为原</w:t>
      </w:r>
      <w:r>
        <w:rPr>
          <w:rFonts w:hint="eastAsia" w:ascii="Times New Roman" w:hAnsi="Times New Roman" w:eastAsia="宋体" w:cs="宋体"/>
          <w:lang w:val="en-US" w:eastAsia="zh-CN"/>
        </w:rPr>
        <w:t>厂</w:t>
      </w:r>
      <w:r>
        <w:rPr>
          <w:rFonts w:hint="eastAsia" w:ascii="Times New Roman" w:hAnsi="Times New Roman" w:eastAsia="宋体" w:cs="宋体"/>
          <w:lang w:eastAsia="zh-CN"/>
        </w:rPr>
        <w:t>商生产的备件。</w:t>
      </w:r>
    </w:p>
    <w:p>
      <w:pPr>
        <w:pStyle w:val="16"/>
        <w:ind w:left="-708" w:leftChars="-337"/>
        <w:rPr>
          <w:rFonts w:hint="eastAsia" w:eastAsia="宋体"/>
          <w:b w:val="0"/>
          <w:bCs/>
          <w:lang w:eastAsia="zh-CN"/>
        </w:rPr>
      </w:pPr>
      <w:r>
        <w:rPr>
          <w:rFonts w:hint="eastAsia"/>
          <w:b w:val="0"/>
          <w:bCs/>
          <w:lang w:eastAsia="zh-CN"/>
        </w:rPr>
        <w:t>（</w:t>
      </w:r>
      <w:r>
        <w:rPr>
          <w:rFonts w:hint="eastAsia"/>
          <w:b w:val="0"/>
          <w:bCs/>
          <w:lang w:val="en-US" w:eastAsia="zh-CN"/>
        </w:rPr>
        <w:t>11</w:t>
      </w:r>
      <w:r>
        <w:rPr>
          <w:rFonts w:hint="eastAsia"/>
          <w:b w:val="0"/>
          <w:bCs/>
          <w:lang w:eastAsia="zh-CN"/>
        </w:rPr>
        <w:t>）</w:t>
      </w:r>
      <w:r>
        <w:rPr>
          <w:rFonts w:hint="eastAsia"/>
          <w:b w:val="0"/>
          <w:bCs/>
        </w:rPr>
        <w:t>备件更换维修服务</w:t>
      </w:r>
      <w:r>
        <w:rPr>
          <w:rFonts w:hint="eastAsia"/>
          <w:b w:val="0"/>
          <w:bCs/>
          <w:lang w:eastAsia="zh-CN"/>
        </w:rPr>
        <w:t>：</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1）</w:t>
      </w:r>
      <w:r>
        <w:rPr>
          <w:rFonts w:hint="eastAsia" w:ascii="Times New Roman" w:hAnsi="Times New Roman" w:eastAsia="宋体" w:cs="宋体"/>
          <w:lang w:eastAsia="zh-CN"/>
        </w:rPr>
        <w:t>在维护服务期限内，中标供应商为所有服务范围内设备的全部故障件的更换及维修均是免费的，即备件费用以及相应产生的备件送达运费、维护人员费用已经包含在总体的服务费用之中，不再以任何方式另行收取。所有更换的备件要求与原设备或模块的型号相同，各项性能规格不低于原有设备或模块。</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2）</w:t>
      </w:r>
      <w:r>
        <w:rPr>
          <w:rFonts w:hint="eastAsia" w:ascii="Times New Roman" w:hAnsi="Times New Roman" w:eastAsia="宋体" w:cs="宋体"/>
          <w:lang w:eastAsia="zh-CN"/>
        </w:rPr>
        <w:t>当中标供应商派出的现场支持工程师到达现场并经过分析判断，认为其所随行携带的替换备件不能完全解决设备故障，需要再更换备件的，中标供应商必须再次通过各种方式发送备件到用户指定地点，再由中标供应商现场支持工程师实施维护操作，直至故障完全修复。</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3）</w:t>
      </w:r>
      <w:r>
        <w:rPr>
          <w:rFonts w:hint="eastAsia" w:ascii="Times New Roman" w:hAnsi="Times New Roman" w:eastAsia="宋体" w:cs="宋体"/>
          <w:lang w:eastAsia="zh-CN"/>
        </w:rPr>
        <w:t>如遇特殊情况，故障设备没有相同的备件产品，中标供应商经广西壮族自治区桂东人民医院同意后，中标供应商可在约定的备件到达时间内提供不低于原设备性能的替代产品，以保证用户系统的正常运行。</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12</w:t>
      </w:r>
      <w:r>
        <w:rPr>
          <w:rFonts w:hint="eastAsia" w:ascii="Times New Roman" w:hAnsi="Times New Roman" w:eastAsia="宋体" w:cs="宋体"/>
          <w:lang w:eastAsia="zh-CN"/>
        </w:rPr>
        <w:t>）投标商是在中华人民共和国境内注册的法人，注册资金不少于</w:t>
      </w:r>
      <w:r>
        <w:rPr>
          <w:rFonts w:hint="eastAsia" w:ascii="Times New Roman" w:hAnsi="Times New Roman" w:eastAsia="宋体" w:cs="宋体"/>
          <w:lang w:val="en-US" w:eastAsia="zh-CN"/>
        </w:rPr>
        <w:t>10</w:t>
      </w:r>
      <w:r>
        <w:rPr>
          <w:rFonts w:hint="eastAsia" w:ascii="Times New Roman" w:hAnsi="Times New Roman" w:eastAsia="宋体" w:cs="宋体"/>
          <w:lang w:eastAsia="zh-CN"/>
        </w:rPr>
        <w:t>0万元人民币；非广西注册的公司需在广西具有合法登记的分支机构。</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13</w:t>
      </w:r>
      <w:r>
        <w:rPr>
          <w:rFonts w:hint="eastAsia" w:ascii="Times New Roman" w:hAnsi="Times New Roman" w:eastAsia="宋体" w:cs="宋体"/>
          <w:lang w:eastAsia="zh-CN"/>
        </w:rPr>
        <w:t>）投标商必须具备原厂商的产品维保服务技术能力。具有</w:t>
      </w:r>
      <w:r>
        <w:rPr>
          <w:rFonts w:hint="eastAsia" w:ascii="Times New Roman" w:hAnsi="Times New Roman" w:eastAsia="宋体" w:cs="宋体"/>
          <w:lang w:val="en-US" w:eastAsia="zh-CN"/>
        </w:rPr>
        <w:t>Netapp</w:t>
      </w:r>
      <w:r>
        <w:rPr>
          <w:rFonts w:hint="eastAsia" w:ascii="Times New Roman" w:hAnsi="Times New Roman" w:eastAsia="宋体" w:cs="宋体"/>
          <w:lang w:eastAsia="zh-CN"/>
        </w:rPr>
        <w:t>存储设备技术实施支持经验或维护经验；拥有</w:t>
      </w:r>
      <w:r>
        <w:rPr>
          <w:rFonts w:hint="eastAsia" w:ascii="Times New Roman" w:hAnsi="Times New Roman" w:eastAsia="宋体" w:cs="宋体"/>
          <w:lang w:val="en-US" w:eastAsia="zh-CN"/>
        </w:rPr>
        <w:t>存储</w:t>
      </w:r>
      <w:r>
        <w:rPr>
          <w:rFonts w:hint="eastAsia" w:ascii="Times New Roman" w:hAnsi="Times New Roman" w:eastAsia="宋体" w:cs="宋体"/>
          <w:lang w:eastAsia="zh-CN"/>
        </w:rPr>
        <w:t>认证工程师2名</w:t>
      </w:r>
      <w:r>
        <w:rPr>
          <w:rFonts w:hint="eastAsia" w:ascii="Times New Roman" w:hAnsi="Times New Roman" w:eastAsia="宋体" w:cs="宋体"/>
          <w:lang w:val="en-US" w:eastAsia="zh-CN"/>
        </w:rPr>
        <w:t>及</w:t>
      </w:r>
      <w:r>
        <w:rPr>
          <w:rFonts w:hint="eastAsia" w:ascii="Times New Roman" w:hAnsi="Times New Roman" w:eastAsia="宋体" w:cs="宋体"/>
          <w:lang w:eastAsia="zh-CN"/>
        </w:rPr>
        <w:t>以上（相关人员需提供相应厂商资格认证证书）。</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14</w:t>
      </w:r>
      <w:r>
        <w:rPr>
          <w:rFonts w:hint="eastAsia" w:ascii="Times New Roman" w:hAnsi="Times New Roman" w:eastAsia="宋体" w:cs="宋体"/>
          <w:lang w:eastAsia="zh-CN"/>
        </w:rPr>
        <w:t>）投标人必须有磁盘阵列实施维保案例2个以上（提供</w:t>
      </w:r>
      <w:r>
        <w:rPr>
          <w:rFonts w:hint="eastAsia" w:ascii="Times New Roman" w:hAnsi="Times New Roman" w:eastAsia="宋体" w:cs="宋体"/>
          <w:lang w:val="en-US" w:eastAsia="zh-CN"/>
        </w:rPr>
        <w:t>证明材料</w:t>
      </w:r>
      <w:r>
        <w:rPr>
          <w:rFonts w:hint="eastAsia" w:ascii="Times New Roman" w:hAnsi="Times New Roman" w:eastAsia="宋体" w:cs="宋体"/>
          <w:lang w:eastAsia="zh-CN"/>
        </w:rPr>
        <w:t>）。</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15</w:t>
      </w:r>
      <w:r>
        <w:rPr>
          <w:rFonts w:hint="eastAsia" w:ascii="Times New Roman" w:hAnsi="Times New Roman" w:eastAsia="宋体" w:cs="宋体"/>
          <w:lang w:eastAsia="zh-CN"/>
        </w:rPr>
        <w:t>）技术服务能力要求：存储设备为本医院核心数据存储设备，为确保投标人有相应的技术服务能力，避免因投标人无技术能力承担日后维保服务，本次维保服务项目要求投标人具备维保服务技术支持及备品备件更换服务能力，</w:t>
      </w:r>
      <w:r>
        <w:rPr>
          <w:rFonts w:hint="eastAsia" w:ascii="Times New Roman" w:hAnsi="Times New Roman" w:eastAsia="宋体" w:cs="宋体"/>
          <w:lang w:val="en-US" w:eastAsia="zh-CN"/>
        </w:rPr>
        <w:t>有权</w:t>
      </w:r>
      <w:r>
        <w:rPr>
          <w:rFonts w:hint="eastAsia" w:ascii="Times New Roman" w:hAnsi="Times New Roman" w:eastAsia="宋体" w:cs="宋体"/>
          <w:lang w:eastAsia="zh-CN"/>
        </w:rPr>
        <w:t>要求投标人中标后，签订合同前提供一次维保设备维护操作演练及培训服务。如无法提供相应技术服务能力，则我院有权不予投标人签订维保合同。</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16</w:t>
      </w:r>
      <w:r>
        <w:rPr>
          <w:rFonts w:hint="eastAsia" w:ascii="Times New Roman" w:hAnsi="Times New Roman" w:eastAsia="宋体" w:cs="宋体"/>
          <w:lang w:eastAsia="zh-CN"/>
        </w:rPr>
        <w:t>）</w:t>
      </w:r>
      <w:r>
        <w:rPr>
          <w:rFonts w:hint="eastAsia" w:ascii="Times New Roman" w:hAnsi="Times New Roman" w:eastAsia="宋体" w:cs="宋体"/>
          <w:lang w:val="en-US" w:eastAsia="zh-CN"/>
        </w:rPr>
        <w:t>维保</w:t>
      </w:r>
      <w:r>
        <w:rPr>
          <w:rFonts w:hint="eastAsia" w:ascii="Times New Roman" w:hAnsi="Times New Roman" w:eastAsia="宋体" w:cs="宋体"/>
          <w:lang w:eastAsia="zh-CN"/>
        </w:rPr>
        <w:t>期限内，供应商对保修范围内的全部设备、系统进行的维护和保修，不得收取任何费用。</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17</w:t>
      </w:r>
      <w:r>
        <w:rPr>
          <w:rFonts w:hint="eastAsia" w:ascii="Times New Roman" w:hAnsi="Times New Roman" w:eastAsia="宋体" w:cs="宋体"/>
          <w:lang w:eastAsia="zh-CN"/>
        </w:rPr>
        <w:t>）供应商在未得到采购方许可的情况下，不得从事以下行为：在非故障处理和恢复的情况，改动设备连接和配置；随意通过系统账户进入系统；改动系统软件配置和口令；修改和删除系统内的文件；拆卸非保修范围内的设备；实施设备微码或系统、软件升级；任何业务系统数据访问操作。</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18</w:t>
      </w:r>
      <w:r>
        <w:rPr>
          <w:rFonts w:hint="eastAsia" w:ascii="Times New Roman" w:hAnsi="Times New Roman" w:eastAsia="宋体" w:cs="宋体"/>
          <w:lang w:eastAsia="zh-CN"/>
        </w:rPr>
        <w:t>）保密要求。供应商必须与招标方签属保密协议，承担保密义务。供应商应采取有效预防措施，防止公司员工在合同执行期间将掌握的任何有关招标方的机密或专有信息透露给任何未经授权人。</w:t>
      </w:r>
    </w:p>
    <w:p>
      <w:pPr>
        <w:pStyle w:val="16"/>
        <w:ind w:left="-708" w:leftChars="-337"/>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3.维保期：</w:t>
      </w:r>
    </w:p>
    <w:p>
      <w:pPr>
        <w:pStyle w:val="16"/>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本次招标采购的维保期限为 叁 年整（2023年~2026年），合同签署方式为一年一签，采购单位将对中标供应商</w:t>
      </w:r>
      <w:r>
        <w:rPr>
          <w:rFonts w:hint="eastAsia" w:ascii="宋体" w:hAnsi="宋体" w:cs="宋体"/>
          <w:lang w:val="en-US" w:eastAsia="zh-CN"/>
        </w:rPr>
        <w:t>在合同</w:t>
      </w:r>
      <w:r>
        <w:rPr>
          <w:rFonts w:hint="eastAsia" w:ascii="宋体" w:hAnsi="宋体" w:eastAsia="宋体" w:cs="宋体"/>
          <w:lang w:val="en-US" w:eastAsia="zh-CN"/>
        </w:rPr>
        <w:t>维保服务</w:t>
      </w:r>
      <w:r>
        <w:rPr>
          <w:rFonts w:hint="eastAsia" w:ascii="宋体" w:hAnsi="宋体" w:cs="宋体"/>
          <w:lang w:val="en-US" w:eastAsia="zh-CN"/>
        </w:rPr>
        <w:t>期限内的服务质量进</w:t>
      </w:r>
      <w:r>
        <w:rPr>
          <w:rFonts w:hint="eastAsia" w:ascii="宋体" w:hAnsi="宋体" w:eastAsia="宋体" w:cs="宋体"/>
          <w:lang w:val="en-US" w:eastAsia="zh-CN"/>
        </w:rPr>
        <w:t>行综合评定</w:t>
      </w:r>
      <w:r>
        <w:rPr>
          <w:rFonts w:hint="eastAsia" w:ascii="宋体" w:hAnsi="宋体" w:cs="宋体"/>
          <w:lang w:val="en-US" w:eastAsia="zh-CN"/>
        </w:rPr>
        <w:t>，具体服务质量综合评价方式</w:t>
      </w:r>
      <w:r>
        <w:rPr>
          <w:rFonts w:hint="eastAsia" w:ascii="宋体" w:hAnsi="宋体" w:cs="宋体"/>
          <w:color w:val="auto"/>
          <w:lang w:val="en-US" w:eastAsia="zh-CN"/>
        </w:rPr>
        <w:t>详见附件:</w:t>
      </w:r>
      <w:r>
        <w:rPr>
          <w:rFonts w:hint="eastAsia" w:ascii="宋体" w:hAnsi="宋体" w:eastAsia="宋体" w:cs="宋体"/>
          <w:color w:val="auto"/>
          <w:kern w:val="0"/>
          <w:sz w:val="24"/>
          <w:szCs w:val="21"/>
          <w:lang w:val="en-US" w:eastAsia="zh-CN" w:bidi="ar-SA"/>
        </w:rPr>
        <w:t>广西壮族自治区桂东人民医院Netapp影像存储阵列维保</w:t>
      </w:r>
      <w:r>
        <w:rPr>
          <w:rFonts w:hint="eastAsia" w:ascii="宋体" w:hAnsi="宋体" w:cs="宋体"/>
          <w:color w:val="auto"/>
          <w:kern w:val="0"/>
          <w:sz w:val="24"/>
          <w:szCs w:val="21"/>
          <w:lang w:val="en-US" w:eastAsia="zh-CN" w:bidi="ar-SA"/>
        </w:rPr>
        <w:t>服务年度质量考核表，</w:t>
      </w:r>
      <w:r>
        <w:rPr>
          <w:rFonts w:hint="eastAsia" w:ascii="宋体" w:hAnsi="宋体" w:eastAsia="宋体" w:cs="宋体"/>
          <w:color w:val="auto"/>
          <w:lang w:val="en-US" w:eastAsia="zh-CN"/>
        </w:rPr>
        <w:t>将根据维保服务质量</w:t>
      </w:r>
      <w:r>
        <w:rPr>
          <w:rFonts w:hint="eastAsia" w:ascii="宋体" w:hAnsi="宋体" w:eastAsia="宋体" w:cs="宋体"/>
          <w:b w:val="0"/>
          <w:bCs w:val="0"/>
          <w:color w:val="auto"/>
          <w:sz w:val="24"/>
          <w:szCs w:val="24"/>
          <w:u w:val="none"/>
          <w:vertAlign w:val="baseline"/>
          <w:lang w:val="en-US" w:eastAsia="zh-CN"/>
        </w:rPr>
        <w:t>考核</w:t>
      </w:r>
      <w:r>
        <w:rPr>
          <w:rFonts w:hint="eastAsia" w:ascii="宋体" w:hAnsi="宋体" w:cs="宋体"/>
          <w:b w:val="0"/>
          <w:bCs w:val="0"/>
          <w:color w:val="auto"/>
          <w:sz w:val="24"/>
          <w:szCs w:val="24"/>
          <w:u w:val="none"/>
          <w:vertAlign w:val="baseline"/>
          <w:lang w:val="en-US" w:eastAsia="zh-CN"/>
        </w:rPr>
        <w:t>最终总得分达到80分</w:t>
      </w:r>
      <w:r>
        <w:rPr>
          <w:rFonts w:hint="eastAsia" w:ascii="宋体" w:hAnsi="宋体" w:cs="宋体"/>
          <w:b w:val="0"/>
          <w:bCs w:val="0"/>
          <w:color w:val="auto"/>
          <w:lang w:val="en-US" w:eastAsia="zh-CN"/>
        </w:rPr>
        <w:t>及以上的可考虑</w:t>
      </w:r>
      <w:r>
        <w:rPr>
          <w:rFonts w:hint="eastAsia" w:ascii="宋体" w:hAnsi="宋体" w:eastAsia="宋体" w:cs="宋体"/>
          <w:b w:val="0"/>
          <w:bCs w:val="0"/>
          <w:color w:val="auto"/>
          <w:lang w:val="en-US" w:eastAsia="zh-CN"/>
        </w:rPr>
        <w:t>合同的续签。</w:t>
      </w:r>
      <w:r>
        <w:rPr>
          <w:rFonts w:hint="eastAsia" w:ascii="宋体" w:hAnsi="宋体" w:eastAsia="宋体" w:cs="宋体"/>
          <w:b w:val="0"/>
          <w:bCs w:val="0"/>
          <w:lang w:val="en-US" w:eastAsia="zh-CN"/>
        </w:rPr>
        <w:t xml:space="preserve">    </w:t>
      </w:r>
    </w:p>
    <w:p>
      <w:pPr>
        <w:pStyle w:val="16"/>
        <w:ind w:left="-708" w:leftChars="-337"/>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4.付款方式：</w:t>
      </w:r>
    </w:p>
    <w:p>
      <w:pPr>
        <w:pStyle w:val="16"/>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eastAsia" w:ascii="宋体" w:hAnsi="宋体" w:eastAsia="宋体" w:cs="宋体"/>
        </w:rPr>
      </w:pPr>
      <w:r>
        <w:rPr>
          <w:rFonts w:hint="eastAsia" w:ascii="宋体" w:hAnsi="宋体" w:eastAsia="宋体" w:cs="宋体"/>
          <w:lang w:val="en-US" w:eastAsia="zh-CN"/>
        </w:rPr>
        <w:t>付款方式根据合同一年一签一支付模式，采取按年支付，3年共计支付3次，即每一年</w:t>
      </w:r>
      <w:r>
        <w:rPr>
          <w:rFonts w:hint="eastAsia" w:ascii="宋体" w:hAnsi="宋体" w:eastAsia="宋体" w:cs="宋体"/>
        </w:rPr>
        <w:t>签订合同</w:t>
      </w:r>
      <w:r>
        <w:rPr>
          <w:rFonts w:hint="eastAsia" w:ascii="宋体" w:hAnsi="宋体" w:eastAsia="宋体" w:cs="宋体"/>
          <w:lang w:val="en-US" w:eastAsia="zh-CN"/>
        </w:rPr>
        <w:t>之日起</w:t>
      </w:r>
      <w:r>
        <w:rPr>
          <w:rFonts w:hint="eastAsia" w:ascii="宋体" w:hAnsi="宋体" w:eastAsia="宋体" w:cs="宋体"/>
        </w:rPr>
        <w:t>7个工作日内</w:t>
      </w:r>
      <w:r>
        <w:rPr>
          <w:rFonts w:hint="eastAsia" w:ascii="宋体" w:hAnsi="宋体" w:eastAsia="宋体" w:cs="宋体"/>
          <w:lang w:val="en-US" w:eastAsia="zh-CN"/>
        </w:rPr>
        <w:t>全额</w:t>
      </w:r>
      <w:r>
        <w:rPr>
          <w:rFonts w:hint="eastAsia" w:ascii="宋体" w:hAnsi="宋体" w:eastAsia="宋体" w:cs="宋体"/>
        </w:rPr>
        <w:t>支付</w:t>
      </w:r>
      <w:r>
        <w:rPr>
          <w:rFonts w:hint="eastAsia" w:ascii="宋体" w:hAnsi="宋体" w:eastAsia="宋体" w:cs="宋体"/>
          <w:lang w:val="en-US" w:eastAsia="zh-CN"/>
        </w:rPr>
        <w:t>当年维保服务费</w:t>
      </w:r>
      <w:r>
        <w:rPr>
          <w:rFonts w:hint="eastAsia" w:ascii="宋体" w:hAnsi="宋体" w:eastAsia="宋体" w:cs="宋体"/>
        </w:rPr>
        <w:t>。</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1.</w:t>
      </w:r>
      <w:r>
        <w:rPr>
          <w:rFonts w:hint="eastAsia" w:ascii="Times New Roman" w:hAnsi="Times New Roman" w:eastAsia="宋体" w:cs="宋体"/>
          <w:lang w:eastAsia="zh-CN"/>
        </w:rPr>
        <w:t>培训和咨询服务。供应商在维护期内，至少组织一次不少于一天的设备及系统使用维护技能培训，并提供相关培训教材。</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2.</w:t>
      </w:r>
      <w:r>
        <w:rPr>
          <w:rFonts w:hint="eastAsia" w:ascii="Times New Roman" w:hAnsi="Times New Roman" w:eastAsia="宋体" w:cs="宋体"/>
          <w:lang w:eastAsia="zh-CN"/>
        </w:rPr>
        <w:t>扩容和升级服务支持。供应商需要派出专业系统和软件工程师，配合广西壮族自治区桂东人民医院完成对保修范围内设备扩容、升级以及非保修和维护范围的业务应用软件的维护、升级等技术支持工作。</w:t>
      </w:r>
    </w:p>
    <w:p>
      <w:pPr>
        <w:pStyle w:val="16"/>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3.</w:t>
      </w:r>
      <w:r>
        <w:rPr>
          <w:rFonts w:hint="eastAsia" w:ascii="Times New Roman" w:hAnsi="Times New Roman" w:eastAsia="宋体" w:cs="宋体"/>
          <w:lang w:eastAsia="zh-CN"/>
        </w:rPr>
        <w:t>故障排除技术支持。对在保内设备上运行的业务系统软件、中间件等系统软件出现的问题，供应商应积极配合分析和查找故障产生原因，并提出排除故障的建议和措施，不得推辞。</w:t>
      </w:r>
    </w:p>
    <w:p>
      <w:pPr>
        <w:pStyle w:val="16"/>
        <w:ind w:left="-708" w:leftChars="-337"/>
      </w:pPr>
      <w:r>
        <w:rPr>
          <w:rFonts w:hint="eastAsia" w:ascii="Times New Roman" w:hAnsi="Times New Roman" w:eastAsia="宋体" w:cs="宋体"/>
          <w:lang w:val="en-US" w:eastAsia="zh-CN"/>
        </w:rPr>
        <w:t>4.</w:t>
      </w:r>
      <w:r>
        <w:rPr>
          <w:rFonts w:hint="eastAsia" w:ascii="Times New Roman" w:hAnsi="Times New Roman" w:eastAsia="宋体" w:cs="宋体"/>
          <w:lang w:eastAsia="zh-CN"/>
        </w:rPr>
        <w:t>存储</w:t>
      </w:r>
      <w:r>
        <w:rPr>
          <w:rFonts w:hint="eastAsia" w:ascii="Times New Roman" w:hAnsi="Times New Roman" w:eastAsia="宋体" w:cs="宋体"/>
          <w:lang w:val="en-US" w:eastAsia="zh-CN"/>
        </w:rPr>
        <w:t>阵列</w:t>
      </w:r>
      <w:r>
        <w:rPr>
          <w:rFonts w:hint="eastAsia" w:ascii="Times New Roman" w:hAnsi="Times New Roman" w:eastAsia="宋体" w:cs="宋体"/>
          <w:lang w:eastAsia="zh-CN"/>
        </w:rPr>
        <w:t>搬迁和调试协助服务。在维保期内，</w:t>
      </w:r>
      <w:r>
        <w:rPr>
          <w:rFonts w:hint="eastAsia" w:ascii="Times New Roman" w:hAnsi="Times New Roman" w:eastAsia="宋体" w:cs="宋体"/>
          <w:lang w:val="en-US" w:eastAsia="zh-CN"/>
        </w:rPr>
        <w:t>若</w:t>
      </w:r>
      <w:r>
        <w:rPr>
          <w:rFonts w:hint="eastAsia" w:ascii="Times New Roman" w:hAnsi="Times New Roman" w:eastAsia="宋体" w:cs="宋体"/>
          <w:lang w:eastAsia="zh-CN"/>
        </w:rPr>
        <w:t>广西壮族自治区桂东人民医院</w:t>
      </w:r>
      <w:r>
        <w:rPr>
          <w:rFonts w:hint="eastAsia" w:ascii="Times New Roman" w:hAnsi="Times New Roman" w:eastAsia="宋体" w:cs="宋体"/>
          <w:lang w:val="en-US" w:eastAsia="zh-CN"/>
        </w:rPr>
        <w:t>因需要对存储阵列</w:t>
      </w:r>
      <w:r>
        <w:rPr>
          <w:rFonts w:hint="eastAsia" w:ascii="Times New Roman" w:hAnsi="Times New Roman" w:eastAsia="宋体" w:cs="宋体"/>
          <w:lang w:eastAsia="zh-CN"/>
        </w:rPr>
        <w:t>搬迁及调试</w:t>
      </w:r>
      <w:r>
        <w:rPr>
          <w:rFonts w:hint="eastAsia" w:ascii="Times New Roman" w:hAnsi="Times New Roman" w:eastAsia="宋体" w:cs="宋体"/>
          <w:lang w:val="en-US" w:eastAsia="zh-CN"/>
        </w:rPr>
        <w:t>的，</w:t>
      </w:r>
      <w:r>
        <w:rPr>
          <w:rFonts w:hint="eastAsia" w:ascii="Times New Roman" w:hAnsi="Times New Roman" w:eastAsia="宋体" w:cs="宋体"/>
          <w:lang w:eastAsia="zh-CN"/>
        </w:rPr>
        <w:t>供应商</w:t>
      </w:r>
      <w:r>
        <w:rPr>
          <w:rFonts w:hint="eastAsia" w:ascii="Times New Roman" w:hAnsi="Times New Roman" w:eastAsia="宋体" w:cs="宋体"/>
          <w:lang w:val="en-US" w:eastAsia="zh-CN"/>
        </w:rPr>
        <w:t>应配合</w:t>
      </w:r>
      <w:r>
        <w:rPr>
          <w:rFonts w:hint="eastAsia" w:ascii="Times New Roman" w:hAnsi="Times New Roman" w:eastAsia="宋体" w:cs="宋体"/>
          <w:lang w:eastAsia="zh-CN"/>
        </w:rPr>
        <w:t>搬迁及调试等技术支持工作。</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最低价</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pStyle w:val="16"/>
        <w:ind w:firstLine="480" w:firstLineChars="200"/>
        <w:rPr>
          <w:rFonts w:hint="eastAsia"/>
          <w:lang w:val="en-US" w:eastAsia="zh-CN"/>
        </w:rPr>
      </w:pPr>
      <w:r>
        <w:rPr>
          <w:rFonts w:hint="eastAsia"/>
          <w:lang w:val="en-US" w:eastAsia="zh-CN"/>
        </w:rPr>
        <w:t>无</w:t>
      </w: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ind w:firstLine="480" w:firstLineChars="200"/>
        <w:rPr>
          <w:rFonts w:hint="eastAsia"/>
          <w:lang w:val="en-US" w:eastAsia="zh-CN"/>
        </w:rPr>
      </w:pPr>
    </w:p>
    <w:p>
      <w:pPr>
        <w:pStyle w:val="16"/>
        <w:jc w:val="center"/>
        <w:rPr>
          <w:rFonts w:hint="eastAsia" w:ascii="宋体" w:hAnsi="宋体" w:cs="宋体"/>
          <w:color w:val="auto"/>
          <w:kern w:val="0"/>
          <w:sz w:val="32"/>
          <w:szCs w:val="32"/>
          <w:lang w:val="en-US" w:eastAsia="zh-CN" w:bidi="ar-SA"/>
        </w:rPr>
      </w:pPr>
      <w:r>
        <w:rPr>
          <w:rFonts w:hint="eastAsia" w:ascii="宋体" w:hAnsi="宋体" w:cs="宋体"/>
          <w:color w:val="auto"/>
          <w:sz w:val="32"/>
          <w:szCs w:val="32"/>
          <w:lang w:val="en-US" w:eastAsia="zh-CN"/>
        </w:rPr>
        <w:t>附件:</w:t>
      </w:r>
      <w:r>
        <w:rPr>
          <w:rFonts w:hint="eastAsia" w:ascii="宋体" w:hAnsi="宋体" w:eastAsia="宋体" w:cs="宋体"/>
          <w:color w:val="auto"/>
          <w:kern w:val="0"/>
          <w:sz w:val="32"/>
          <w:szCs w:val="32"/>
          <w:lang w:val="en-US" w:eastAsia="zh-CN" w:bidi="ar-SA"/>
        </w:rPr>
        <w:t>广西壮族自治区桂东人民医院Netapp影像存储阵列维保</w:t>
      </w:r>
      <w:r>
        <w:rPr>
          <w:rFonts w:hint="eastAsia" w:ascii="宋体" w:hAnsi="宋体" w:cs="宋体"/>
          <w:color w:val="auto"/>
          <w:kern w:val="0"/>
          <w:sz w:val="32"/>
          <w:szCs w:val="32"/>
          <w:lang w:val="en-US" w:eastAsia="zh-CN" w:bidi="ar-SA"/>
        </w:rPr>
        <w:t>服务年度质量考核表</w:t>
      </w:r>
    </w:p>
    <w:p>
      <w:pPr>
        <w:pStyle w:val="16"/>
        <w:keepNext w:val="0"/>
        <w:keepLines w:val="0"/>
        <w:pageBreakBefore w:val="0"/>
        <w:widowControl w:val="0"/>
        <w:kinsoku/>
        <w:wordWrap/>
        <w:overflowPunct/>
        <w:topLinePunct w:val="0"/>
        <w:autoSpaceDE w:val="0"/>
        <w:autoSpaceDN w:val="0"/>
        <w:bidi w:val="0"/>
        <w:adjustRightInd w:val="0"/>
        <w:snapToGrid/>
        <w:spacing w:after="157" w:afterLines="50"/>
        <w:ind w:firstLine="480" w:firstLineChars="200"/>
        <w:jc w:val="both"/>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lang w:val="en-US" w:eastAsia="zh-CN"/>
        </w:rPr>
        <w:t>被考核企业名称：</w:t>
      </w:r>
      <w:r>
        <w:rPr>
          <w:rFonts w:hint="eastAsia" w:ascii="宋体" w:hAnsi="宋体" w:eastAsia="宋体" w:cs="宋体"/>
          <w:b w:val="0"/>
          <w:bCs w:val="0"/>
          <w:color w:val="auto"/>
          <w:sz w:val="24"/>
          <w:szCs w:val="24"/>
          <w:u w:val="single"/>
          <w:lang w:val="en-US" w:eastAsia="zh-CN"/>
        </w:rPr>
        <w:t xml:space="preserve">                      </w:t>
      </w:r>
    </w:p>
    <w:tbl>
      <w:tblPr>
        <w:tblStyle w:val="13"/>
        <w:tblW w:w="8563"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021"/>
        <w:gridCol w:w="2103"/>
        <w:gridCol w:w="8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Align w:val="top"/>
          </w:tcPr>
          <w:p>
            <w:pPr>
              <w:pStyle w:val="16"/>
              <w:jc w:val="center"/>
              <w:rPr>
                <w:rFonts w:hint="eastAsia" w:ascii="宋体" w:hAnsi="宋体" w:eastAsia="宋体" w:cs="宋体"/>
                <w:b/>
                <w:bCs/>
                <w:color w:val="auto"/>
                <w:sz w:val="24"/>
                <w:szCs w:val="24"/>
                <w:u w:val="none"/>
                <w:vertAlign w:val="baseline"/>
                <w:lang w:val="en-US" w:eastAsia="zh-CN"/>
              </w:rPr>
            </w:pPr>
            <w:r>
              <w:rPr>
                <w:rFonts w:hint="eastAsia" w:ascii="宋体" w:hAnsi="宋体" w:cs="宋体"/>
                <w:b/>
                <w:bCs/>
                <w:color w:val="auto"/>
                <w:sz w:val="24"/>
                <w:szCs w:val="24"/>
                <w:u w:val="none"/>
                <w:vertAlign w:val="baseline"/>
                <w:lang w:val="en-US" w:eastAsia="zh-CN"/>
              </w:rPr>
              <w:t>一级</w:t>
            </w:r>
            <w:r>
              <w:rPr>
                <w:rFonts w:hint="eastAsia" w:ascii="宋体" w:hAnsi="宋体" w:eastAsia="宋体" w:cs="宋体"/>
                <w:b/>
                <w:bCs/>
                <w:color w:val="auto"/>
                <w:sz w:val="24"/>
                <w:szCs w:val="24"/>
                <w:u w:val="none"/>
                <w:vertAlign w:val="baseline"/>
                <w:lang w:val="en-US" w:eastAsia="zh-CN"/>
              </w:rPr>
              <w:t>考核指标</w:t>
            </w:r>
          </w:p>
        </w:tc>
        <w:tc>
          <w:tcPr>
            <w:tcW w:w="3021" w:type="dxa"/>
          </w:tcPr>
          <w:p>
            <w:pPr>
              <w:pStyle w:val="16"/>
              <w:jc w:val="center"/>
              <w:rPr>
                <w:rFonts w:hint="default" w:ascii="宋体" w:hAnsi="宋体" w:eastAsia="宋体" w:cs="宋体"/>
                <w:b/>
                <w:bCs/>
                <w:color w:val="auto"/>
                <w:sz w:val="24"/>
                <w:szCs w:val="24"/>
                <w:u w:val="none"/>
                <w:vertAlign w:val="baseline"/>
                <w:lang w:val="en-US" w:eastAsia="zh-CN"/>
              </w:rPr>
            </w:pPr>
            <w:r>
              <w:rPr>
                <w:rFonts w:hint="eastAsia" w:ascii="宋体" w:hAnsi="宋体" w:eastAsia="宋体" w:cs="宋体"/>
                <w:b/>
                <w:bCs/>
                <w:color w:val="auto"/>
                <w:sz w:val="24"/>
                <w:szCs w:val="24"/>
                <w:u w:val="none"/>
                <w:vertAlign w:val="baseline"/>
                <w:lang w:val="en-US" w:eastAsia="zh-CN"/>
              </w:rPr>
              <w:t>二级考核指标</w:t>
            </w:r>
          </w:p>
        </w:tc>
        <w:tc>
          <w:tcPr>
            <w:tcW w:w="2103" w:type="dxa"/>
          </w:tcPr>
          <w:p>
            <w:pPr>
              <w:pStyle w:val="16"/>
              <w:jc w:val="center"/>
              <w:rPr>
                <w:rFonts w:hint="eastAsia" w:ascii="宋体" w:hAnsi="宋体" w:eastAsia="宋体" w:cs="宋体"/>
                <w:b/>
                <w:bCs/>
                <w:color w:val="auto"/>
                <w:sz w:val="24"/>
                <w:szCs w:val="24"/>
                <w:u w:val="none"/>
                <w:vertAlign w:val="baseline"/>
                <w:lang w:val="en-US" w:eastAsia="zh-CN"/>
              </w:rPr>
            </w:pPr>
            <w:r>
              <w:rPr>
                <w:rFonts w:hint="eastAsia" w:ascii="宋体" w:hAnsi="宋体" w:eastAsia="宋体" w:cs="宋体"/>
                <w:b/>
                <w:bCs/>
                <w:color w:val="auto"/>
                <w:sz w:val="24"/>
                <w:szCs w:val="24"/>
                <w:u w:val="none"/>
                <w:vertAlign w:val="baseline"/>
                <w:lang w:val="en-US" w:eastAsia="zh-CN"/>
              </w:rPr>
              <w:t>考核细则（每个单项分扣完为止）</w:t>
            </w:r>
          </w:p>
        </w:tc>
        <w:tc>
          <w:tcPr>
            <w:tcW w:w="877" w:type="dxa"/>
            <w:vAlign w:val="center"/>
          </w:tcPr>
          <w:p>
            <w:pPr>
              <w:pStyle w:val="16"/>
              <w:jc w:val="center"/>
              <w:rPr>
                <w:rFonts w:hint="eastAsia" w:ascii="宋体" w:hAnsi="宋体" w:eastAsia="宋体" w:cs="宋体"/>
                <w:b/>
                <w:bCs/>
                <w:color w:val="auto"/>
                <w:sz w:val="24"/>
                <w:szCs w:val="24"/>
                <w:u w:val="none"/>
                <w:vertAlign w:val="baseline"/>
                <w:lang w:val="en-US" w:eastAsia="zh-CN"/>
              </w:rPr>
            </w:pPr>
            <w:r>
              <w:rPr>
                <w:rFonts w:hint="eastAsia" w:ascii="宋体" w:hAnsi="宋体" w:eastAsia="宋体" w:cs="宋体"/>
                <w:b/>
                <w:bCs/>
                <w:color w:val="auto"/>
                <w:sz w:val="24"/>
                <w:szCs w:val="24"/>
                <w:u w:val="none"/>
                <w:vertAlign w:val="baseline"/>
                <w:lang w:val="en-US" w:eastAsia="zh-CN"/>
              </w:rPr>
              <w:t>分值</w:t>
            </w:r>
          </w:p>
        </w:tc>
        <w:tc>
          <w:tcPr>
            <w:tcW w:w="1273" w:type="dxa"/>
            <w:vAlign w:val="center"/>
          </w:tcPr>
          <w:p>
            <w:pPr>
              <w:pStyle w:val="16"/>
              <w:jc w:val="center"/>
              <w:rPr>
                <w:rFonts w:hint="eastAsia" w:ascii="宋体" w:hAnsi="宋体" w:eastAsia="宋体" w:cs="宋体"/>
                <w:b/>
                <w:bCs/>
                <w:color w:val="auto"/>
                <w:sz w:val="24"/>
                <w:szCs w:val="24"/>
                <w:u w:val="none"/>
                <w:vertAlign w:val="baseline"/>
                <w:lang w:val="en-US" w:eastAsia="zh-CN"/>
              </w:rPr>
            </w:pPr>
            <w:r>
              <w:rPr>
                <w:rFonts w:hint="eastAsia" w:ascii="宋体" w:hAnsi="宋体" w:eastAsia="宋体" w:cs="宋体"/>
                <w:b/>
                <w:bCs/>
                <w:color w:val="auto"/>
                <w:sz w:val="24"/>
                <w:szCs w:val="24"/>
                <w:u w:val="none"/>
                <w:vertAlign w:val="baseline"/>
                <w:lang w:val="en-US" w:eastAsia="zh-CN"/>
              </w:rPr>
              <w:t>考核</w:t>
            </w:r>
            <w:r>
              <w:rPr>
                <w:rFonts w:hint="eastAsia" w:ascii="宋体" w:hAnsi="宋体" w:cs="宋体"/>
                <w:b/>
                <w:bCs/>
                <w:color w:val="auto"/>
                <w:sz w:val="24"/>
                <w:szCs w:val="24"/>
                <w:u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Align w:val="center"/>
          </w:tcPr>
          <w:p>
            <w:pPr>
              <w:pStyle w:val="16"/>
              <w:jc w:val="center"/>
              <w:rPr>
                <w:rFonts w:hint="eastAsia" w:ascii="宋体" w:hAnsi="宋体" w:eastAsia="宋体" w:cs="宋体"/>
                <w:bCs/>
                <w:color w:val="auto"/>
                <w:sz w:val="24"/>
                <w:szCs w:val="24"/>
                <w:highlight w:val="none"/>
                <w:u w:val="none"/>
              </w:rPr>
            </w:pPr>
            <w:r>
              <w:rPr>
                <w:rFonts w:hint="eastAsia" w:ascii="Times New Roman" w:hAnsi="Times New Roman" w:eastAsia="宋体" w:cs="宋体"/>
                <w:lang w:eastAsia="zh-CN"/>
              </w:rPr>
              <w:t>技术支持</w:t>
            </w:r>
          </w:p>
        </w:tc>
        <w:tc>
          <w:tcPr>
            <w:tcW w:w="3021" w:type="dxa"/>
          </w:tcPr>
          <w:p>
            <w:pPr>
              <w:pStyle w:val="16"/>
              <w:jc w:val="both"/>
              <w:rPr>
                <w:rFonts w:hint="default" w:ascii="宋体" w:hAnsi="宋体" w:eastAsia="宋体" w:cs="宋体"/>
                <w:b w:val="0"/>
                <w:bCs w:val="0"/>
                <w:color w:val="auto"/>
                <w:sz w:val="24"/>
                <w:szCs w:val="24"/>
                <w:u w:val="none"/>
                <w:vertAlign w:val="baseline"/>
                <w:lang w:val="en-US" w:eastAsia="zh-CN"/>
              </w:rPr>
            </w:pPr>
            <w:r>
              <w:rPr>
                <w:rFonts w:hint="eastAsia" w:cs="宋体"/>
                <w:lang w:val="en-US" w:eastAsia="zh-CN"/>
              </w:rPr>
              <w:t>中标供应商应</w:t>
            </w:r>
            <w:r>
              <w:rPr>
                <w:rFonts w:hint="eastAsia" w:ascii="Times New Roman" w:hAnsi="Times New Roman" w:eastAsia="宋体" w:cs="宋体"/>
                <w:lang w:eastAsia="zh-CN"/>
              </w:rPr>
              <w:t>提供7×24小时的技术支持服务</w:t>
            </w:r>
            <w:r>
              <w:rPr>
                <w:rFonts w:hint="eastAsia" w:cs="宋体"/>
                <w:lang w:eastAsia="zh-CN"/>
              </w:rPr>
              <w:t>，</w:t>
            </w:r>
            <w:r>
              <w:rPr>
                <w:rFonts w:hint="eastAsia" w:cs="宋体"/>
                <w:lang w:val="en-US" w:eastAsia="zh-CN"/>
              </w:rPr>
              <w:t>当甲方发起技术支持需求时，应及时提供支持。</w:t>
            </w:r>
          </w:p>
        </w:tc>
        <w:tc>
          <w:tcPr>
            <w:tcW w:w="2103" w:type="dxa"/>
          </w:tcPr>
          <w:p>
            <w:pPr>
              <w:pStyle w:val="16"/>
              <w:jc w:val="both"/>
              <w:rPr>
                <w:rFonts w:hint="default" w:ascii="宋体" w:hAnsi="宋体" w:eastAsia="宋体" w:cs="宋体"/>
                <w:b w:val="0"/>
                <w:bCs w:val="0"/>
                <w:color w:val="auto"/>
                <w:sz w:val="24"/>
                <w:szCs w:val="24"/>
                <w:u w:val="none"/>
                <w:vertAlign w:val="baseline"/>
                <w:lang w:val="en-US" w:eastAsia="zh-CN"/>
              </w:rPr>
            </w:pPr>
            <w:r>
              <w:rPr>
                <w:rFonts w:hint="eastAsia" w:ascii="宋体" w:hAnsi="宋体" w:eastAsia="宋体" w:cs="宋体"/>
                <w:b w:val="0"/>
                <w:bCs w:val="0"/>
                <w:color w:val="auto"/>
                <w:sz w:val="24"/>
                <w:szCs w:val="24"/>
                <w:u w:val="none"/>
                <w:vertAlign w:val="baseline"/>
                <w:lang w:val="en-US" w:eastAsia="zh-CN"/>
              </w:rPr>
              <w:t>每缺一次扣3分</w:t>
            </w:r>
            <w:r>
              <w:rPr>
                <w:rFonts w:hint="eastAsia"/>
                <w:b w:val="0"/>
                <w:bCs w:val="0"/>
                <w:color w:val="auto"/>
                <w:u w:val="none"/>
                <w:vertAlign w:val="baseline"/>
                <w:lang w:val="en-US" w:eastAsia="zh-CN"/>
              </w:rPr>
              <w:t>，扣完为止</w:t>
            </w:r>
          </w:p>
        </w:tc>
        <w:tc>
          <w:tcPr>
            <w:tcW w:w="877" w:type="dxa"/>
            <w:vAlign w:val="center"/>
          </w:tcPr>
          <w:p>
            <w:pPr>
              <w:pStyle w:val="16"/>
              <w:jc w:val="center"/>
              <w:rPr>
                <w:rFonts w:hint="default" w:ascii="宋体" w:hAnsi="宋体" w:eastAsia="宋体" w:cs="宋体"/>
                <w:b w:val="0"/>
                <w:bCs w:val="0"/>
                <w:color w:val="auto"/>
                <w:sz w:val="24"/>
                <w:szCs w:val="24"/>
                <w:u w:val="none"/>
                <w:vertAlign w:val="baseline"/>
                <w:lang w:val="en-US" w:eastAsia="zh-CN"/>
              </w:rPr>
            </w:pPr>
            <w:r>
              <w:rPr>
                <w:rFonts w:hint="eastAsia"/>
                <w:b w:val="0"/>
                <w:bCs w:val="0"/>
                <w:color w:val="auto"/>
                <w:u w:val="none"/>
                <w:vertAlign w:val="baseline"/>
                <w:lang w:val="en-US" w:eastAsia="zh-CN"/>
              </w:rPr>
              <w:t>12分</w:t>
            </w:r>
          </w:p>
        </w:tc>
        <w:tc>
          <w:tcPr>
            <w:tcW w:w="1273" w:type="dxa"/>
            <w:vAlign w:val="center"/>
          </w:tcPr>
          <w:p>
            <w:pPr>
              <w:pStyle w:val="16"/>
              <w:jc w:val="center"/>
              <w:rPr>
                <w:rFonts w:hint="eastAsia" w:ascii="宋体" w:hAnsi="宋体" w:eastAsia="宋体" w:cs="宋体"/>
                <w:b w:val="0"/>
                <w:b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Align w:val="center"/>
          </w:tcPr>
          <w:p>
            <w:pPr>
              <w:pStyle w:val="16"/>
              <w:ind w:firstLine="240" w:firstLineChars="100"/>
              <w:jc w:val="center"/>
              <w:rPr>
                <w:rFonts w:hint="default"/>
                <w:b w:val="0"/>
                <w:bCs w:val="0"/>
                <w:color w:val="auto"/>
                <w:u w:val="none"/>
                <w:vertAlign w:val="baseline"/>
                <w:lang w:val="en-US" w:eastAsia="zh-CN"/>
              </w:rPr>
            </w:pPr>
            <w:r>
              <w:rPr>
                <w:rFonts w:hint="eastAsia" w:ascii="Times New Roman" w:hAnsi="Times New Roman" w:eastAsia="宋体" w:cs="宋体"/>
                <w:lang w:eastAsia="zh-CN"/>
              </w:rPr>
              <w:t>巡检服务</w:t>
            </w:r>
          </w:p>
        </w:tc>
        <w:tc>
          <w:tcPr>
            <w:tcW w:w="3021" w:type="dxa"/>
          </w:tcPr>
          <w:p>
            <w:pPr>
              <w:pStyle w:val="16"/>
              <w:jc w:val="both"/>
              <w:rPr>
                <w:rFonts w:hint="default"/>
                <w:b w:val="0"/>
                <w:bCs w:val="0"/>
                <w:color w:val="auto"/>
                <w:u w:val="none"/>
                <w:vertAlign w:val="baseline"/>
                <w:lang w:val="en-US" w:eastAsia="zh-CN"/>
              </w:rPr>
            </w:pPr>
            <w:r>
              <w:rPr>
                <w:rFonts w:hint="eastAsia" w:cs="宋体"/>
                <w:lang w:val="en-US" w:eastAsia="zh-CN"/>
              </w:rPr>
              <w:t>中标供应商每季度应提供</w:t>
            </w:r>
            <w:r>
              <w:rPr>
                <w:rFonts w:hint="eastAsia" w:ascii="Times New Roman" w:hAnsi="Times New Roman" w:eastAsia="宋体" w:cs="宋体"/>
                <w:lang w:eastAsia="zh-CN"/>
              </w:rPr>
              <w:t>一次例行巡检服务，检测设备及系统运行情况、清洁设备并提供巡检报告</w:t>
            </w:r>
            <w:r>
              <w:rPr>
                <w:rFonts w:hint="eastAsia" w:cs="宋体"/>
                <w:lang w:eastAsia="zh-CN"/>
              </w:rPr>
              <w:t>，</w:t>
            </w:r>
            <w:r>
              <w:rPr>
                <w:rFonts w:hint="eastAsia" w:cs="宋体"/>
                <w:lang w:val="en-US" w:eastAsia="zh-CN"/>
              </w:rPr>
              <w:t>一年共计4次。</w:t>
            </w:r>
          </w:p>
        </w:tc>
        <w:tc>
          <w:tcPr>
            <w:tcW w:w="2103" w:type="dxa"/>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每缺一次或无巡检报告扣7分，扣完为止</w:t>
            </w:r>
          </w:p>
        </w:tc>
        <w:tc>
          <w:tcPr>
            <w:tcW w:w="877" w:type="dxa"/>
            <w:vAlign w:val="center"/>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28分</w:t>
            </w:r>
          </w:p>
        </w:tc>
        <w:tc>
          <w:tcPr>
            <w:tcW w:w="1273" w:type="dxa"/>
            <w:vAlign w:val="center"/>
          </w:tcPr>
          <w:p>
            <w:pPr>
              <w:pStyle w:val="16"/>
              <w:jc w:val="center"/>
              <w:rPr>
                <w:rFonts w:hint="default"/>
                <w:b w:val="0"/>
                <w:bCs w:val="0"/>
                <w:color w:val="auto"/>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Align w:val="center"/>
          </w:tcPr>
          <w:p>
            <w:pPr>
              <w:pStyle w:val="16"/>
              <w:jc w:val="center"/>
              <w:rPr>
                <w:rFonts w:hint="default"/>
                <w:b w:val="0"/>
                <w:bCs w:val="0"/>
                <w:color w:val="auto"/>
                <w:u w:val="none"/>
                <w:vertAlign w:val="baseline"/>
                <w:lang w:val="en-US" w:eastAsia="zh-CN"/>
              </w:rPr>
            </w:pPr>
            <w:r>
              <w:rPr>
                <w:rFonts w:hint="eastAsia" w:ascii="Times New Roman" w:hAnsi="Times New Roman" w:eastAsia="宋体" w:cs="宋体"/>
                <w:lang w:eastAsia="zh-CN"/>
              </w:rPr>
              <w:t>现场备件服务</w:t>
            </w:r>
          </w:p>
        </w:tc>
        <w:tc>
          <w:tcPr>
            <w:tcW w:w="3021" w:type="dxa"/>
          </w:tcPr>
          <w:p>
            <w:pPr>
              <w:pStyle w:val="16"/>
              <w:jc w:val="both"/>
              <w:rPr>
                <w:rFonts w:hint="default"/>
                <w:color w:val="auto"/>
                <w:lang w:val="en-US" w:eastAsia="zh-CN"/>
              </w:rPr>
            </w:pPr>
            <w:r>
              <w:rPr>
                <w:rFonts w:hint="eastAsia" w:cs="宋体"/>
                <w:lang w:val="en-US" w:eastAsia="zh-CN"/>
              </w:rPr>
              <w:t>中标供应商应</w:t>
            </w:r>
            <w:r>
              <w:rPr>
                <w:rFonts w:hint="eastAsia" w:ascii="Times New Roman" w:hAnsi="Times New Roman" w:eastAsia="宋体" w:cs="宋体"/>
                <w:lang w:eastAsia="zh-CN"/>
              </w:rPr>
              <w:t>提供客户现场备件服务，</w:t>
            </w:r>
            <w:r>
              <w:rPr>
                <w:rFonts w:hint="eastAsia" w:ascii="Times New Roman" w:hAnsi="Times New Roman" w:eastAsia="宋体" w:cs="宋体"/>
                <w:lang w:val="en-US" w:eastAsia="zh-CN"/>
              </w:rPr>
              <w:t>维保期内</w:t>
            </w:r>
            <w:r>
              <w:rPr>
                <w:rFonts w:hint="eastAsia"/>
                <w:b w:val="0"/>
                <w:bCs w:val="0"/>
                <w:color w:val="auto"/>
                <w:u w:val="none"/>
                <w:vertAlign w:val="baseline"/>
                <w:lang w:val="en-US" w:eastAsia="zh-CN"/>
              </w:rPr>
              <w:t>至少</w:t>
            </w:r>
            <w:r>
              <w:rPr>
                <w:rFonts w:hint="eastAsia" w:ascii="Times New Roman" w:hAnsi="Times New Roman" w:eastAsia="宋体" w:cs="宋体"/>
                <w:lang w:val="en-US" w:eastAsia="zh-CN"/>
              </w:rPr>
              <w:t>放置</w:t>
            </w:r>
            <w:r>
              <w:rPr>
                <w:rFonts w:hint="eastAsia"/>
                <w:b w:val="0"/>
                <w:bCs w:val="0"/>
                <w:color w:val="auto"/>
                <w:u w:val="none"/>
                <w:vertAlign w:val="baseline"/>
                <w:lang w:val="en-US" w:eastAsia="zh-CN"/>
              </w:rPr>
              <w:t>2块</w:t>
            </w:r>
            <w:r>
              <w:rPr>
                <w:rFonts w:hint="eastAsia" w:ascii="Times New Roman" w:hAnsi="Times New Roman" w:eastAsia="宋体" w:cs="宋体"/>
                <w:lang w:val="en-US" w:eastAsia="zh-CN"/>
              </w:rPr>
              <w:t>4TB 7.2K NL_SAS硬盘</w:t>
            </w:r>
            <w:r>
              <w:rPr>
                <w:rFonts w:hint="eastAsia" w:ascii="Times New Roman" w:hAnsi="Times New Roman" w:eastAsia="宋体" w:cs="宋体"/>
                <w:lang w:eastAsia="zh-CN"/>
              </w:rPr>
              <w:t>，坏硬盘更换后补齐现场备盘，提高现场备件响应速度；</w:t>
            </w:r>
          </w:p>
        </w:tc>
        <w:tc>
          <w:tcPr>
            <w:tcW w:w="2103" w:type="dxa"/>
          </w:tcPr>
          <w:p>
            <w:pPr>
              <w:pStyle w:val="16"/>
              <w:jc w:val="both"/>
              <w:rPr>
                <w:rFonts w:hint="default"/>
                <w:b w:val="0"/>
                <w:bCs w:val="0"/>
                <w:color w:val="auto"/>
                <w:u w:val="none"/>
                <w:vertAlign w:val="baseline"/>
                <w:lang w:val="en-US" w:eastAsia="zh-CN"/>
              </w:rPr>
            </w:pPr>
            <w:r>
              <w:rPr>
                <w:rFonts w:hint="eastAsia"/>
                <w:b w:val="0"/>
                <w:bCs w:val="0"/>
                <w:color w:val="auto"/>
                <w:u w:val="none"/>
                <w:vertAlign w:val="baseline"/>
                <w:lang w:val="en-US" w:eastAsia="zh-CN"/>
              </w:rPr>
              <w:t>要求至少提供2块硬盘得14分，每增加1块加7分，加满为止</w:t>
            </w:r>
            <w:bookmarkStart w:id="0" w:name="_GoBack"/>
            <w:bookmarkEnd w:id="0"/>
          </w:p>
        </w:tc>
        <w:tc>
          <w:tcPr>
            <w:tcW w:w="877" w:type="dxa"/>
            <w:vAlign w:val="center"/>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28分</w:t>
            </w:r>
          </w:p>
        </w:tc>
        <w:tc>
          <w:tcPr>
            <w:tcW w:w="1273" w:type="dxa"/>
            <w:vAlign w:val="center"/>
          </w:tcPr>
          <w:p>
            <w:pPr>
              <w:pStyle w:val="16"/>
              <w:jc w:val="center"/>
              <w:rPr>
                <w:rFonts w:hint="default"/>
                <w:b w:val="0"/>
                <w:bCs w:val="0"/>
                <w:color w:val="auto"/>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Align w:val="center"/>
          </w:tcPr>
          <w:p>
            <w:pPr>
              <w:pStyle w:val="16"/>
              <w:jc w:val="center"/>
              <w:rPr>
                <w:rFonts w:hint="default"/>
                <w:b w:val="0"/>
                <w:bCs w:val="0"/>
                <w:color w:val="auto"/>
                <w:u w:val="none"/>
                <w:vertAlign w:val="baseline"/>
                <w:lang w:val="en-US" w:eastAsia="zh-CN"/>
              </w:rPr>
            </w:pPr>
            <w:r>
              <w:rPr>
                <w:rFonts w:hint="eastAsia" w:ascii="Times New Roman" w:hAnsi="Times New Roman" w:eastAsia="宋体" w:cs="宋体"/>
                <w:lang w:eastAsia="zh-CN"/>
              </w:rPr>
              <w:t>服务质量分析</w:t>
            </w:r>
            <w:r>
              <w:rPr>
                <w:rFonts w:hint="eastAsia" w:cs="宋体"/>
                <w:lang w:val="en-US" w:eastAsia="zh-CN"/>
              </w:rPr>
              <w:t>服务</w:t>
            </w:r>
          </w:p>
        </w:tc>
        <w:tc>
          <w:tcPr>
            <w:tcW w:w="3021" w:type="dxa"/>
          </w:tcPr>
          <w:p>
            <w:pPr>
              <w:pStyle w:val="16"/>
              <w:jc w:val="both"/>
              <w:rPr>
                <w:rFonts w:hint="eastAsia"/>
                <w:color w:val="auto"/>
                <w:lang w:val="en-US" w:eastAsia="zh-CN"/>
              </w:rPr>
            </w:pPr>
            <w:r>
              <w:rPr>
                <w:rFonts w:hint="eastAsia" w:ascii="Times New Roman" w:hAnsi="Times New Roman" w:eastAsia="宋体" w:cs="宋体"/>
                <w:lang w:eastAsia="zh-CN"/>
              </w:rPr>
              <w:t>在服务期内，</w:t>
            </w:r>
            <w:r>
              <w:rPr>
                <w:rFonts w:hint="eastAsia" w:cs="宋体"/>
                <w:lang w:val="en-US" w:eastAsia="zh-CN"/>
              </w:rPr>
              <w:t>中标</w:t>
            </w:r>
            <w:r>
              <w:rPr>
                <w:rFonts w:hint="eastAsia" w:ascii="Times New Roman" w:hAnsi="Times New Roman" w:eastAsia="宋体" w:cs="宋体"/>
                <w:lang w:eastAsia="zh-CN"/>
              </w:rPr>
              <w:t>供应商应与广西壮族自治区桂东人民医院至少召开</w:t>
            </w:r>
            <w:r>
              <w:rPr>
                <w:rFonts w:hint="eastAsia" w:ascii="Times New Roman" w:hAnsi="Times New Roman" w:eastAsia="宋体" w:cs="宋体"/>
                <w:lang w:val="en-US" w:eastAsia="zh-CN"/>
              </w:rPr>
              <w:t>1</w:t>
            </w:r>
            <w:r>
              <w:rPr>
                <w:rFonts w:hint="eastAsia" w:ascii="Times New Roman" w:hAnsi="Times New Roman" w:eastAsia="宋体" w:cs="宋体"/>
                <w:lang w:eastAsia="zh-CN"/>
              </w:rPr>
              <w:t>次服务质量分析例会，对该阶段投标人所提供的服务进行总结和考核。</w:t>
            </w:r>
          </w:p>
        </w:tc>
        <w:tc>
          <w:tcPr>
            <w:tcW w:w="2103" w:type="dxa"/>
          </w:tcPr>
          <w:p>
            <w:pPr>
              <w:pStyle w:val="16"/>
              <w:jc w:val="both"/>
              <w:rPr>
                <w:rFonts w:hint="default"/>
                <w:b w:val="0"/>
                <w:bCs w:val="0"/>
                <w:color w:val="auto"/>
                <w:u w:val="none"/>
                <w:vertAlign w:val="baseline"/>
                <w:lang w:val="en-US" w:eastAsia="zh-CN"/>
              </w:rPr>
            </w:pPr>
            <w:r>
              <w:rPr>
                <w:rFonts w:hint="eastAsia"/>
                <w:b w:val="0"/>
                <w:bCs w:val="0"/>
                <w:color w:val="auto"/>
                <w:u w:val="none"/>
                <w:vertAlign w:val="baseline"/>
                <w:lang w:val="en-US" w:eastAsia="zh-CN"/>
              </w:rPr>
              <w:t>缺一次扣8分</w:t>
            </w:r>
          </w:p>
        </w:tc>
        <w:tc>
          <w:tcPr>
            <w:tcW w:w="877" w:type="dxa"/>
            <w:vAlign w:val="center"/>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8分</w:t>
            </w:r>
          </w:p>
        </w:tc>
        <w:tc>
          <w:tcPr>
            <w:tcW w:w="1273" w:type="dxa"/>
            <w:vAlign w:val="center"/>
          </w:tcPr>
          <w:p>
            <w:pPr>
              <w:pStyle w:val="16"/>
              <w:jc w:val="center"/>
              <w:rPr>
                <w:rFonts w:hint="default"/>
                <w:b w:val="0"/>
                <w:bCs w:val="0"/>
                <w:color w:val="auto"/>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Align w:val="center"/>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故障响应服务</w:t>
            </w:r>
          </w:p>
        </w:tc>
        <w:tc>
          <w:tcPr>
            <w:tcW w:w="3021" w:type="dxa"/>
          </w:tcPr>
          <w:p>
            <w:pPr>
              <w:pStyle w:val="16"/>
              <w:jc w:val="both"/>
              <w:rPr>
                <w:rFonts w:hint="eastAsia"/>
                <w:color w:val="auto"/>
                <w:lang w:val="en-US" w:eastAsia="zh-CN"/>
              </w:rPr>
            </w:pPr>
            <w:r>
              <w:rPr>
                <w:rFonts w:hint="eastAsia" w:cs="宋体"/>
                <w:lang w:val="en-US" w:eastAsia="zh-CN"/>
              </w:rPr>
              <w:t>中标供应商须</w:t>
            </w:r>
            <w:r>
              <w:rPr>
                <w:rFonts w:hint="eastAsia" w:ascii="Times New Roman" w:hAnsi="Times New Roman" w:eastAsia="宋体" w:cs="宋体"/>
                <w:lang w:eastAsia="zh-CN"/>
              </w:rPr>
              <w:t>提供7×24小时的故障受理，30分钟内故障处理响应服务。</w:t>
            </w:r>
          </w:p>
        </w:tc>
        <w:tc>
          <w:tcPr>
            <w:tcW w:w="2103" w:type="dxa"/>
          </w:tcPr>
          <w:p>
            <w:pPr>
              <w:pStyle w:val="16"/>
              <w:jc w:val="both"/>
              <w:rPr>
                <w:rFonts w:hint="default"/>
                <w:b w:val="0"/>
                <w:bCs w:val="0"/>
                <w:color w:val="auto"/>
                <w:u w:val="none"/>
                <w:vertAlign w:val="baseline"/>
                <w:lang w:val="en-US" w:eastAsia="zh-CN"/>
              </w:rPr>
            </w:pPr>
            <w:r>
              <w:rPr>
                <w:rFonts w:hint="eastAsia"/>
                <w:b w:val="0"/>
                <w:bCs w:val="0"/>
                <w:color w:val="auto"/>
                <w:u w:val="none"/>
                <w:vertAlign w:val="baseline"/>
                <w:lang w:val="en-US" w:eastAsia="zh-CN"/>
              </w:rPr>
              <w:t>达不到响应要求的，每一次扣5分，扣完为止</w:t>
            </w:r>
          </w:p>
        </w:tc>
        <w:tc>
          <w:tcPr>
            <w:tcW w:w="877" w:type="dxa"/>
            <w:vAlign w:val="center"/>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15分</w:t>
            </w:r>
          </w:p>
        </w:tc>
        <w:tc>
          <w:tcPr>
            <w:tcW w:w="1273" w:type="dxa"/>
            <w:vAlign w:val="center"/>
          </w:tcPr>
          <w:p>
            <w:pPr>
              <w:pStyle w:val="16"/>
              <w:jc w:val="center"/>
              <w:rPr>
                <w:rFonts w:hint="default"/>
                <w:b w:val="0"/>
                <w:bCs w:val="0"/>
                <w:color w:val="auto"/>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Align w:val="center"/>
          </w:tcPr>
          <w:p>
            <w:pPr>
              <w:pStyle w:val="16"/>
              <w:jc w:val="center"/>
              <w:rPr>
                <w:rFonts w:hint="eastAsia" w:ascii="宋体" w:hAnsi="宋体" w:eastAsia="宋体" w:cs="宋体"/>
                <w:b w:val="0"/>
                <w:bCs w:val="0"/>
                <w:color w:val="auto"/>
                <w:u w:val="none"/>
                <w:vertAlign w:val="baseline"/>
                <w:lang w:val="en-US" w:eastAsia="zh-CN"/>
              </w:rPr>
            </w:pPr>
            <w:r>
              <w:rPr>
                <w:rFonts w:hint="eastAsia" w:ascii="宋体" w:hAnsi="宋体" w:eastAsia="宋体" w:cs="宋体"/>
                <w:lang w:eastAsia="zh-CN"/>
              </w:rPr>
              <w:t>故障分析服务</w:t>
            </w:r>
          </w:p>
        </w:tc>
        <w:tc>
          <w:tcPr>
            <w:tcW w:w="3021" w:type="dxa"/>
          </w:tcPr>
          <w:p>
            <w:pPr>
              <w:pStyle w:val="16"/>
              <w:jc w:val="both"/>
              <w:rPr>
                <w:rFonts w:hint="eastAsia" w:ascii="宋体" w:hAnsi="宋体" w:eastAsia="宋体" w:cs="宋体"/>
                <w:color w:val="auto"/>
                <w:lang w:val="en-US" w:eastAsia="zh-CN"/>
              </w:rPr>
            </w:pPr>
            <w:r>
              <w:rPr>
                <w:rFonts w:hint="eastAsia" w:ascii="宋体" w:hAnsi="宋体" w:eastAsia="宋体" w:cs="宋体"/>
                <w:lang w:val="en-US" w:eastAsia="zh-CN"/>
              </w:rPr>
              <w:t>故障发生时，</w:t>
            </w:r>
            <w:r>
              <w:rPr>
                <w:rFonts w:hint="eastAsia" w:cs="宋体"/>
                <w:lang w:val="en-US" w:eastAsia="zh-CN"/>
              </w:rPr>
              <w:t>中标供应商</w:t>
            </w:r>
            <w:r>
              <w:rPr>
                <w:rFonts w:hint="eastAsia" w:ascii="宋体" w:hAnsi="宋体" w:eastAsia="宋体" w:cs="宋体"/>
                <w:lang w:eastAsia="zh-CN"/>
              </w:rPr>
              <w:t>在完成排障，系统恢复正常运行后，应于3日内向</w:t>
            </w:r>
            <w:r>
              <w:rPr>
                <w:rFonts w:hint="eastAsia" w:ascii="宋体" w:hAnsi="宋体" w:eastAsia="宋体" w:cs="宋体"/>
                <w:lang w:val="en-US" w:eastAsia="zh-CN"/>
              </w:rPr>
              <w:t>甲方</w:t>
            </w:r>
            <w:r>
              <w:rPr>
                <w:rFonts w:hint="eastAsia" w:ascii="宋体" w:hAnsi="宋体" w:eastAsia="宋体" w:cs="宋体"/>
                <w:lang w:eastAsia="zh-CN"/>
              </w:rPr>
              <w:t>提交书面报告。报告内容包括故障现象、原因，处理方法、配置变更内容、处理结果、可能存在的隐患以及今后避免问题的具体措施等。</w:t>
            </w:r>
          </w:p>
        </w:tc>
        <w:tc>
          <w:tcPr>
            <w:tcW w:w="2103" w:type="dxa"/>
          </w:tcPr>
          <w:p>
            <w:pPr>
              <w:pStyle w:val="16"/>
              <w:jc w:val="both"/>
              <w:rPr>
                <w:rFonts w:hint="default"/>
                <w:b w:val="0"/>
                <w:bCs w:val="0"/>
                <w:color w:val="auto"/>
                <w:u w:val="none"/>
                <w:vertAlign w:val="baseline"/>
                <w:lang w:val="en-US" w:eastAsia="zh-CN"/>
              </w:rPr>
            </w:pPr>
            <w:r>
              <w:rPr>
                <w:rFonts w:hint="eastAsia"/>
                <w:b w:val="0"/>
                <w:bCs w:val="0"/>
                <w:color w:val="auto"/>
                <w:u w:val="none"/>
                <w:vertAlign w:val="baseline"/>
                <w:lang w:val="en-US" w:eastAsia="zh-CN"/>
              </w:rPr>
              <w:t>不提供书面报告的缺一次扣3分，扣完为止</w:t>
            </w:r>
          </w:p>
        </w:tc>
        <w:tc>
          <w:tcPr>
            <w:tcW w:w="877" w:type="dxa"/>
            <w:vAlign w:val="center"/>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9分</w:t>
            </w:r>
          </w:p>
        </w:tc>
        <w:tc>
          <w:tcPr>
            <w:tcW w:w="1273" w:type="dxa"/>
            <w:vAlign w:val="center"/>
          </w:tcPr>
          <w:p>
            <w:pPr>
              <w:pStyle w:val="16"/>
              <w:jc w:val="center"/>
              <w:rPr>
                <w:rFonts w:hint="default"/>
                <w:b w:val="0"/>
                <w:bCs w:val="0"/>
                <w:color w:val="auto"/>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13" w:type="dxa"/>
            <w:gridSpan w:val="3"/>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总分</w:t>
            </w:r>
          </w:p>
        </w:tc>
        <w:tc>
          <w:tcPr>
            <w:tcW w:w="877" w:type="dxa"/>
            <w:vAlign w:val="center"/>
          </w:tcPr>
          <w:p>
            <w:pPr>
              <w:pStyle w:val="16"/>
              <w:jc w:val="center"/>
              <w:rPr>
                <w:rFonts w:hint="default"/>
                <w:b w:val="0"/>
                <w:bCs w:val="0"/>
                <w:color w:val="auto"/>
                <w:u w:val="none"/>
                <w:vertAlign w:val="baseline"/>
                <w:lang w:val="en-US" w:eastAsia="zh-CN"/>
              </w:rPr>
            </w:pPr>
            <w:r>
              <w:rPr>
                <w:rFonts w:hint="eastAsia"/>
                <w:b w:val="0"/>
                <w:bCs w:val="0"/>
                <w:color w:val="auto"/>
                <w:u w:val="none"/>
                <w:vertAlign w:val="baseline"/>
                <w:lang w:val="en-US" w:eastAsia="zh-CN"/>
              </w:rPr>
              <w:t>100分</w:t>
            </w:r>
          </w:p>
        </w:tc>
        <w:tc>
          <w:tcPr>
            <w:tcW w:w="1273" w:type="dxa"/>
            <w:vAlign w:val="center"/>
          </w:tcPr>
          <w:p>
            <w:pPr>
              <w:pStyle w:val="16"/>
              <w:jc w:val="center"/>
              <w:rPr>
                <w:rFonts w:hint="default"/>
                <w:b w:val="0"/>
                <w:bCs w:val="0"/>
                <w:color w:val="auto"/>
                <w:u w:val="none"/>
                <w:vertAlign w:val="baseline"/>
                <w:lang w:val="en-US" w:eastAsia="zh-CN"/>
              </w:rPr>
            </w:pPr>
          </w:p>
        </w:tc>
      </w:tr>
    </w:tbl>
    <w:p>
      <w:pPr>
        <w:pStyle w:val="16"/>
        <w:ind w:firstLine="480" w:firstLineChars="200"/>
        <w:jc w:val="both"/>
        <w:rPr>
          <w:rFonts w:hint="default"/>
          <w:b w:val="0"/>
          <w:bCs w:val="0"/>
          <w:color w:val="auto"/>
          <w:u w:val="none"/>
          <w:lang w:val="en-US" w:eastAsia="zh-CN"/>
        </w:rPr>
      </w:pPr>
    </w:p>
    <w:p>
      <w:pPr>
        <w:pStyle w:val="16"/>
        <w:jc w:val="both"/>
        <w:rPr>
          <w:rFonts w:hint="eastAsia" w:ascii="宋体" w:hAnsi="宋体" w:cs="宋体"/>
          <w:color w:val="auto"/>
          <w:kern w:val="0"/>
          <w:sz w:val="32"/>
          <w:szCs w:val="32"/>
          <w:lang w:val="en-US" w:eastAsia="zh-CN" w:bidi="ar-SA"/>
        </w:rPr>
      </w:pPr>
    </w:p>
    <w:sectPr>
      <w:footerReference r:id="rId3" w:type="default"/>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537C8"/>
    <w:rsid w:val="00066185"/>
    <w:rsid w:val="00080292"/>
    <w:rsid w:val="0008196D"/>
    <w:rsid w:val="00095D83"/>
    <w:rsid w:val="000A6C18"/>
    <w:rsid w:val="000B7E2D"/>
    <w:rsid w:val="000E1AA6"/>
    <w:rsid w:val="0017160C"/>
    <w:rsid w:val="001F5205"/>
    <w:rsid w:val="00204183"/>
    <w:rsid w:val="00241CD6"/>
    <w:rsid w:val="0027439C"/>
    <w:rsid w:val="002A1F7C"/>
    <w:rsid w:val="002B1179"/>
    <w:rsid w:val="002C7944"/>
    <w:rsid w:val="003C3AB5"/>
    <w:rsid w:val="003E7DC1"/>
    <w:rsid w:val="00461F7B"/>
    <w:rsid w:val="00474079"/>
    <w:rsid w:val="004C7EB2"/>
    <w:rsid w:val="004D08F5"/>
    <w:rsid w:val="004D2825"/>
    <w:rsid w:val="004F5A76"/>
    <w:rsid w:val="005007DD"/>
    <w:rsid w:val="005D491D"/>
    <w:rsid w:val="00654BC6"/>
    <w:rsid w:val="00684BD7"/>
    <w:rsid w:val="006E5543"/>
    <w:rsid w:val="006F6EA8"/>
    <w:rsid w:val="00707A97"/>
    <w:rsid w:val="00755DDD"/>
    <w:rsid w:val="007814EA"/>
    <w:rsid w:val="007A5910"/>
    <w:rsid w:val="007B2C87"/>
    <w:rsid w:val="007F6A3A"/>
    <w:rsid w:val="007F6F70"/>
    <w:rsid w:val="00825B15"/>
    <w:rsid w:val="008553F8"/>
    <w:rsid w:val="008A5DC5"/>
    <w:rsid w:val="008D3A6F"/>
    <w:rsid w:val="009408BA"/>
    <w:rsid w:val="009530DC"/>
    <w:rsid w:val="00A2105C"/>
    <w:rsid w:val="00A44D5C"/>
    <w:rsid w:val="00A46F92"/>
    <w:rsid w:val="00A83F43"/>
    <w:rsid w:val="00AC0EA5"/>
    <w:rsid w:val="00B8409A"/>
    <w:rsid w:val="00BA3521"/>
    <w:rsid w:val="00C33384"/>
    <w:rsid w:val="00C762C8"/>
    <w:rsid w:val="00C97AD7"/>
    <w:rsid w:val="00CC2DEE"/>
    <w:rsid w:val="00CD27A2"/>
    <w:rsid w:val="00D25050"/>
    <w:rsid w:val="00D2685D"/>
    <w:rsid w:val="00D41CB5"/>
    <w:rsid w:val="00D514EE"/>
    <w:rsid w:val="00D57065"/>
    <w:rsid w:val="00DA7D4F"/>
    <w:rsid w:val="00DB5864"/>
    <w:rsid w:val="00E14108"/>
    <w:rsid w:val="00E72BBE"/>
    <w:rsid w:val="00E84829"/>
    <w:rsid w:val="00EB1C9B"/>
    <w:rsid w:val="00ED5546"/>
    <w:rsid w:val="00EE6641"/>
    <w:rsid w:val="00EF1908"/>
    <w:rsid w:val="00FD22A0"/>
    <w:rsid w:val="01053561"/>
    <w:rsid w:val="011F5595"/>
    <w:rsid w:val="01236223"/>
    <w:rsid w:val="01377B95"/>
    <w:rsid w:val="01737A8F"/>
    <w:rsid w:val="019610AB"/>
    <w:rsid w:val="01AC6CCA"/>
    <w:rsid w:val="01E56619"/>
    <w:rsid w:val="01F6547A"/>
    <w:rsid w:val="020750EC"/>
    <w:rsid w:val="020B31AB"/>
    <w:rsid w:val="021B753B"/>
    <w:rsid w:val="021C4CE0"/>
    <w:rsid w:val="02324899"/>
    <w:rsid w:val="023535FA"/>
    <w:rsid w:val="023F6A66"/>
    <w:rsid w:val="024D072E"/>
    <w:rsid w:val="02604E81"/>
    <w:rsid w:val="02646B86"/>
    <w:rsid w:val="02777023"/>
    <w:rsid w:val="028A231E"/>
    <w:rsid w:val="028C7FF5"/>
    <w:rsid w:val="02990336"/>
    <w:rsid w:val="02CC7CF8"/>
    <w:rsid w:val="033C426E"/>
    <w:rsid w:val="03802CA0"/>
    <w:rsid w:val="03986902"/>
    <w:rsid w:val="039B24C3"/>
    <w:rsid w:val="03B143F4"/>
    <w:rsid w:val="03B327C4"/>
    <w:rsid w:val="03C05D66"/>
    <w:rsid w:val="03C91B74"/>
    <w:rsid w:val="03CF3D5A"/>
    <w:rsid w:val="03DF1595"/>
    <w:rsid w:val="03E20856"/>
    <w:rsid w:val="03FD0282"/>
    <w:rsid w:val="040561E8"/>
    <w:rsid w:val="041A63A0"/>
    <w:rsid w:val="043461BD"/>
    <w:rsid w:val="04392838"/>
    <w:rsid w:val="045A7B60"/>
    <w:rsid w:val="047940EB"/>
    <w:rsid w:val="048A2DE2"/>
    <w:rsid w:val="048F3250"/>
    <w:rsid w:val="04D61C86"/>
    <w:rsid w:val="0500507B"/>
    <w:rsid w:val="0531232E"/>
    <w:rsid w:val="055A0C28"/>
    <w:rsid w:val="05671749"/>
    <w:rsid w:val="05690D77"/>
    <w:rsid w:val="0569698B"/>
    <w:rsid w:val="056A309E"/>
    <w:rsid w:val="059D2395"/>
    <w:rsid w:val="05A02E22"/>
    <w:rsid w:val="05AB732E"/>
    <w:rsid w:val="05B829C9"/>
    <w:rsid w:val="05BC40AA"/>
    <w:rsid w:val="05BE69DF"/>
    <w:rsid w:val="05DE308C"/>
    <w:rsid w:val="05EB3096"/>
    <w:rsid w:val="062E6B64"/>
    <w:rsid w:val="065F7689"/>
    <w:rsid w:val="06626510"/>
    <w:rsid w:val="06813B27"/>
    <w:rsid w:val="06AC32FC"/>
    <w:rsid w:val="06BE1157"/>
    <w:rsid w:val="06E21F2B"/>
    <w:rsid w:val="06E25B06"/>
    <w:rsid w:val="06FA7398"/>
    <w:rsid w:val="06FE2538"/>
    <w:rsid w:val="07167A33"/>
    <w:rsid w:val="07307009"/>
    <w:rsid w:val="07423F18"/>
    <w:rsid w:val="07465F50"/>
    <w:rsid w:val="075D7BAD"/>
    <w:rsid w:val="07AC28A7"/>
    <w:rsid w:val="07B22D1F"/>
    <w:rsid w:val="07B5558A"/>
    <w:rsid w:val="07B87812"/>
    <w:rsid w:val="07E70261"/>
    <w:rsid w:val="08053E7F"/>
    <w:rsid w:val="082417A1"/>
    <w:rsid w:val="08277881"/>
    <w:rsid w:val="082F09E7"/>
    <w:rsid w:val="083524D5"/>
    <w:rsid w:val="083F674F"/>
    <w:rsid w:val="088B5CD1"/>
    <w:rsid w:val="08AE3B16"/>
    <w:rsid w:val="08C3257A"/>
    <w:rsid w:val="08DA707D"/>
    <w:rsid w:val="08F24D29"/>
    <w:rsid w:val="08FE554F"/>
    <w:rsid w:val="09056E9F"/>
    <w:rsid w:val="090A7EDF"/>
    <w:rsid w:val="090E20FA"/>
    <w:rsid w:val="09111A4B"/>
    <w:rsid w:val="095A72F4"/>
    <w:rsid w:val="09731800"/>
    <w:rsid w:val="097B4411"/>
    <w:rsid w:val="098F037D"/>
    <w:rsid w:val="0A012CB3"/>
    <w:rsid w:val="0A1F6C78"/>
    <w:rsid w:val="0A2F6591"/>
    <w:rsid w:val="0A8221E9"/>
    <w:rsid w:val="0A8D3CE0"/>
    <w:rsid w:val="0AA21553"/>
    <w:rsid w:val="0AA616A0"/>
    <w:rsid w:val="0AAD25EC"/>
    <w:rsid w:val="0ADE61C0"/>
    <w:rsid w:val="0AE14D21"/>
    <w:rsid w:val="0B08712D"/>
    <w:rsid w:val="0B315C3A"/>
    <w:rsid w:val="0B3C546B"/>
    <w:rsid w:val="0B4E6232"/>
    <w:rsid w:val="0B7E0D3B"/>
    <w:rsid w:val="0B867515"/>
    <w:rsid w:val="0B875E99"/>
    <w:rsid w:val="0BA5638D"/>
    <w:rsid w:val="0BF67B3A"/>
    <w:rsid w:val="0BFA73EB"/>
    <w:rsid w:val="0C221357"/>
    <w:rsid w:val="0C437022"/>
    <w:rsid w:val="0C4C5739"/>
    <w:rsid w:val="0C5108E2"/>
    <w:rsid w:val="0C5B0580"/>
    <w:rsid w:val="0C864007"/>
    <w:rsid w:val="0C8B0CD1"/>
    <w:rsid w:val="0C8B6EFD"/>
    <w:rsid w:val="0C8C4A1A"/>
    <w:rsid w:val="0CA97FEF"/>
    <w:rsid w:val="0CAD0DB3"/>
    <w:rsid w:val="0CAF556C"/>
    <w:rsid w:val="0CB21FEF"/>
    <w:rsid w:val="0CBB17D5"/>
    <w:rsid w:val="0CC05EEA"/>
    <w:rsid w:val="0D036480"/>
    <w:rsid w:val="0D0F692A"/>
    <w:rsid w:val="0D1C4CAC"/>
    <w:rsid w:val="0D21507A"/>
    <w:rsid w:val="0D3C4F75"/>
    <w:rsid w:val="0D65654F"/>
    <w:rsid w:val="0D6C708A"/>
    <w:rsid w:val="0D8A69E6"/>
    <w:rsid w:val="0DC06902"/>
    <w:rsid w:val="0DFD09AF"/>
    <w:rsid w:val="0E1D51A6"/>
    <w:rsid w:val="0E3A6B69"/>
    <w:rsid w:val="0E487998"/>
    <w:rsid w:val="0E695AF6"/>
    <w:rsid w:val="0E7C06A5"/>
    <w:rsid w:val="0E9971C1"/>
    <w:rsid w:val="0E9B3DFB"/>
    <w:rsid w:val="0F2560C6"/>
    <w:rsid w:val="0F54128F"/>
    <w:rsid w:val="0F6958A6"/>
    <w:rsid w:val="0F6D1D6D"/>
    <w:rsid w:val="0F74651A"/>
    <w:rsid w:val="0F835C46"/>
    <w:rsid w:val="0FC62C93"/>
    <w:rsid w:val="10170F29"/>
    <w:rsid w:val="10265A08"/>
    <w:rsid w:val="103819AC"/>
    <w:rsid w:val="103E0D8A"/>
    <w:rsid w:val="106D3691"/>
    <w:rsid w:val="107E0FE2"/>
    <w:rsid w:val="10862AA8"/>
    <w:rsid w:val="10B36D8E"/>
    <w:rsid w:val="10B456CB"/>
    <w:rsid w:val="10BD6C28"/>
    <w:rsid w:val="10C329EA"/>
    <w:rsid w:val="10C55F3F"/>
    <w:rsid w:val="10C66B65"/>
    <w:rsid w:val="10C97A40"/>
    <w:rsid w:val="10CF0C13"/>
    <w:rsid w:val="10D12950"/>
    <w:rsid w:val="10D226C9"/>
    <w:rsid w:val="10DF0DFC"/>
    <w:rsid w:val="10EA4C86"/>
    <w:rsid w:val="10F003AA"/>
    <w:rsid w:val="110D66BB"/>
    <w:rsid w:val="11504601"/>
    <w:rsid w:val="116177B3"/>
    <w:rsid w:val="11874A3F"/>
    <w:rsid w:val="118A03BD"/>
    <w:rsid w:val="11B01798"/>
    <w:rsid w:val="11C97797"/>
    <w:rsid w:val="11E5713C"/>
    <w:rsid w:val="122B15C9"/>
    <w:rsid w:val="1232346C"/>
    <w:rsid w:val="12414E58"/>
    <w:rsid w:val="1242038B"/>
    <w:rsid w:val="12612F6E"/>
    <w:rsid w:val="12630728"/>
    <w:rsid w:val="12632E66"/>
    <w:rsid w:val="126D2E31"/>
    <w:rsid w:val="12807C16"/>
    <w:rsid w:val="12CF692A"/>
    <w:rsid w:val="12E055CF"/>
    <w:rsid w:val="12E333E8"/>
    <w:rsid w:val="12FE6188"/>
    <w:rsid w:val="12FF4F45"/>
    <w:rsid w:val="13112522"/>
    <w:rsid w:val="1328351C"/>
    <w:rsid w:val="13577378"/>
    <w:rsid w:val="136928FA"/>
    <w:rsid w:val="13793250"/>
    <w:rsid w:val="137B6893"/>
    <w:rsid w:val="138C1785"/>
    <w:rsid w:val="13913D07"/>
    <w:rsid w:val="13D02B9D"/>
    <w:rsid w:val="13F20327"/>
    <w:rsid w:val="13FB093E"/>
    <w:rsid w:val="13FC3B2E"/>
    <w:rsid w:val="1404234B"/>
    <w:rsid w:val="141A1F44"/>
    <w:rsid w:val="1438747D"/>
    <w:rsid w:val="144C2AA5"/>
    <w:rsid w:val="146045BD"/>
    <w:rsid w:val="148C0476"/>
    <w:rsid w:val="14AB1C7D"/>
    <w:rsid w:val="14D0633F"/>
    <w:rsid w:val="14E41C03"/>
    <w:rsid w:val="15120DFC"/>
    <w:rsid w:val="154017A3"/>
    <w:rsid w:val="1553669C"/>
    <w:rsid w:val="1569375B"/>
    <w:rsid w:val="158C0310"/>
    <w:rsid w:val="15E815E5"/>
    <w:rsid w:val="15EC7F66"/>
    <w:rsid w:val="15EE1937"/>
    <w:rsid w:val="16235CBE"/>
    <w:rsid w:val="163D2A6F"/>
    <w:rsid w:val="1646241F"/>
    <w:rsid w:val="165209F7"/>
    <w:rsid w:val="16541221"/>
    <w:rsid w:val="168C5FBE"/>
    <w:rsid w:val="16A13FC4"/>
    <w:rsid w:val="16B47861"/>
    <w:rsid w:val="16C15D10"/>
    <w:rsid w:val="16DC6F83"/>
    <w:rsid w:val="16F96E53"/>
    <w:rsid w:val="16FB3B10"/>
    <w:rsid w:val="171F3B4C"/>
    <w:rsid w:val="17420B69"/>
    <w:rsid w:val="1760304B"/>
    <w:rsid w:val="176B37A0"/>
    <w:rsid w:val="17704395"/>
    <w:rsid w:val="177D7922"/>
    <w:rsid w:val="178D4E7B"/>
    <w:rsid w:val="179A627B"/>
    <w:rsid w:val="179D539F"/>
    <w:rsid w:val="17AA4970"/>
    <w:rsid w:val="17AC7BAF"/>
    <w:rsid w:val="17B26F8C"/>
    <w:rsid w:val="17C525D5"/>
    <w:rsid w:val="17C552CA"/>
    <w:rsid w:val="17D8507B"/>
    <w:rsid w:val="180465B0"/>
    <w:rsid w:val="180E420F"/>
    <w:rsid w:val="18171E7B"/>
    <w:rsid w:val="182342CC"/>
    <w:rsid w:val="18AC23E8"/>
    <w:rsid w:val="18BA123B"/>
    <w:rsid w:val="18C95B23"/>
    <w:rsid w:val="18CC0AF3"/>
    <w:rsid w:val="192771FB"/>
    <w:rsid w:val="19376EE3"/>
    <w:rsid w:val="197E5C0A"/>
    <w:rsid w:val="19833642"/>
    <w:rsid w:val="19884E2F"/>
    <w:rsid w:val="199279F6"/>
    <w:rsid w:val="19CD1DFD"/>
    <w:rsid w:val="19D53F6C"/>
    <w:rsid w:val="19E073F1"/>
    <w:rsid w:val="19E43657"/>
    <w:rsid w:val="19E46AEE"/>
    <w:rsid w:val="19E67448"/>
    <w:rsid w:val="19E8704E"/>
    <w:rsid w:val="19FE01E3"/>
    <w:rsid w:val="1A006452"/>
    <w:rsid w:val="1A4B2734"/>
    <w:rsid w:val="1A4E4A55"/>
    <w:rsid w:val="1A6309AD"/>
    <w:rsid w:val="1A6B563A"/>
    <w:rsid w:val="1A6D5B97"/>
    <w:rsid w:val="1A733068"/>
    <w:rsid w:val="1A766451"/>
    <w:rsid w:val="1A85523A"/>
    <w:rsid w:val="1A884903"/>
    <w:rsid w:val="1A8E1151"/>
    <w:rsid w:val="1A9650F4"/>
    <w:rsid w:val="1A9E469F"/>
    <w:rsid w:val="1AB14119"/>
    <w:rsid w:val="1ABD2407"/>
    <w:rsid w:val="1AC416E5"/>
    <w:rsid w:val="1AC66C99"/>
    <w:rsid w:val="1AE60586"/>
    <w:rsid w:val="1AF17655"/>
    <w:rsid w:val="1AF564A4"/>
    <w:rsid w:val="1B025810"/>
    <w:rsid w:val="1B0F7FB0"/>
    <w:rsid w:val="1B193412"/>
    <w:rsid w:val="1B2468B8"/>
    <w:rsid w:val="1B256147"/>
    <w:rsid w:val="1B282CB6"/>
    <w:rsid w:val="1B330E84"/>
    <w:rsid w:val="1B4812D8"/>
    <w:rsid w:val="1B547E9F"/>
    <w:rsid w:val="1B7E483B"/>
    <w:rsid w:val="1B916B47"/>
    <w:rsid w:val="1BC73E92"/>
    <w:rsid w:val="1BE57ABE"/>
    <w:rsid w:val="1C085B0D"/>
    <w:rsid w:val="1C280596"/>
    <w:rsid w:val="1C613E44"/>
    <w:rsid w:val="1C663A1A"/>
    <w:rsid w:val="1C816CFE"/>
    <w:rsid w:val="1C872BE5"/>
    <w:rsid w:val="1C8B7B42"/>
    <w:rsid w:val="1CA83CAE"/>
    <w:rsid w:val="1CA93BD8"/>
    <w:rsid w:val="1CB349EF"/>
    <w:rsid w:val="1CC16FFD"/>
    <w:rsid w:val="1CCB7C77"/>
    <w:rsid w:val="1CCD293F"/>
    <w:rsid w:val="1CE639CE"/>
    <w:rsid w:val="1CFF6599"/>
    <w:rsid w:val="1D105817"/>
    <w:rsid w:val="1D1E598F"/>
    <w:rsid w:val="1D1F609D"/>
    <w:rsid w:val="1D2C1E22"/>
    <w:rsid w:val="1D46339B"/>
    <w:rsid w:val="1D6E56CA"/>
    <w:rsid w:val="1D7212D6"/>
    <w:rsid w:val="1D9A3C6D"/>
    <w:rsid w:val="1DB27255"/>
    <w:rsid w:val="1DC743F0"/>
    <w:rsid w:val="1DDF7AC0"/>
    <w:rsid w:val="1DFD53A8"/>
    <w:rsid w:val="1E0B06CE"/>
    <w:rsid w:val="1E272F64"/>
    <w:rsid w:val="1E2A1D85"/>
    <w:rsid w:val="1E2B0ECC"/>
    <w:rsid w:val="1E3568CD"/>
    <w:rsid w:val="1E536028"/>
    <w:rsid w:val="1E5500B0"/>
    <w:rsid w:val="1E78121C"/>
    <w:rsid w:val="1E790599"/>
    <w:rsid w:val="1E8363B5"/>
    <w:rsid w:val="1E902CCC"/>
    <w:rsid w:val="1EBA041D"/>
    <w:rsid w:val="1EC221FF"/>
    <w:rsid w:val="1EF75343"/>
    <w:rsid w:val="1F0C2535"/>
    <w:rsid w:val="1F167623"/>
    <w:rsid w:val="1F2971CA"/>
    <w:rsid w:val="1F467023"/>
    <w:rsid w:val="1F5A7131"/>
    <w:rsid w:val="1F783576"/>
    <w:rsid w:val="1F7D045C"/>
    <w:rsid w:val="1F805168"/>
    <w:rsid w:val="1F842F57"/>
    <w:rsid w:val="1FB12AD4"/>
    <w:rsid w:val="1FB33082"/>
    <w:rsid w:val="1FF5205A"/>
    <w:rsid w:val="1FFE7387"/>
    <w:rsid w:val="20045D4E"/>
    <w:rsid w:val="20407BC3"/>
    <w:rsid w:val="20494976"/>
    <w:rsid w:val="205E1371"/>
    <w:rsid w:val="206015FF"/>
    <w:rsid w:val="2074067E"/>
    <w:rsid w:val="20777C17"/>
    <w:rsid w:val="209B5877"/>
    <w:rsid w:val="20EA5007"/>
    <w:rsid w:val="20EB0DB3"/>
    <w:rsid w:val="211D7E47"/>
    <w:rsid w:val="212216AC"/>
    <w:rsid w:val="212A2B97"/>
    <w:rsid w:val="2135393B"/>
    <w:rsid w:val="21440D66"/>
    <w:rsid w:val="2152056A"/>
    <w:rsid w:val="215E2DFC"/>
    <w:rsid w:val="218369ED"/>
    <w:rsid w:val="219119A9"/>
    <w:rsid w:val="219D2928"/>
    <w:rsid w:val="21A952ED"/>
    <w:rsid w:val="21B55CE4"/>
    <w:rsid w:val="21B63FDE"/>
    <w:rsid w:val="21BC1210"/>
    <w:rsid w:val="21CF5268"/>
    <w:rsid w:val="21D70D70"/>
    <w:rsid w:val="21EA1DBA"/>
    <w:rsid w:val="2218153E"/>
    <w:rsid w:val="222A1B2C"/>
    <w:rsid w:val="22357F6D"/>
    <w:rsid w:val="224A286C"/>
    <w:rsid w:val="2257719D"/>
    <w:rsid w:val="225B3F00"/>
    <w:rsid w:val="22832351"/>
    <w:rsid w:val="22872FC4"/>
    <w:rsid w:val="22B6384D"/>
    <w:rsid w:val="22D771F0"/>
    <w:rsid w:val="22D9358E"/>
    <w:rsid w:val="231369FA"/>
    <w:rsid w:val="234B78F5"/>
    <w:rsid w:val="23780B86"/>
    <w:rsid w:val="238241FC"/>
    <w:rsid w:val="238D59CA"/>
    <w:rsid w:val="23931CFC"/>
    <w:rsid w:val="23F43A6E"/>
    <w:rsid w:val="240E0F5F"/>
    <w:rsid w:val="241B036E"/>
    <w:rsid w:val="242C6682"/>
    <w:rsid w:val="243771FA"/>
    <w:rsid w:val="244641F4"/>
    <w:rsid w:val="245D19CE"/>
    <w:rsid w:val="24686BC8"/>
    <w:rsid w:val="246C07FC"/>
    <w:rsid w:val="246C27D7"/>
    <w:rsid w:val="247B7BE7"/>
    <w:rsid w:val="24A72538"/>
    <w:rsid w:val="24B1410B"/>
    <w:rsid w:val="24CE6FE3"/>
    <w:rsid w:val="24D66C1D"/>
    <w:rsid w:val="24E5051E"/>
    <w:rsid w:val="24EC650D"/>
    <w:rsid w:val="24EF6760"/>
    <w:rsid w:val="24FA6646"/>
    <w:rsid w:val="250C765F"/>
    <w:rsid w:val="252C0F31"/>
    <w:rsid w:val="252E5AA7"/>
    <w:rsid w:val="25406707"/>
    <w:rsid w:val="25412BC6"/>
    <w:rsid w:val="257D6C32"/>
    <w:rsid w:val="25BD1054"/>
    <w:rsid w:val="25D6720D"/>
    <w:rsid w:val="2604386C"/>
    <w:rsid w:val="260D7B7B"/>
    <w:rsid w:val="26283388"/>
    <w:rsid w:val="26431704"/>
    <w:rsid w:val="26497E9B"/>
    <w:rsid w:val="266C365A"/>
    <w:rsid w:val="267B6D23"/>
    <w:rsid w:val="267E6500"/>
    <w:rsid w:val="26914BF0"/>
    <w:rsid w:val="26991DA8"/>
    <w:rsid w:val="26AB3501"/>
    <w:rsid w:val="26ED4C50"/>
    <w:rsid w:val="26FD25C4"/>
    <w:rsid w:val="270C5968"/>
    <w:rsid w:val="27166EA2"/>
    <w:rsid w:val="271F3846"/>
    <w:rsid w:val="27243AB5"/>
    <w:rsid w:val="27251216"/>
    <w:rsid w:val="27251BC9"/>
    <w:rsid w:val="272B333B"/>
    <w:rsid w:val="27390DB2"/>
    <w:rsid w:val="273B4723"/>
    <w:rsid w:val="27472B57"/>
    <w:rsid w:val="274A7A35"/>
    <w:rsid w:val="276E51AE"/>
    <w:rsid w:val="27796956"/>
    <w:rsid w:val="277C6DFF"/>
    <w:rsid w:val="277F17F2"/>
    <w:rsid w:val="27803545"/>
    <w:rsid w:val="27C5677C"/>
    <w:rsid w:val="27EB0B88"/>
    <w:rsid w:val="27F14526"/>
    <w:rsid w:val="27F76A45"/>
    <w:rsid w:val="28082D96"/>
    <w:rsid w:val="2816320B"/>
    <w:rsid w:val="28691411"/>
    <w:rsid w:val="286E0CEE"/>
    <w:rsid w:val="286F5210"/>
    <w:rsid w:val="28761D96"/>
    <w:rsid w:val="28804A49"/>
    <w:rsid w:val="28867777"/>
    <w:rsid w:val="28B93623"/>
    <w:rsid w:val="28BC2115"/>
    <w:rsid w:val="28C51FC0"/>
    <w:rsid w:val="28CA3513"/>
    <w:rsid w:val="28CB57C2"/>
    <w:rsid w:val="28D80D85"/>
    <w:rsid w:val="28E67C13"/>
    <w:rsid w:val="29090614"/>
    <w:rsid w:val="29165594"/>
    <w:rsid w:val="291B6EED"/>
    <w:rsid w:val="29321F00"/>
    <w:rsid w:val="296B6029"/>
    <w:rsid w:val="297318CC"/>
    <w:rsid w:val="298D0B58"/>
    <w:rsid w:val="29A2750A"/>
    <w:rsid w:val="29C400FE"/>
    <w:rsid w:val="29CE3307"/>
    <w:rsid w:val="29DA05AC"/>
    <w:rsid w:val="29E043A7"/>
    <w:rsid w:val="29EC1BA6"/>
    <w:rsid w:val="29F00F20"/>
    <w:rsid w:val="2A0E00BB"/>
    <w:rsid w:val="2A10487A"/>
    <w:rsid w:val="2A224F44"/>
    <w:rsid w:val="2A251F29"/>
    <w:rsid w:val="2A29121D"/>
    <w:rsid w:val="2A3E4594"/>
    <w:rsid w:val="2A422778"/>
    <w:rsid w:val="2A475EB3"/>
    <w:rsid w:val="2A5B26EE"/>
    <w:rsid w:val="2A773807"/>
    <w:rsid w:val="2A8D1FDD"/>
    <w:rsid w:val="2AA73405"/>
    <w:rsid w:val="2ABC4C7A"/>
    <w:rsid w:val="2AD3553E"/>
    <w:rsid w:val="2ADB3DA4"/>
    <w:rsid w:val="2AF2415E"/>
    <w:rsid w:val="2AFD3396"/>
    <w:rsid w:val="2B033846"/>
    <w:rsid w:val="2B0D7A6D"/>
    <w:rsid w:val="2B1D076F"/>
    <w:rsid w:val="2B2B18B1"/>
    <w:rsid w:val="2B441828"/>
    <w:rsid w:val="2B541194"/>
    <w:rsid w:val="2B604D6D"/>
    <w:rsid w:val="2BA3547C"/>
    <w:rsid w:val="2BC9128C"/>
    <w:rsid w:val="2BE27614"/>
    <w:rsid w:val="2C263954"/>
    <w:rsid w:val="2C2A597D"/>
    <w:rsid w:val="2C356B91"/>
    <w:rsid w:val="2C7D5EC4"/>
    <w:rsid w:val="2C8979C4"/>
    <w:rsid w:val="2C8C6DCE"/>
    <w:rsid w:val="2CA34133"/>
    <w:rsid w:val="2CA96CD6"/>
    <w:rsid w:val="2CB65BA6"/>
    <w:rsid w:val="2CBE08A1"/>
    <w:rsid w:val="2CFB1109"/>
    <w:rsid w:val="2D0123ED"/>
    <w:rsid w:val="2D032C93"/>
    <w:rsid w:val="2D0E59A5"/>
    <w:rsid w:val="2D1E17D8"/>
    <w:rsid w:val="2D23487A"/>
    <w:rsid w:val="2D442339"/>
    <w:rsid w:val="2D4C00DA"/>
    <w:rsid w:val="2D4E3EE0"/>
    <w:rsid w:val="2D5766E8"/>
    <w:rsid w:val="2D63165F"/>
    <w:rsid w:val="2D631A7A"/>
    <w:rsid w:val="2D6740F9"/>
    <w:rsid w:val="2D7A657B"/>
    <w:rsid w:val="2D7D186E"/>
    <w:rsid w:val="2DAA62BF"/>
    <w:rsid w:val="2DFE3A0E"/>
    <w:rsid w:val="2E097C5F"/>
    <w:rsid w:val="2E166B56"/>
    <w:rsid w:val="2E44559E"/>
    <w:rsid w:val="2E653142"/>
    <w:rsid w:val="2E7F7C14"/>
    <w:rsid w:val="2E872ABB"/>
    <w:rsid w:val="2E8872E4"/>
    <w:rsid w:val="2E930074"/>
    <w:rsid w:val="2EA10755"/>
    <w:rsid w:val="2EC81A1E"/>
    <w:rsid w:val="2EF15475"/>
    <w:rsid w:val="2EFF7E92"/>
    <w:rsid w:val="2F3B57FA"/>
    <w:rsid w:val="2F3E0F54"/>
    <w:rsid w:val="2F792FC2"/>
    <w:rsid w:val="2FA5520E"/>
    <w:rsid w:val="2FD3215F"/>
    <w:rsid w:val="2FD37B8F"/>
    <w:rsid w:val="2FDF0EC1"/>
    <w:rsid w:val="2FE06DDA"/>
    <w:rsid w:val="2FFD555B"/>
    <w:rsid w:val="300418B2"/>
    <w:rsid w:val="3008519B"/>
    <w:rsid w:val="301D3697"/>
    <w:rsid w:val="3026090E"/>
    <w:rsid w:val="3041766E"/>
    <w:rsid w:val="304520E7"/>
    <w:rsid w:val="3047469A"/>
    <w:rsid w:val="3082460E"/>
    <w:rsid w:val="30927451"/>
    <w:rsid w:val="30AA3342"/>
    <w:rsid w:val="30B062C5"/>
    <w:rsid w:val="30D03016"/>
    <w:rsid w:val="30E06701"/>
    <w:rsid w:val="30EA5FE2"/>
    <w:rsid w:val="30EB0FDD"/>
    <w:rsid w:val="30F00528"/>
    <w:rsid w:val="30FF54F8"/>
    <w:rsid w:val="31097A2F"/>
    <w:rsid w:val="312F70D2"/>
    <w:rsid w:val="31414EF9"/>
    <w:rsid w:val="315358FC"/>
    <w:rsid w:val="3161006D"/>
    <w:rsid w:val="317A272D"/>
    <w:rsid w:val="317A60E4"/>
    <w:rsid w:val="3187730F"/>
    <w:rsid w:val="31915784"/>
    <w:rsid w:val="3194337D"/>
    <w:rsid w:val="31A762DE"/>
    <w:rsid w:val="31B653FA"/>
    <w:rsid w:val="31C62025"/>
    <w:rsid w:val="32056312"/>
    <w:rsid w:val="32145A84"/>
    <w:rsid w:val="32175768"/>
    <w:rsid w:val="322108E3"/>
    <w:rsid w:val="323C7AF8"/>
    <w:rsid w:val="325027C8"/>
    <w:rsid w:val="327F65E4"/>
    <w:rsid w:val="328316AA"/>
    <w:rsid w:val="32BB26C5"/>
    <w:rsid w:val="32CB6568"/>
    <w:rsid w:val="32D53BA7"/>
    <w:rsid w:val="32DA5B86"/>
    <w:rsid w:val="32F42803"/>
    <w:rsid w:val="32F836EA"/>
    <w:rsid w:val="330E3B9B"/>
    <w:rsid w:val="330E6FDA"/>
    <w:rsid w:val="330F2953"/>
    <w:rsid w:val="3310707A"/>
    <w:rsid w:val="332A5C14"/>
    <w:rsid w:val="333307B6"/>
    <w:rsid w:val="33437FA2"/>
    <w:rsid w:val="33560472"/>
    <w:rsid w:val="335D0E72"/>
    <w:rsid w:val="33787E21"/>
    <w:rsid w:val="339A2D53"/>
    <w:rsid w:val="33A23B98"/>
    <w:rsid w:val="33B75A79"/>
    <w:rsid w:val="33C375DC"/>
    <w:rsid w:val="33C56104"/>
    <w:rsid w:val="33EF72D0"/>
    <w:rsid w:val="34035847"/>
    <w:rsid w:val="34276463"/>
    <w:rsid w:val="34327AD7"/>
    <w:rsid w:val="345A736E"/>
    <w:rsid w:val="347859BB"/>
    <w:rsid w:val="34991CFC"/>
    <w:rsid w:val="34C06522"/>
    <w:rsid w:val="34C447B5"/>
    <w:rsid w:val="34C5636F"/>
    <w:rsid w:val="34D60513"/>
    <w:rsid w:val="34D76183"/>
    <w:rsid w:val="34D8180C"/>
    <w:rsid w:val="34DA4C44"/>
    <w:rsid w:val="34F70C17"/>
    <w:rsid w:val="34FF14C9"/>
    <w:rsid w:val="35041F49"/>
    <w:rsid w:val="35056777"/>
    <w:rsid w:val="351E4B56"/>
    <w:rsid w:val="353D40A7"/>
    <w:rsid w:val="3557512C"/>
    <w:rsid w:val="355753E6"/>
    <w:rsid w:val="3581649F"/>
    <w:rsid w:val="35826EAE"/>
    <w:rsid w:val="35983EA6"/>
    <w:rsid w:val="35A533EA"/>
    <w:rsid w:val="35AF6845"/>
    <w:rsid w:val="35BE7CB1"/>
    <w:rsid w:val="35E333F8"/>
    <w:rsid w:val="360B201C"/>
    <w:rsid w:val="360D33BD"/>
    <w:rsid w:val="365277EA"/>
    <w:rsid w:val="369007D8"/>
    <w:rsid w:val="36D96C30"/>
    <w:rsid w:val="36E212FF"/>
    <w:rsid w:val="36F866E1"/>
    <w:rsid w:val="370F0F81"/>
    <w:rsid w:val="372E50ED"/>
    <w:rsid w:val="37310109"/>
    <w:rsid w:val="3737378F"/>
    <w:rsid w:val="37395FC4"/>
    <w:rsid w:val="378D2FB5"/>
    <w:rsid w:val="378F7789"/>
    <w:rsid w:val="37981E38"/>
    <w:rsid w:val="379F6F52"/>
    <w:rsid w:val="37A80413"/>
    <w:rsid w:val="37B17855"/>
    <w:rsid w:val="37BB10DC"/>
    <w:rsid w:val="37D326E9"/>
    <w:rsid w:val="37E64637"/>
    <w:rsid w:val="37E925DE"/>
    <w:rsid w:val="3806606D"/>
    <w:rsid w:val="38171B2E"/>
    <w:rsid w:val="38232B1A"/>
    <w:rsid w:val="38481CC3"/>
    <w:rsid w:val="38530E3F"/>
    <w:rsid w:val="385C48A2"/>
    <w:rsid w:val="38903469"/>
    <w:rsid w:val="389E2842"/>
    <w:rsid w:val="38D13A99"/>
    <w:rsid w:val="38D5277A"/>
    <w:rsid w:val="38DE42ED"/>
    <w:rsid w:val="38F84567"/>
    <w:rsid w:val="38FA6733"/>
    <w:rsid w:val="393A7F18"/>
    <w:rsid w:val="3949345A"/>
    <w:rsid w:val="39581D80"/>
    <w:rsid w:val="397701BE"/>
    <w:rsid w:val="39793BC7"/>
    <w:rsid w:val="39903521"/>
    <w:rsid w:val="399C33FB"/>
    <w:rsid w:val="39CE7E5A"/>
    <w:rsid w:val="39D7534D"/>
    <w:rsid w:val="39D77059"/>
    <w:rsid w:val="39E550A4"/>
    <w:rsid w:val="39F07B0E"/>
    <w:rsid w:val="3A0B58B9"/>
    <w:rsid w:val="3A1C4E46"/>
    <w:rsid w:val="3A312BA6"/>
    <w:rsid w:val="3A39495C"/>
    <w:rsid w:val="3A46288C"/>
    <w:rsid w:val="3A4710D9"/>
    <w:rsid w:val="3AA22703"/>
    <w:rsid w:val="3AAE1F8D"/>
    <w:rsid w:val="3AB00AAC"/>
    <w:rsid w:val="3ACA535A"/>
    <w:rsid w:val="3AD9239E"/>
    <w:rsid w:val="3ADD43D6"/>
    <w:rsid w:val="3AF54852"/>
    <w:rsid w:val="3AF551F7"/>
    <w:rsid w:val="3AF72006"/>
    <w:rsid w:val="3AF905EB"/>
    <w:rsid w:val="3B015346"/>
    <w:rsid w:val="3B1F5BCA"/>
    <w:rsid w:val="3B29364E"/>
    <w:rsid w:val="3B356A57"/>
    <w:rsid w:val="3B616322"/>
    <w:rsid w:val="3B7634EC"/>
    <w:rsid w:val="3BA61C02"/>
    <w:rsid w:val="3BC37C95"/>
    <w:rsid w:val="3BCA3583"/>
    <w:rsid w:val="3BCC1436"/>
    <w:rsid w:val="3BDA72ED"/>
    <w:rsid w:val="3BEF5D5C"/>
    <w:rsid w:val="3C0B6AC7"/>
    <w:rsid w:val="3C0E7FEA"/>
    <w:rsid w:val="3C230E28"/>
    <w:rsid w:val="3C3E7C43"/>
    <w:rsid w:val="3C432C5E"/>
    <w:rsid w:val="3C484E1D"/>
    <w:rsid w:val="3C73163C"/>
    <w:rsid w:val="3C794178"/>
    <w:rsid w:val="3C806F8F"/>
    <w:rsid w:val="3CED60BF"/>
    <w:rsid w:val="3D13077C"/>
    <w:rsid w:val="3D231A1D"/>
    <w:rsid w:val="3D251A30"/>
    <w:rsid w:val="3D405EA6"/>
    <w:rsid w:val="3D50008A"/>
    <w:rsid w:val="3D693E0B"/>
    <w:rsid w:val="3D6B12A5"/>
    <w:rsid w:val="3D7717EF"/>
    <w:rsid w:val="3D7E1D63"/>
    <w:rsid w:val="3DB2780C"/>
    <w:rsid w:val="3DFA1C27"/>
    <w:rsid w:val="3E0F15F2"/>
    <w:rsid w:val="3E297424"/>
    <w:rsid w:val="3E390D66"/>
    <w:rsid w:val="3E48183E"/>
    <w:rsid w:val="3E534E71"/>
    <w:rsid w:val="3E6F0737"/>
    <w:rsid w:val="3EB04DD3"/>
    <w:rsid w:val="3F066354"/>
    <w:rsid w:val="3F3D6D7D"/>
    <w:rsid w:val="3F4F09B0"/>
    <w:rsid w:val="3F610802"/>
    <w:rsid w:val="3F8769CB"/>
    <w:rsid w:val="3F89279A"/>
    <w:rsid w:val="3FAE2BA1"/>
    <w:rsid w:val="3FCC7868"/>
    <w:rsid w:val="3FCF3933"/>
    <w:rsid w:val="3FDE1533"/>
    <w:rsid w:val="40150092"/>
    <w:rsid w:val="40407AA2"/>
    <w:rsid w:val="405728EC"/>
    <w:rsid w:val="40625DBA"/>
    <w:rsid w:val="40A96F25"/>
    <w:rsid w:val="40D4701A"/>
    <w:rsid w:val="40DC18B5"/>
    <w:rsid w:val="40E9426C"/>
    <w:rsid w:val="41011E57"/>
    <w:rsid w:val="41366ED0"/>
    <w:rsid w:val="413B7E25"/>
    <w:rsid w:val="415912E7"/>
    <w:rsid w:val="4176156C"/>
    <w:rsid w:val="419A3B06"/>
    <w:rsid w:val="41A66714"/>
    <w:rsid w:val="41AA40F2"/>
    <w:rsid w:val="41BF166E"/>
    <w:rsid w:val="41D7695A"/>
    <w:rsid w:val="42035CD5"/>
    <w:rsid w:val="4212750E"/>
    <w:rsid w:val="42273973"/>
    <w:rsid w:val="423B4FE9"/>
    <w:rsid w:val="42411FAD"/>
    <w:rsid w:val="428311FC"/>
    <w:rsid w:val="42BF4D00"/>
    <w:rsid w:val="42DE61F6"/>
    <w:rsid w:val="42E11226"/>
    <w:rsid w:val="43115C9C"/>
    <w:rsid w:val="431B7150"/>
    <w:rsid w:val="4340001A"/>
    <w:rsid w:val="434237C9"/>
    <w:rsid w:val="43473FAD"/>
    <w:rsid w:val="43854721"/>
    <w:rsid w:val="43B2289F"/>
    <w:rsid w:val="43CC7A92"/>
    <w:rsid w:val="43DB1FDB"/>
    <w:rsid w:val="43F67B2B"/>
    <w:rsid w:val="43F72105"/>
    <w:rsid w:val="43F879E0"/>
    <w:rsid w:val="43FA77E6"/>
    <w:rsid w:val="4425062B"/>
    <w:rsid w:val="442A341D"/>
    <w:rsid w:val="443778C9"/>
    <w:rsid w:val="44542D20"/>
    <w:rsid w:val="44660121"/>
    <w:rsid w:val="44866C89"/>
    <w:rsid w:val="44A92308"/>
    <w:rsid w:val="44BD5C0A"/>
    <w:rsid w:val="44F0665F"/>
    <w:rsid w:val="450F1685"/>
    <w:rsid w:val="4559351F"/>
    <w:rsid w:val="459346D6"/>
    <w:rsid w:val="45A83EF3"/>
    <w:rsid w:val="45B27E3F"/>
    <w:rsid w:val="45B300CF"/>
    <w:rsid w:val="45C16249"/>
    <w:rsid w:val="45EA44E8"/>
    <w:rsid w:val="45FE4B43"/>
    <w:rsid w:val="460C582E"/>
    <w:rsid w:val="461D279F"/>
    <w:rsid w:val="46477AE2"/>
    <w:rsid w:val="46592297"/>
    <w:rsid w:val="466B68B0"/>
    <w:rsid w:val="46826742"/>
    <w:rsid w:val="46D32C5A"/>
    <w:rsid w:val="46DA0FE5"/>
    <w:rsid w:val="46E52877"/>
    <w:rsid w:val="4727129D"/>
    <w:rsid w:val="474300E8"/>
    <w:rsid w:val="475F278C"/>
    <w:rsid w:val="476B3032"/>
    <w:rsid w:val="476B5A95"/>
    <w:rsid w:val="47847E3D"/>
    <w:rsid w:val="47992352"/>
    <w:rsid w:val="479B189F"/>
    <w:rsid w:val="47A52C32"/>
    <w:rsid w:val="47AE77E8"/>
    <w:rsid w:val="47B01A93"/>
    <w:rsid w:val="47D411EF"/>
    <w:rsid w:val="47F72603"/>
    <w:rsid w:val="4806123B"/>
    <w:rsid w:val="484773E9"/>
    <w:rsid w:val="4872276C"/>
    <w:rsid w:val="488D4DB8"/>
    <w:rsid w:val="48C94A5A"/>
    <w:rsid w:val="48D973E6"/>
    <w:rsid w:val="48FA7B89"/>
    <w:rsid w:val="490849BA"/>
    <w:rsid w:val="490C0548"/>
    <w:rsid w:val="491F61C7"/>
    <w:rsid w:val="492346E4"/>
    <w:rsid w:val="492D06AE"/>
    <w:rsid w:val="49435D2E"/>
    <w:rsid w:val="496F6786"/>
    <w:rsid w:val="4973798D"/>
    <w:rsid w:val="49A70FF7"/>
    <w:rsid w:val="49C74F38"/>
    <w:rsid w:val="49C76F8C"/>
    <w:rsid w:val="4A033AF9"/>
    <w:rsid w:val="4A3F2D9D"/>
    <w:rsid w:val="4A425D2D"/>
    <w:rsid w:val="4A504A9B"/>
    <w:rsid w:val="4A8C039B"/>
    <w:rsid w:val="4A9D0A27"/>
    <w:rsid w:val="4AA4321A"/>
    <w:rsid w:val="4ACB59B2"/>
    <w:rsid w:val="4AD06D24"/>
    <w:rsid w:val="4AE05119"/>
    <w:rsid w:val="4AE14B33"/>
    <w:rsid w:val="4AFB505E"/>
    <w:rsid w:val="4B0468CE"/>
    <w:rsid w:val="4B0D43CC"/>
    <w:rsid w:val="4B0F76C1"/>
    <w:rsid w:val="4B2A5C09"/>
    <w:rsid w:val="4B557ED9"/>
    <w:rsid w:val="4B5A5DEF"/>
    <w:rsid w:val="4BA96461"/>
    <w:rsid w:val="4BD237A0"/>
    <w:rsid w:val="4BDB70D5"/>
    <w:rsid w:val="4BDD05DF"/>
    <w:rsid w:val="4BE47781"/>
    <w:rsid w:val="4BEA6C51"/>
    <w:rsid w:val="4BED0C05"/>
    <w:rsid w:val="4BFF52AB"/>
    <w:rsid w:val="4C2B3964"/>
    <w:rsid w:val="4C4A08A3"/>
    <w:rsid w:val="4C652E40"/>
    <w:rsid w:val="4C7328E8"/>
    <w:rsid w:val="4C791862"/>
    <w:rsid w:val="4C8079FD"/>
    <w:rsid w:val="4CC3398A"/>
    <w:rsid w:val="4CC67951"/>
    <w:rsid w:val="4CD05923"/>
    <w:rsid w:val="4CDA37B7"/>
    <w:rsid w:val="4D0D0D1E"/>
    <w:rsid w:val="4D425A4E"/>
    <w:rsid w:val="4D466171"/>
    <w:rsid w:val="4D5F644B"/>
    <w:rsid w:val="4D637321"/>
    <w:rsid w:val="4D7F1437"/>
    <w:rsid w:val="4D863D3F"/>
    <w:rsid w:val="4D940DBA"/>
    <w:rsid w:val="4D9A6E43"/>
    <w:rsid w:val="4DEB5B5F"/>
    <w:rsid w:val="4E075E84"/>
    <w:rsid w:val="4E243E48"/>
    <w:rsid w:val="4E265DB1"/>
    <w:rsid w:val="4E325CA0"/>
    <w:rsid w:val="4E496FEF"/>
    <w:rsid w:val="4E546EFC"/>
    <w:rsid w:val="4E6931D4"/>
    <w:rsid w:val="4E6F0B2F"/>
    <w:rsid w:val="4E7A14ED"/>
    <w:rsid w:val="4E900621"/>
    <w:rsid w:val="4E912DC1"/>
    <w:rsid w:val="4E935BAB"/>
    <w:rsid w:val="4E9E64B2"/>
    <w:rsid w:val="4EA90574"/>
    <w:rsid w:val="4EAF0F12"/>
    <w:rsid w:val="4EC76E33"/>
    <w:rsid w:val="4ED93C08"/>
    <w:rsid w:val="4EDB0294"/>
    <w:rsid w:val="4EDD245B"/>
    <w:rsid w:val="4EE241E6"/>
    <w:rsid w:val="4EEA5F90"/>
    <w:rsid w:val="4EF47CD0"/>
    <w:rsid w:val="4F406FBA"/>
    <w:rsid w:val="4F633483"/>
    <w:rsid w:val="4F6950F7"/>
    <w:rsid w:val="4F807A51"/>
    <w:rsid w:val="4F8212D7"/>
    <w:rsid w:val="4F896143"/>
    <w:rsid w:val="4F906EB4"/>
    <w:rsid w:val="4F9237A2"/>
    <w:rsid w:val="4FB80437"/>
    <w:rsid w:val="4FC14DCF"/>
    <w:rsid w:val="4FD142D1"/>
    <w:rsid w:val="4FE11CF3"/>
    <w:rsid w:val="4FF62164"/>
    <w:rsid w:val="504433E2"/>
    <w:rsid w:val="504A17FB"/>
    <w:rsid w:val="50513045"/>
    <w:rsid w:val="50622BAE"/>
    <w:rsid w:val="50675B71"/>
    <w:rsid w:val="50751769"/>
    <w:rsid w:val="50797EA4"/>
    <w:rsid w:val="509103B6"/>
    <w:rsid w:val="509B3E21"/>
    <w:rsid w:val="50B07F4D"/>
    <w:rsid w:val="50D66D97"/>
    <w:rsid w:val="50E82688"/>
    <w:rsid w:val="510C1118"/>
    <w:rsid w:val="511F0096"/>
    <w:rsid w:val="5135632C"/>
    <w:rsid w:val="513671A5"/>
    <w:rsid w:val="5142025A"/>
    <w:rsid w:val="515215E9"/>
    <w:rsid w:val="515663EB"/>
    <w:rsid w:val="51A74133"/>
    <w:rsid w:val="51B22282"/>
    <w:rsid w:val="51E54B8B"/>
    <w:rsid w:val="51EB14A6"/>
    <w:rsid w:val="52054708"/>
    <w:rsid w:val="522D6D69"/>
    <w:rsid w:val="52397DE0"/>
    <w:rsid w:val="52447F12"/>
    <w:rsid w:val="52730525"/>
    <w:rsid w:val="5299664A"/>
    <w:rsid w:val="52E86A68"/>
    <w:rsid w:val="531A061C"/>
    <w:rsid w:val="533C17CC"/>
    <w:rsid w:val="534276B7"/>
    <w:rsid w:val="535333B1"/>
    <w:rsid w:val="5354053F"/>
    <w:rsid w:val="53596410"/>
    <w:rsid w:val="5364727E"/>
    <w:rsid w:val="536C4B60"/>
    <w:rsid w:val="53801BB6"/>
    <w:rsid w:val="538777AE"/>
    <w:rsid w:val="539A6591"/>
    <w:rsid w:val="53A22C7D"/>
    <w:rsid w:val="53A76C07"/>
    <w:rsid w:val="53E01D0D"/>
    <w:rsid w:val="53F14312"/>
    <w:rsid w:val="54162D81"/>
    <w:rsid w:val="541D31BF"/>
    <w:rsid w:val="544F3A14"/>
    <w:rsid w:val="546D6207"/>
    <w:rsid w:val="547E39D9"/>
    <w:rsid w:val="548116F8"/>
    <w:rsid w:val="548E6732"/>
    <w:rsid w:val="549E50B2"/>
    <w:rsid w:val="54A002BD"/>
    <w:rsid w:val="54AB328C"/>
    <w:rsid w:val="54B95E0D"/>
    <w:rsid w:val="54BA48D7"/>
    <w:rsid w:val="54CB18A9"/>
    <w:rsid w:val="55221F94"/>
    <w:rsid w:val="55276182"/>
    <w:rsid w:val="552B7430"/>
    <w:rsid w:val="553224C6"/>
    <w:rsid w:val="55664F73"/>
    <w:rsid w:val="55677006"/>
    <w:rsid w:val="55791642"/>
    <w:rsid w:val="559C61FE"/>
    <w:rsid w:val="55AA363C"/>
    <w:rsid w:val="55B13588"/>
    <w:rsid w:val="55B1526D"/>
    <w:rsid w:val="55BA41FB"/>
    <w:rsid w:val="55CE17D7"/>
    <w:rsid w:val="55DE3FAE"/>
    <w:rsid w:val="55FC0460"/>
    <w:rsid w:val="561D1284"/>
    <w:rsid w:val="561E2606"/>
    <w:rsid w:val="56262D45"/>
    <w:rsid w:val="56453CD6"/>
    <w:rsid w:val="564F53A7"/>
    <w:rsid w:val="565D1B35"/>
    <w:rsid w:val="5661255C"/>
    <w:rsid w:val="56762AB2"/>
    <w:rsid w:val="56DC2E47"/>
    <w:rsid w:val="57054730"/>
    <w:rsid w:val="57293080"/>
    <w:rsid w:val="57311DBD"/>
    <w:rsid w:val="574215CF"/>
    <w:rsid w:val="574F3560"/>
    <w:rsid w:val="57654AFC"/>
    <w:rsid w:val="57697DE0"/>
    <w:rsid w:val="577C7AE5"/>
    <w:rsid w:val="578868B0"/>
    <w:rsid w:val="578A3A0C"/>
    <w:rsid w:val="579008B5"/>
    <w:rsid w:val="57A33F72"/>
    <w:rsid w:val="57B01B35"/>
    <w:rsid w:val="57BC3D9F"/>
    <w:rsid w:val="57E11457"/>
    <w:rsid w:val="57FB3041"/>
    <w:rsid w:val="58067FE9"/>
    <w:rsid w:val="58666DC2"/>
    <w:rsid w:val="587A5AE1"/>
    <w:rsid w:val="589519B0"/>
    <w:rsid w:val="58C46D36"/>
    <w:rsid w:val="58CA365C"/>
    <w:rsid w:val="58EE306B"/>
    <w:rsid w:val="58F74577"/>
    <w:rsid w:val="590D2B06"/>
    <w:rsid w:val="590F2EAD"/>
    <w:rsid w:val="59226C59"/>
    <w:rsid w:val="592D4C52"/>
    <w:rsid w:val="595D543C"/>
    <w:rsid w:val="596310B9"/>
    <w:rsid w:val="59701EE4"/>
    <w:rsid w:val="598B44C4"/>
    <w:rsid w:val="598D3BEF"/>
    <w:rsid w:val="5A001E04"/>
    <w:rsid w:val="5A0D7218"/>
    <w:rsid w:val="5A18544D"/>
    <w:rsid w:val="5A263266"/>
    <w:rsid w:val="5A2F7AF3"/>
    <w:rsid w:val="5A367F97"/>
    <w:rsid w:val="5A545290"/>
    <w:rsid w:val="5A733929"/>
    <w:rsid w:val="5A7F7943"/>
    <w:rsid w:val="5AF1587D"/>
    <w:rsid w:val="5AF44371"/>
    <w:rsid w:val="5B063998"/>
    <w:rsid w:val="5B0F5286"/>
    <w:rsid w:val="5B111733"/>
    <w:rsid w:val="5B197625"/>
    <w:rsid w:val="5B290331"/>
    <w:rsid w:val="5B4572FD"/>
    <w:rsid w:val="5B70094A"/>
    <w:rsid w:val="5B770B57"/>
    <w:rsid w:val="5B8B3E45"/>
    <w:rsid w:val="5B8F3D12"/>
    <w:rsid w:val="5BA10058"/>
    <w:rsid w:val="5BCF0698"/>
    <w:rsid w:val="5BE06690"/>
    <w:rsid w:val="5BFC431B"/>
    <w:rsid w:val="5C527981"/>
    <w:rsid w:val="5C8450CB"/>
    <w:rsid w:val="5C8748DE"/>
    <w:rsid w:val="5C8E369E"/>
    <w:rsid w:val="5C9C3F1C"/>
    <w:rsid w:val="5C9F2946"/>
    <w:rsid w:val="5CE74C6A"/>
    <w:rsid w:val="5CF41905"/>
    <w:rsid w:val="5CFB672C"/>
    <w:rsid w:val="5D022DAE"/>
    <w:rsid w:val="5D1E50D0"/>
    <w:rsid w:val="5D2B14E7"/>
    <w:rsid w:val="5D3D4205"/>
    <w:rsid w:val="5D4816FE"/>
    <w:rsid w:val="5D62352E"/>
    <w:rsid w:val="5D66469E"/>
    <w:rsid w:val="5D714A14"/>
    <w:rsid w:val="5D7A0727"/>
    <w:rsid w:val="5D7B6DB2"/>
    <w:rsid w:val="5D876C7A"/>
    <w:rsid w:val="5D894C49"/>
    <w:rsid w:val="5D980709"/>
    <w:rsid w:val="5D9E2DB7"/>
    <w:rsid w:val="5DB15F6E"/>
    <w:rsid w:val="5DC2672E"/>
    <w:rsid w:val="5DD87A99"/>
    <w:rsid w:val="5DE55751"/>
    <w:rsid w:val="5DE94A4F"/>
    <w:rsid w:val="5DFE51DD"/>
    <w:rsid w:val="5E0D1CDB"/>
    <w:rsid w:val="5E1E1B46"/>
    <w:rsid w:val="5E2C760B"/>
    <w:rsid w:val="5E443F97"/>
    <w:rsid w:val="5E57016B"/>
    <w:rsid w:val="5E855637"/>
    <w:rsid w:val="5E8D10EB"/>
    <w:rsid w:val="5E9D02B9"/>
    <w:rsid w:val="5EB20A45"/>
    <w:rsid w:val="5EC62C18"/>
    <w:rsid w:val="5ED01802"/>
    <w:rsid w:val="5EEA7CBC"/>
    <w:rsid w:val="5F245362"/>
    <w:rsid w:val="5F3755CD"/>
    <w:rsid w:val="5F444B5C"/>
    <w:rsid w:val="5F94670A"/>
    <w:rsid w:val="5F965392"/>
    <w:rsid w:val="5F9F0C2C"/>
    <w:rsid w:val="5FAD13DE"/>
    <w:rsid w:val="5FAF2CF3"/>
    <w:rsid w:val="5FBF4A26"/>
    <w:rsid w:val="5FCE7A0B"/>
    <w:rsid w:val="5FCF43EE"/>
    <w:rsid w:val="601A6934"/>
    <w:rsid w:val="60581C42"/>
    <w:rsid w:val="60817732"/>
    <w:rsid w:val="609415B5"/>
    <w:rsid w:val="60C23EB0"/>
    <w:rsid w:val="60D303E3"/>
    <w:rsid w:val="60D30D46"/>
    <w:rsid w:val="60D55950"/>
    <w:rsid w:val="60DC22FA"/>
    <w:rsid w:val="60E177AB"/>
    <w:rsid w:val="60FA1962"/>
    <w:rsid w:val="60FD6AD6"/>
    <w:rsid w:val="610E4300"/>
    <w:rsid w:val="61130594"/>
    <w:rsid w:val="61144EB8"/>
    <w:rsid w:val="61484FDE"/>
    <w:rsid w:val="614E4390"/>
    <w:rsid w:val="61580C18"/>
    <w:rsid w:val="615D53B0"/>
    <w:rsid w:val="61640D4D"/>
    <w:rsid w:val="61720763"/>
    <w:rsid w:val="619A127B"/>
    <w:rsid w:val="61C744EE"/>
    <w:rsid w:val="61E55AB5"/>
    <w:rsid w:val="61F67DAD"/>
    <w:rsid w:val="621C764B"/>
    <w:rsid w:val="622B1712"/>
    <w:rsid w:val="622E4527"/>
    <w:rsid w:val="62426CE9"/>
    <w:rsid w:val="624F6F11"/>
    <w:rsid w:val="62565A43"/>
    <w:rsid w:val="6259694B"/>
    <w:rsid w:val="62666249"/>
    <w:rsid w:val="627F2240"/>
    <w:rsid w:val="628C6FFD"/>
    <w:rsid w:val="628E3003"/>
    <w:rsid w:val="62B6620F"/>
    <w:rsid w:val="62B91FE1"/>
    <w:rsid w:val="62E447FB"/>
    <w:rsid w:val="62EE03D6"/>
    <w:rsid w:val="63037B47"/>
    <w:rsid w:val="632415EF"/>
    <w:rsid w:val="63260DA6"/>
    <w:rsid w:val="632C11BA"/>
    <w:rsid w:val="632D110E"/>
    <w:rsid w:val="633F4297"/>
    <w:rsid w:val="63427B47"/>
    <w:rsid w:val="636D36B7"/>
    <w:rsid w:val="63955374"/>
    <w:rsid w:val="639D2E1E"/>
    <w:rsid w:val="63AC6AF4"/>
    <w:rsid w:val="63B8501C"/>
    <w:rsid w:val="63BA5252"/>
    <w:rsid w:val="63CF3800"/>
    <w:rsid w:val="63D751F9"/>
    <w:rsid w:val="63E62334"/>
    <w:rsid w:val="63EE0DD9"/>
    <w:rsid w:val="63F03D91"/>
    <w:rsid w:val="6406532E"/>
    <w:rsid w:val="6412367B"/>
    <w:rsid w:val="64226876"/>
    <w:rsid w:val="643B4547"/>
    <w:rsid w:val="64576527"/>
    <w:rsid w:val="64621B6E"/>
    <w:rsid w:val="6485047E"/>
    <w:rsid w:val="649A52E3"/>
    <w:rsid w:val="64B05E59"/>
    <w:rsid w:val="64B278A1"/>
    <w:rsid w:val="64BF3891"/>
    <w:rsid w:val="64C62ADA"/>
    <w:rsid w:val="64E27FBD"/>
    <w:rsid w:val="64ED117A"/>
    <w:rsid w:val="64FB6417"/>
    <w:rsid w:val="650D23B7"/>
    <w:rsid w:val="65100EB3"/>
    <w:rsid w:val="65110F4A"/>
    <w:rsid w:val="6532253A"/>
    <w:rsid w:val="654C3B2F"/>
    <w:rsid w:val="65915155"/>
    <w:rsid w:val="659655C9"/>
    <w:rsid w:val="65A322D9"/>
    <w:rsid w:val="65A84D9B"/>
    <w:rsid w:val="65C40AB1"/>
    <w:rsid w:val="65C43147"/>
    <w:rsid w:val="65F470D3"/>
    <w:rsid w:val="66307B08"/>
    <w:rsid w:val="6635264C"/>
    <w:rsid w:val="665C01AC"/>
    <w:rsid w:val="667A1183"/>
    <w:rsid w:val="669F5D11"/>
    <w:rsid w:val="66D605D5"/>
    <w:rsid w:val="66E00BFB"/>
    <w:rsid w:val="67031A64"/>
    <w:rsid w:val="67035E10"/>
    <w:rsid w:val="6709424C"/>
    <w:rsid w:val="67505022"/>
    <w:rsid w:val="67544F0C"/>
    <w:rsid w:val="677F6F32"/>
    <w:rsid w:val="67866FB8"/>
    <w:rsid w:val="679562E9"/>
    <w:rsid w:val="679E6878"/>
    <w:rsid w:val="67B94AEB"/>
    <w:rsid w:val="67CA0407"/>
    <w:rsid w:val="67D3041A"/>
    <w:rsid w:val="67DA17D6"/>
    <w:rsid w:val="67E4014C"/>
    <w:rsid w:val="67EA0A05"/>
    <w:rsid w:val="67EC31B0"/>
    <w:rsid w:val="67EC78AC"/>
    <w:rsid w:val="680152F4"/>
    <w:rsid w:val="68162DDB"/>
    <w:rsid w:val="68196AF2"/>
    <w:rsid w:val="68270595"/>
    <w:rsid w:val="682A310B"/>
    <w:rsid w:val="6857082C"/>
    <w:rsid w:val="6860595A"/>
    <w:rsid w:val="6899128B"/>
    <w:rsid w:val="68B666FE"/>
    <w:rsid w:val="68CA72B8"/>
    <w:rsid w:val="68EB660F"/>
    <w:rsid w:val="68F57ECB"/>
    <w:rsid w:val="69086B0F"/>
    <w:rsid w:val="690C788E"/>
    <w:rsid w:val="69202D7B"/>
    <w:rsid w:val="69691EE4"/>
    <w:rsid w:val="696A2C00"/>
    <w:rsid w:val="6978079C"/>
    <w:rsid w:val="69AC29DD"/>
    <w:rsid w:val="69B63391"/>
    <w:rsid w:val="69BC003B"/>
    <w:rsid w:val="69D614D5"/>
    <w:rsid w:val="69DC4FFA"/>
    <w:rsid w:val="69F25F39"/>
    <w:rsid w:val="69F53381"/>
    <w:rsid w:val="6A0839D8"/>
    <w:rsid w:val="6A2B2ECB"/>
    <w:rsid w:val="6A3F3B1C"/>
    <w:rsid w:val="6A513DD5"/>
    <w:rsid w:val="6A5F06F5"/>
    <w:rsid w:val="6A6206CE"/>
    <w:rsid w:val="6A6F5663"/>
    <w:rsid w:val="6A843074"/>
    <w:rsid w:val="6AB21FD8"/>
    <w:rsid w:val="6AB36D43"/>
    <w:rsid w:val="6ABC7837"/>
    <w:rsid w:val="6ACB24EB"/>
    <w:rsid w:val="6ACD546E"/>
    <w:rsid w:val="6ADD4A05"/>
    <w:rsid w:val="6AF12578"/>
    <w:rsid w:val="6AF51B80"/>
    <w:rsid w:val="6B080C5E"/>
    <w:rsid w:val="6B101372"/>
    <w:rsid w:val="6B225324"/>
    <w:rsid w:val="6B233D2F"/>
    <w:rsid w:val="6B333E79"/>
    <w:rsid w:val="6B625615"/>
    <w:rsid w:val="6B927794"/>
    <w:rsid w:val="6BAC04EF"/>
    <w:rsid w:val="6BBB713F"/>
    <w:rsid w:val="6BD36EA9"/>
    <w:rsid w:val="6BE0443B"/>
    <w:rsid w:val="6BE07950"/>
    <w:rsid w:val="6BE56DA0"/>
    <w:rsid w:val="6BED112D"/>
    <w:rsid w:val="6C1144F8"/>
    <w:rsid w:val="6C272AC7"/>
    <w:rsid w:val="6C286DFF"/>
    <w:rsid w:val="6C380126"/>
    <w:rsid w:val="6C8D3DAB"/>
    <w:rsid w:val="6CB04DB8"/>
    <w:rsid w:val="6CCF385C"/>
    <w:rsid w:val="6CDB4330"/>
    <w:rsid w:val="6CE327BC"/>
    <w:rsid w:val="6CE61FAA"/>
    <w:rsid w:val="6CEB7123"/>
    <w:rsid w:val="6CFF1BCE"/>
    <w:rsid w:val="6D191524"/>
    <w:rsid w:val="6D313433"/>
    <w:rsid w:val="6D4923E2"/>
    <w:rsid w:val="6D5D3083"/>
    <w:rsid w:val="6D607EDE"/>
    <w:rsid w:val="6D647514"/>
    <w:rsid w:val="6D782B16"/>
    <w:rsid w:val="6D7F17C2"/>
    <w:rsid w:val="6D975CFF"/>
    <w:rsid w:val="6D9D465D"/>
    <w:rsid w:val="6DC83FCF"/>
    <w:rsid w:val="6DD057FA"/>
    <w:rsid w:val="6DD0797D"/>
    <w:rsid w:val="6DF33C82"/>
    <w:rsid w:val="6DF8717D"/>
    <w:rsid w:val="6E0A2A58"/>
    <w:rsid w:val="6E322D78"/>
    <w:rsid w:val="6E47362E"/>
    <w:rsid w:val="6E4F45A8"/>
    <w:rsid w:val="6E5917D7"/>
    <w:rsid w:val="6E6070CD"/>
    <w:rsid w:val="6E7F207D"/>
    <w:rsid w:val="6E836BAF"/>
    <w:rsid w:val="6E96026C"/>
    <w:rsid w:val="6EAB3F09"/>
    <w:rsid w:val="6EB5202F"/>
    <w:rsid w:val="6EBB3778"/>
    <w:rsid w:val="6EBD186B"/>
    <w:rsid w:val="6EBE675D"/>
    <w:rsid w:val="6EDB62F6"/>
    <w:rsid w:val="6EFF6CE2"/>
    <w:rsid w:val="6F0501CB"/>
    <w:rsid w:val="6F062718"/>
    <w:rsid w:val="6F370A3C"/>
    <w:rsid w:val="6F3F7979"/>
    <w:rsid w:val="6F635387"/>
    <w:rsid w:val="6FAF3C56"/>
    <w:rsid w:val="6FB46C34"/>
    <w:rsid w:val="6FC66ED7"/>
    <w:rsid w:val="6FCB6078"/>
    <w:rsid w:val="6FD24404"/>
    <w:rsid w:val="6FD50499"/>
    <w:rsid w:val="6FF45BAA"/>
    <w:rsid w:val="700B7D04"/>
    <w:rsid w:val="702F55F4"/>
    <w:rsid w:val="703713F9"/>
    <w:rsid w:val="706C24C0"/>
    <w:rsid w:val="70910334"/>
    <w:rsid w:val="70BD2494"/>
    <w:rsid w:val="70CE19D5"/>
    <w:rsid w:val="70D173F9"/>
    <w:rsid w:val="70DF7CD7"/>
    <w:rsid w:val="70EC2D2A"/>
    <w:rsid w:val="70F065FB"/>
    <w:rsid w:val="7109524C"/>
    <w:rsid w:val="71206C8F"/>
    <w:rsid w:val="71322F09"/>
    <w:rsid w:val="713C586F"/>
    <w:rsid w:val="714F4DBF"/>
    <w:rsid w:val="716C53C1"/>
    <w:rsid w:val="71727803"/>
    <w:rsid w:val="71754026"/>
    <w:rsid w:val="71925EE4"/>
    <w:rsid w:val="71C32D3F"/>
    <w:rsid w:val="71F019BE"/>
    <w:rsid w:val="7208554D"/>
    <w:rsid w:val="72297370"/>
    <w:rsid w:val="724B1E62"/>
    <w:rsid w:val="724D265E"/>
    <w:rsid w:val="725352EA"/>
    <w:rsid w:val="72674EBC"/>
    <w:rsid w:val="72723876"/>
    <w:rsid w:val="728A28BD"/>
    <w:rsid w:val="72A66258"/>
    <w:rsid w:val="72AC33B8"/>
    <w:rsid w:val="72CA2009"/>
    <w:rsid w:val="72E46B77"/>
    <w:rsid w:val="72F53E72"/>
    <w:rsid w:val="72F558A2"/>
    <w:rsid w:val="72F61486"/>
    <w:rsid w:val="72FD52CD"/>
    <w:rsid w:val="72FE4B8C"/>
    <w:rsid w:val="732D43FC"/>
    <w:rsid w:val="733B5E82"/>
    <w:rsid w:val="7360606D"/>
    <w:rsid w:val="739336C6"/>
    <w:rsid w:val="73986B2E"/>
    <w:rsid w:val="73A846AB"/>
    <w:rsid w:val="73C11B5F"/>
    <w:rsid w:val="73C31053"/>
    <w:rsid w:val="73C72E90"/>
    <w:rsid w:val="73D90BB4"/>
    <w:rsid w:val="74353435"/>
    <w:rsid w:val="74613133"/>
    <w:rsid w:val="74941B53"/>
    <w:rsid w:val="749817A9"/>
    <w:rsid w:val="74AC47E1"/>
    <w:rsid w:val="74AF2284"/>
    <w:rsid w:val="74B5471E"/>
    <w:rsid w:val="750D5B07"/>
    <w:rsid w:val="752E4634"/>
    <w:rsid w:val="75316D34"/>
    <w:rsid w:val="75324F27"/>
    <w:rsid w:val="753D4595"/>
    <w:rsid w:val="75465D1A"/>
    <w:rsid w:val="7548423B"/>
    <w:rsid w:val="75521B46"/>
    <w:rsid w:val="758C3F3E"/>
    <w:rsid w:val="75921CE3"/>
    <w:rsid w:val="75BC40FB"/>
    <w:rsid w:val="75BF1C72"/>
    <w:rsid w:val="75FD72E3"/>
    <w:rsid w:val="76034052"/>
    <w:rsid w:val="7608260A"/>
    <w:rsid w:val="76084A70"/>
    <w:rsid w:val="76255F52"/>
    <w:rsid w:val="762B1878"/>
    <w:rsid w:val="76392AFC"/>
    <w:rsid w:val="763E1476"/>
    <w:rsid w:val="7661167B"/>
    <w:rsid w:val="766C0723"/>
    <w:rsid w:val="767E291A"/>
    <w:rsid w:val="769051DA"/>
    <w:rsid w:val="769212CB"/>
    <w:rsid w:val="76A1589D"/>
    <w:rsid w:val="76A15AC9"/>
    <w:rsid w:val="76A5061A"/>
    <w:rsid w:val="76AA2F21"/>
    <w:rsid w:val="76AF54D2"/>
    <w:rsid w:val="76DE3F84"/>
    <w:rsid w:val="76E64EFF"/>
    <w:rsid w:val="76F459BF"/>
    <w:rsid w:val="770C1810"/>
    <w:rsid w:val="77190DD9"/>
    <w:rsid w:val="77195F51"/>
    <w:rsid w:val="776542FD"/>
    <w:rsid w:val="77A503C6"/>
    <w:rsid w:val="77C013FE"/>
    <w:rsid w:val="77C07AD6"/>
    <w:rsid w:val="77CF5A48"/>
    <w:rsid w:val="77D5464B"/>
    <w:rsid w:val="77E41C8F"/>
    <w:rsid w:val="77E80D46"/>
    <w:rsid w:val="77EF7804"/>
    <w:rsid w:val="77F76AF8"/>
    <w:rsid w:val="77FC30E8"/>
    <w:rsid w:val="781926BD"/>
    <w:rsid w:val="78283D4D"/>
    <w:rsid w:val="78685D1A"/>
    <w:rsid w:val="78944757"/>
    <w:rsid w:val="78A71088"/>
    <w:rsid w:val="78C6409C"/>
    <w:rsid w:val="78E01C5D"/>
    <w:rsid w:val="78E027A4"/>
    <w:rsid w:val="792C3332"/>
    <w:rsid w:val="79306FED"/>
    <w:rsid w:val="79397D85"/>
    <w:rsid w:val="794106EA"/>
    <w:rsid w:val="797A1C7F"/>
    <w:rsid w:val="799E4CBE"/>
    <w:rsid w:val="799F6B86"/>
    <w:rsid w:val="79B74A6D"/>
    <w:rsid w:val="79F3488F"/>
    <w:rsid w:val="7A2876EF"/>
    <w:rsid w:val="7A317400"/>
    <w:rsid w:val="7A4975D9"/>
    <w:rsid w:val="7A4B0629"/>
    <w:rsid w:val="7A4D7EC1"/>
    <w:rsid w:val="7A636735"/>
    <w:rsid w:val="7A643AE3"/>
    <w:rsid w:val="7A6757B2"/>
    <w:rsid w:val="7A827FDF"/>
    <w:rsid w:val="7AA723D5"/>
    <w:rsid w:val="7AA95F23"/>
    <w:rsid w:val="7AAB7BDE"/>
    <w:rsid w:val="7AB163A5"/>
    <w:rsid w:val="7ACA4033"/>
    <w:rsid w:val="7ACF4727"/>
    <w:rsid w:val="7AE6653E"/>
    <w:rsid w:val="7AF47DB1"/>
    <w:rsid w:val="7AFB15CE"/>
    <w:rsid w:val="7B060777"/>
    <w:rsid w:val="7B2728B9"/>
    <w:rsid w:val="7B32476D"/>
    <w:rsid w:val="7B430704"/>
    <w:rsid w:val="7B56145F"/>
    <w:rsid w:val="7B6248F8"/>
    <w:rsid w:val="7B776DBA"/>
    <w:rsid w:val="7B7F3575"/>
    <w:rsid w:val="7B865814"/>
    <w:rsid w:val="7B935C8A"/>
    <w:rsid w:val="7BA158D5"/>
    <w:rsid w:val="7BBC30F2"/>
    <w:rsid w:val="7BBE7247"/>
    <w:rsid w:val="7C31165A"/>
    <w:rsid w:val="7C471C5B"/>
    <w:rsid w:val="7C4E1254"/>
    <w:rsid w:val="7C533EDF"/>
    <w:rsid w:val="7C5A1D85"/>
    <w:rsid w:val="7C720788"/>
    <w:rsid w:val="7C851AF8"/>
    <w:rsid w:val="7C8E53F8"/>
    <w:rsid w:val="7CA915F3"/>
    <w:rsid w:val="7CCB2EC5"/>
    <w:rsid w:val="7CE84657"/>
    <w:rsid w:val="7CF91291"/>
    <w:rsid w:val="7D007A43"/>
    <w:rsid w:val="7D1C4B87"/>
    <w:rsid w:val="7D1F36EE"/>
    <w:rsid w:val="7D366192"/>
    <w:rsid w:val="7D66533C"/>
    <w:rsid w:val="7D7C2409"/>
    <w:rsid w:val="7DD42175"/>
    <w:rsid w:val="7DED314D"/>
    <w:rsid w:val="7DF065FB"/>
    <w:rsid w:val="7E2229C7"/>
    <w:rsid w:val="7E3476B7"/>
    <w:rsid w:val="7E504A7E"/>
    <w:rsid w:val="7E6C2867"/>
    <w:rsid w:val="7E6C63E4"/>
    <w:rsid w:val="7E745739"/>
    <w:rsid w:val="7E8B5B09"/>
    <w:rsid w:val="7EA3209B"/>
    <w:rsid w:val="7EAA58D8"/>
    <w:rsid w:val="7F397E5F"/>
    <w:rsid w:val="7F441CEE"/>
    <w:rsid w:val="7F57091F"/>
    <w:rsid w:val="7F747787"/>
    <w:rsid w:val="7F8012A6"/>
    <w:rsid w:val="7F8D5F85"/>
    <w:rsid w:val="7FBA2371"/>
    <w:rsid w:val="7FCC0287"/>
    <w:rsid w:val="7FEC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eastAsia="Calibri"/>
      <w:b/>
      <w:spacing w:val="-8"/>
      <w:sz w:val="44"/>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8"/>
    <w:qFormat/>
    <w:uiPriority w:val="99"/>
    <w:pPr>
      <w:jc w:val="left"/>
    </w:pPr>
  </w:style>
  <w:style w:type="paragraph" w:styleId="7">
    <w:name w:val="Plain Text"/>
    <w:basedOn w:val="1"/>
    <w:link w:val="20"/>
    <w:qFormat/>
    <w:uiPriority w:val="99"/>
    <w:rPr>
      <w:rFonts w:ascii="宋体" w:hAnsi="Courier New"/>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19"/>
    <w:semiHidden/>
    <w:unhideWhenUsed/>
    <w:qFormat/>
    <w:uiPriority w:val="99"/>
    <w:rPr>
      <w:b/>
      <w:bCs/>
    </w:r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字符1"/>
    <w:link w:val="6"/>
    <w:semiHidden/>
    <w:qFormat/>
    <w:uiPriority w:val="99"/>
    <w:rPr>
      <w:rFonts w:ascii="Times New Roman" w:hAnsi="Times New Roman" w:eastAsia="宋体" w:cs="Times New Roman"/>
      <w:szCs w:val="21"/>
    </w:rPr>
  </w:style>
  <w:style w:type="character" w:customStyle="1" w:styleId="19">
    <w:name w:val="批注主题 字符"/>
    <w:basedOn w:val="18"/>
    <w:link w:val="11"/>
    <w:semiHidden/>
    <w:qFormat/>
    <w:uiPriority w:val="99"/>
    <w:rPr>
      <w:rFonts w:ascii="Times New Roman" w:hAnsi="Times New Roman" w:eastAsia="宋体" w:cs="Times New Roman"/>
      <w:b/>
      <w:bCs/>
      <w:szCs w:val="21"/>
    </w:rPr>
  </w:style>
  <w:style w:type="character" w:customStyle="1" w:styleId="20">
    <w:name w:val="纯文本 字符"/>
    <w:basedOn w:val="14"/>
    <w:link w:val="7"/>
    <w:qFormat/>
    <w:uiPriority w:val="99"/>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4"/>
    <w:link w:val="10"/>
    <w:qFormat/>
    <w:uiPriority w:val="99"/>
    <w:rPr>
      <w:rFonts w:ascii="Times New Roman" w:hAnsi="Times New Roman" w:eastAsia="宋体" w:cs="Times New Roman"/>
      <w:sz w:val="18"/>
      <w:szCs w:val="18"/>
    </w:rPr>
  </w:style>
  <w:style w:type="character" w:customStyle="1" w:styleId="24">
    <w:name w:val="页脚 字符"/>
    <w:basedOn w:val="14"/>
    <w:link w:val="9"/>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838</Words>
  <Characters>884</Characters>
  <Lines>26</Lines>
  <Paragraphs>7</Paragraphs>
  <TotalTime>1</TotalTime>
  <ScaleCrop>false</ScaleCrop>
  <LinksUpToDate>false</LinksUpToDate>
  <CharactersWithSpaces>917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2023-04-11T07:39:00Z</cp:lastPrinted>
  <dcterms:modified xsi:type="dcterms:W3CDTF">2023-04-17T08:40:35Z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BC6B623858AD4EF6B8932C9852D63447</vt:lpwstr>
  </property>
</Properties>
</file>