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20"/>
        </w:rPr>
      </w:pPr>
      <w:r>
        <w:rPr>
          <w:rFonts w:hint="eastAsia" w:ascii="宋体" w:hAnsi="宋体" w:cs="宋体"/>
          <w:b/>
          <w:sz w:val="32"/>
          <w:szCs w:val="20"/>
        </w:rPr>
        <w:t>第二章 磋商须知</w:t>
      </w:r>
    </w:p>
    <w:p>
      <w:pPr>
        <w:pStyle w:val="12"/>
        <w:spacing w:line="360" w:lineRule="auto"/>
        <w:jc w:val="center"/>
        <w:outlineLvl w:val="1"/>
        <w:rPr>
          <w:rFonts w:hAnsi="宋体" w:cs="宋体"/>
          <w:b/>
          <w:sz w:val="32"/>
        </w:rPr>
      </w:pPr>
      <w:bookmarkStart w:id="0" w:name="_Toc15235"/>
      <w:bookmarkStart w:id="1" w:name="_Toc6711"/>
    </w:p>
    <w:bookmarkEnd w:id="0"/>
    <w:bookmarkEnd w:id="1"/>
    <w:p>
      <w:pPr>
        <w:pStyle w:val="12"/>
        <w:spacing w:line="360" w:lineRule="auto"/>
        <w:jc w:val="center"/>
        <w:outlineLvl w:val="1"/>
        <w:rPr>
          <w:rFonts w:hAnsi="宋体" w:cs="宋体"/>
          <w:b/>
          <w:sz w:val="32"/>
        </w:rPr>
      </w:pPr>
      <w:r>
        <w:rPr>
          <w:rFonts w:hint="eastAsia" w:hAnsi="宋体" w:cs="宋体"/>
          <w:b/>
          <w:sz w:val="32"/>
        </w:rPr>
        <w:t>磋商供应商须知前附表</w:t>
      </w:r>
    </w:p>
    <w:tbl>
      <w:tblPr>
        <w:tblStyle w:val="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266"/>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b/>
                <w:szCs w:val="21"/>
              </w:rPr>
            </w:pPr>
            <w:r>
              <w:rPr>
                <w:rFonts w:hint="eastAsia" w:hAnsi="宋体" w:cs="宋体"/>
                <w:b/>
                <w:szCs w:val="21"/>
              </w:rPr>
              <w:t>序号</w:t>
            </w:r>
          </w:p>
        </w:tc>
        <w:tc>
          <w:tcPr>
            <w:tcW w:w="2266" w:type="dxa"/>
            <w:vAlign w:val="center"/>
          </w:tcPr>
          <w:p>
            <w:pPr>
              <w:pStyle w:val="12"/>
              <w:spacing w:line="360" w:lineRule="auto"/>
              <w:jc w:val="center"/>
              <w:rPr>
                <w:rFonts w:hAnsi="宋体" w:cs="宋体"/>
                <w:b/>
                <w:szCs w:val="21"/>
              </w:rPr>
            </w:pPr>
            <w:r>
              <w:rPr>
                <w:rFonts w:hint="eastAsia" w:hAnsi="宋体" w:cs="宋体"/>
                <w:b/>
                <w:szCs w:val="21"/>
              </w:rPr>
              <w:t>条款名称</w:t>
            </w:r>
          </w:p>
        </w:tc>
        <w:tc>
          <w:tcPr>
            <w:tcW w:w="7052" w:type="dxa"/>
            <w:vAlign w:val="center"/>
          </w:tcPr>
          <w:p>
            <w:pPr>
              <w:pStyle w:val="12"/>
              <w:spacing w:line="360" w:lineRule="auto"/>
              <w:jc w:val="center"/>
              <w:rPr>
                <w:rFonts w:hAnsi="宋体" w:cs="宋体"/>
                <w:b/>
                <w:szCs w:val="21"/>
              </w:rPr>
            </w:pPr>
            <w:r>
              <w:rPr>
                <w:rFonts w:hint="eastAsia" w:hAnsi="宋体" w:cs="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项目名称及项目编号</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项目名称：</w:t>
            </w:r>
            <w:r>
              <w:rPr>
                <w:rFonts w:hint="eastAsia" w:ascii="宋体" w:hAnsi="宋体" w:cs="宋体"/>
                <w:szCs w:val="21"/>
                <w:u w:val="single"/>
              </w:rPr>
              <w:t>广西壮族自治区桂东人民医院贺州市八步区人民医院导视标识</w:t>
            </w:r>
          </w:p>
          <w:p>
            <w:pPr>
              <w:widowControl/>
              <w:spacing w:line="360" w:lineRule="auto"/>
              <w:ind w:firstLine="210" w:firstLineChars="100"/>
              <w:jc w:val="left"/>
              <w:rPr>
                <w:rFonts w:ascii="宋体" w:hAnsi="宋体" w:cs="宋体"/>
                <w:b/>
                <w:szCs w:val="21"/>
              </w:rPr>
            </w:pPr>
            <w:r>
              <w:rPr>
                <w:rFonts w:hint="eastAsia" w:ascii="宋体" w:hAnsi="宋体" w:cs="宋体"/>
                <w:color w:val="000000"/>
                <w:kern w:val="0"/>
                <w:szCs w:val="21"/>
                <w:lang w:bidi="ar"/>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2</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供应商资格</w:t>
            </w:r>
          </w:p>
        </w:tc>
        <w:tc>
          <w:tcPr>
            <w:tcW w:w="7052" w:type="dxa"/>
            <w:vAlign w:val="center"/>
          </w:tcPr>
          <w:p>
            <w:pPr>
              <w:pStyle w:val="5"/>
              <w:tabs>
                <w:tab w:val="right" w:leader="dot" w:pos="9628"/>
              </w:tabs>
              <w:spacing w:line="360" w:lineRule="auto"/>
              <w:ind w:firstLine="210" w:firstLineChars="100"/>
              <w:jc w:val="left"/>
              <w:rPr>
                <w:rFonts w:ascii="宋体" w:hAnsi="宋体" w:cs="宋体"/>
                <w:bCs/>
                <w:kern w:val="0"/>
                <w:szCs w:val="21"/>
              </w:rPr>
            </w:pPr>
            <w:r>
              <w:rPr>
                <w:rFonts w:hint="eastAsia" w:ascii="宋体" w:hAnsi="宋体" w:cs="宋体"/>
                <w:bCs/>
                <w:kern w:val="0"/>
                <w:szCs w:val="21"/>
              </w:rPr>
              <w:t>1.满足《中华人民共和国政府采购法》第二十二条规定；</w:t>
            </w:r>
          </w:p>
          <w:p>
            <w:pPr>
              <w:spacing w:line="360" w:lineRule="auto"/>
              <w:ind w:firstLine="210" w:firstLineChars="100"/>
              <w:rPr>
                <w:rFonts w:ascii="宋体" w:hAnsi="宋体" w:cs="宋体"/>
                <w:szCs w:val="21"/>
              </w:rPr>
            </w:pPr>
            <w:r>
              <w:rPr>
                <w:rFonts w:hint="eastAsia" w:ascii="宋体" w:hAnsi="宋体" w:cs="宋体"/>
                <w:bCs/>
                <w:kern w:val="0"/>
                <w:szCs w:val="21"/>
              </w:rPr>
              <w:t>2.</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210" w:firstLineChars="100"/>
              <w:jc w:val="left"/>
              <w:rPr>
                <w:rFonts w:ascii="宋体" w:hAnsi="宋体" w:cs="宋体"/>
                <w:szCs w:val="21"/>
              </w:rPr>
            </w:pPr>
            <w:r>
              <w:rPr>
                <w:rFonts w:hint="eastAsia" w:ascii="宋体" w:hAnsi="宋体" w:cs="宋体"/>
                <w:szCs w:val="21"/>
              </w:rPr>
              <w:t>3.</w:t>
            </w:r>
            <w:r>
              <w:rPr>
                <w:rFonts w:hint="eastAsia" w:ascii="宋体" w:hAnsi="宋体" w:cs="宋体"/>
                <w:szCs w:val="21"/>
                <w:lang w:val="zh-CN"/>
              </w:rPr>
              <w:t>被列入失信被执行人、重大税收违法案件当事人名单、政府采购严重违法失信行为记录名单及其他不符合《中华人民共和国政府采购法》第二十二条规定条件的供应商</w:t>
            </w:r>
            <w:r>
              <w:rPr>
                <w:rFonts w:hint="eastAsia" w:ascii="宋体" w:hAnsi="宋体" w:cs="宋体"/>
                <w:szCs w:val="21"/>
              </w:rPr>
              <w:t>，</w:t>
            </w:r>
            <w:r>
              <w:rPr>
                <w:rFonts w:hint="eastAsia" w:ascii="宋体" w:hAnsi="宋体" w:cs="宋体"/>
                <w:szCs w:val="21"/>
                <w:lang w:val="zh-CN"/>
              </w:rPr>
              <w:t>将被拒绝其参与本次政府采购活动</w:t>
            </w:r>
            <w:r>
              <w:rPr>
                <w:rFonts w:hint="eastAsia" w:ascii="宋体" w:hAnsi="宋体" w:cs="宋体"/>
                <w:szCs w:val="21"/>
              </w:rPr>
              <w:t>（</w:t>
            </w:r>
            <w:r>
              <w:rPr>
                <w:rFonts w:hint="eastAsia" w:ascii="宋体" w:hAnsi="宋体" w:cs="宋体"/>
                <w:szCs w:val="21"/>
                <w:lang w:val="zh-CN"/>
              </w:rPr>
              <w:t>以评标阶段在</w:t>
            </w:r>
            <w:r>
              <w:rPr>
                <w:rFonts w:hint="eastAsia" w:ascii="宋体" w:hAnsi="宋体" w:cs="宋体"/>
                <w:szCs w:val="21"/>
              </w:rPr>
              <w:t>“信用中国”网站（www.creditchina.gov.cn）、中国政府采购网（www.ccgp.gov.cn）</w:t>
            </w:r>
            <w:r>
              <w:rPr>
                <w:rFonts w:hint="eastAsia" w:ascii="宋体" w:hAnsi="宋体" w:cs="宋体"/>
                <w:szCs w:val="21"/>
                <w:lang w:val="zh-CN"/>
              </w:rPr>
              <w:t>的</w:t>
            </w:r>
            <w:r>
              <w:rPr>
                <w:rFonts w:hint="eastAsia" w:ascii="宋体" w:hAnsi="宋体" w:cs="宋体"/>
                <w:szCs w:val="21"/>
              </w:rPr>
              <w:t>信用记录查询结果为准）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eastAsia="宋体" w:cs="宋体"/>
                <w:szCs w:val="21"/>
              </w:rPr>
            </w:pPr>
            <w:r>
              <w:rPr>
                <w:rFonts w:hint="eastAsia" w:hAnsi="宋体" w:cs="宋体"/>
                <w:szCs w:val="21"/>
              </w:rPr>
              <w:t>3</w:t>
            </w:r>
          </w:p>
        </w:tc>
        <w:tc>
          <w:tcPr>
            <w:tcW w:w="2266" w:type="dxa"/>
            <w:vAlign w:val="center"/>
          </w:tcPr>
          <w:p>
            <w:pPr>
              <w:widowControl/>
              <w:spacing w:line="360" w:lineRule="auto"/>
              <w:jc w:val="center"/>
              <w:rPr>
                <w:rFonts w:ascii="宋体" w:hAnsi="宋体" w:eastAsia="宋体" w:cs="宋体"/>
                <w:color w:val="000000"/>
                <w:kern w:val="0"/>
                <w:szCs w:val="21"/>
                <w:lang w:bidi="ar"/>
              </w:rPr>
            </w:pPr>
            <w:r>
              <w:rPr>
                <w:rFonts w:hint="eastAsia" w:ascii="宋体" w:hAnsi="宋体" w:cs="宋体"/>
                <w:color w:val="000000"/>
                <w:kern w:val="0"/>
                <w:szCs w:val="21"/>
                <w:lang w:bidi="ar"/>
              </w:rPr>
              <w:t>磋商保证金</w:t>
            </w:r>
          </w:p>
        </w:tc>
        <w:tc>
          <w:tcPr>
            <w:tcW w:w="7052" w:type="dxa"/>
            <w:vAlign w:val="center"/>
          </w:tcPr>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1.投标保证金为：499620</w:t>
            </w:r>
            <w:r>
              <w:rPr>
                <w:rFonts w:hint="eastAsia" w:ascii="宋体" w:hAnsi="宋体" w:eastAsia="宋体" w:cs="宋体"/>
                <w:bCs/>
                <w:sz w:val="21"/>
                <w:szCs w:val="21"/>
              </w:rPr>
              <w:t>元*1%=4900</w:t>
            </w:r>
            <w:r>
              <w:rPr>
                <w:rFonts w:hint="eastAsia" w:ascii="宋体" w:hAnsi="宋体" w:eastAsia="宋体" w:cs="宋体"/>
                <w:bCs/>
                <w:sz w:val="21"/>
                <w:szCs w:val="21"/>
                <w:lang w:val="en-US" w:eastAsia="zh-CN"/>
              </w:rPr>
              <w:t>.00</w:t>
            </w:r>
            <w:r>
              <w:rPr>
                <w:rFonts w:hint="eastAsia" w:ascii="宋体" w:hAnsi="宋体" w:eastAsia="宋体" w:cs="宋体"/>
                <w:bCs/>
                <w:sz w:val="21"/>
                <w:szCs w:val="21"/>
              </w:rPr>
              <w:t>元整（肆仟玖佰元整）。</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2.各投标人须在投标截止时间前将投标保证金从投标人本单位的银行账户上汇至广西壮族自治区桂东人民医院投标保证金指定账户（收款单位：广西壮族自治区桂东人民医院，账号：45001648652059500770，开户银行：中国建设银行股份有限公司梧州河东支行，备注中请填写“项目名称、项目编号、投标保证金”，投标保证金汇出单位及汇出账号必须与投标报名单位名称完全一致。</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投标人递交标书时，请将招投标保证金转账凭据（复印件）与投标文件同时送达招投标办公室，不接收现金，否则视为投标人未缴纳投标保证金。未按招标文件约定要求缴纳投标保证金的，其投标文件将不予接受。  </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（1）未中标（成交）供应商的投标（响应）保证金，自中标（成交）通知书发出之日起5个工作日内无息原路退还；</w:t>
            </w:r>
          </w:p>
          <w:p>
            <w:pPr>
              <w:pStyle w:val="6"/>
              <w:widowControl/>
              <w:shd w:val="clear" w:color="auto" w:fill="FFFFFF"/>
              <w:spacing w:before="0" w:beforeAutospacing="0" w:after="0" w:afterAutospacing="0" w:line="360" w:lineRule="auto"/>
              <w:ind w:firstLine="420"/>
              <w:rPr>
                <w:rFonts w:ascii="宋体" w:hAnsi="宋体" w:cs="宋体"/>
                <w:szCs w:val="21"/>
              </w:rPr>
            </w:pPr>
            <w:r>
              <w:rPr>
                <w:rFonts w:hint="eastAsia" w:ascii="宋体" w:hAnsi="宋体" w:eastAsia="宋体" w:cs="宋体"/>
                <w:bCs/>
                <w:sz w:val="21"/>
                <w:szCs w:val="21"/>
              </w:rPr>
              <w:t>（2）中标（成交）供应商的投标（响应）保证金，自经济合同签订之日起5个工作日内无息原路退还。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4</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磋商费用</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5</w:t>
            </w:r>
          </w:p>
        </w:tc>
        <w:tc>
          <w:tcPr>
            <w:tcW w:w="2266" w:type="dxa"/>
            <w:vAlign w:val="center"/>
          </w:tcPr>
          <w:p>
            <w:pPr>
              <w:pStyle w:val="5"/>
              <w:tabs>
                <w:tab w:val="right" w:leader="dot" w:pos="9628"/>
              </w:tabs>
              <w:spacing w:line="360" w:lineRule="auto"/>
              <w:jc w:val="center"/>
              <w:rPr>
                <w:rFonts w:ascii="宋体" w:hAnsi="宋体" w:cs="宋体"/>
                <w:szCs w:val="21"/>
              </w:rPr>
            </w:pPr>
            <w:r>
              <w:rPr>
                <w:rFonts w:hint="eastAsia" w:ascii="宋体" w:hAnsi="宋体" w:cs="宋体"/>
                <w:szCs w:val="21"/>
              </w:rPr>
              <w:t>磋商报价及最高限价</w:t>
            </w:r>
          </w:p>
        </w:tc>
        <w:tc>
          <w:tcPr>
            <w:tcW w:w="7052" w:type="dxa"/>
            <w:vAlign w:val="center"/>
          </w:tcPr>
          <w:p>
            <w:pPr>
              <w:pStyle w:val="5"/>
              <w:tabs>
                <w:tab w:val="right" w:leader="dot" w:pos="9628"/>
              </w:tabs>
              <w:spacing w:line="360" w:lineRule="auto"/>
              <w:ind w:firstLine="210" w:firstLineChars="100"/>
              <w:jc w:val="left"/>
              <w:rPr>
                <w:rFonts w:ascii="宋体" w:hAnsi="宋体" w:cs="宋体"/>
                <w:szCs w:val="21"/>
              </w:rPr>
            </w:pPr>
            <w:r>
              <w:rPr>
                <w:rFonts w:hint="eastAsia" w:ascii="宋体" w:hAnsi="宋体" w:cs="宋体"/>
                <w:szCs w:val="21"/>
              </w:rPr>
              <w:t>本项目采购预算价为：</w:t>
            </w:r>
            <w:r>
              <w:rPr>
                <w:rFonts w:hint="eastAsia" w:ascii="宋体" w:hAnsi="宋体" w:cs="宋体"/>
                <w:b/>
                <w:bCs/>
              </w:rPr>
              <w:t>肆拾玖万玖仟陆佰贰拾捌元整（</w:t>
            </w:r>
            <w:r>
              <w:rPr>
                <w:rFonts w:hint="eastAsia" w:ascii="宋体" w:hAnsi="宋体" w:eastAsia="宋体" w:cs="宋体"/>
                <w:b/>
                <w:bCs/>
              </w:rPr>
              <w:t>￥499620.00元</w:t>
            </w:r>
            <w:r>
              <w:rPr>
                <w:rFonts w:hint="eastAsia" w:ascii="宋体" w:hAnsi="宋体" w:cs="宋体"/>
                <w:b/>
                <w:bCs/>
              </w:rPr>
              <w:t>）</w:t>
            </w:r>
            <w:r>
              <w:rPr>
                <w:rFonts w:hint="eastAsia" w:ascii="宋体" w:hAnsi="宋体" w:cs="宋体"/>
                <w:szCs w:val="21"/>
              </w:rPr>
              <w:t xml:space="preserve">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1.本项目磋商报价应按采购文件中相关附表格式填写。</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2.供应商必须就“项目采购需求 ”中所有内容作完整唯一报价，否则，其响应文件无效。响应文件只允许有一个报价，有选择的或有条件的报价将不予接受。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6</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响应文件有效期</w:t>
            </w:r>
          </w:p>
        </w:tc>
        <w:tc>
          <w:tcPr>
            <w:tcW w:w="7052" w:type="dxa"/>
            <w:vAlign w:val="center"/>
          </w:tcPr>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color w:val="000000"/>
                <w:kern w:val="0"/>
                <w:szCs w:val="21"/>
                <w:lang w:bidi="ar"/>
              </w:rPr>
              <w:t>响应文件递交截止时间之日起 60 日历天，有效期不足的响应文件将被拒绝。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7</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响应文件份数</w:t>
            </w:r>
          </w:p>
        </w:tc>
        <w:tc>
          <w:tcPr>
            <w:tcW w:w="7052" w:type="dxa"/>
            <w:vAlign w:val="center"/>
          </w:tcPr>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szCs w:val="21"/>
              </w:rPr>
              <w:t>正本一份（正反打印）。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8</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响应文件装订要求</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供应商应按供应商须知第 10.1 款“响应文件组成”规定的顺序自编目录及页码，将响应文件装订成册。装订应牢固，不易拆散和换页。封面应注明“正本”字样，封面上写明项目名称、项目编号、供应商名称、供应商地址。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9</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响应文件包装、密封、标记</w:t>
            </w:r>
          </w:p>
          <w:p>
            <w:pPr>
              <w:widowControl/>
              <w:spacing w:line="360" w:lineRule="auto"/>
              <w:jc w:val="center"/>
              <w:rPr>
                <w:rFonts w:ascii="宋体" w:hAnsi="宋体" w:cs="宋体"/>
                <w:color w:val="000000"/>
                <w:kern w:val="0"/>
                <w:szCs w:val="21"/>
                <w:lang w:bidi="ar"/>
              </w:rPr>
            </w:pP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1.响应文件包装、密封：供应商应将响应文件密封在一个响应文件袋（盒、箱）中（如装不下可分开密封），并在密封处盖章（公章、密封章均可）。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2.响应文件袋（盒、箱）标记：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项目名称：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项目编号：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供应商名称：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供应商地址： </w:t>
            </w:r>
          </w:p>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color w:val="000000"/>
                <w:kern w:val="0"/>
                <w:szCs w:val="21"/>
                <w:lang w:bidi="ar"/>
              </w:rPr>
              <w:t>在   年   月   日   时   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10</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供应商公章</w:t>
            </w:r>
          </w:p>
        </w:tc>
        <w:tc>
          <w:tcPr>
            <w:tcW w:w="7052" w:type="dxa"/>
            <w:vAlign w:val="center"/>
          </w:tcPr>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color w:val="000000"/>
                <w:kern w:val="0"/>
                <w:szCs w:val="21"/>
                <w:lang w:bidi="ar"/>
              </w:rPr>
              <w:t>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11</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响应文件递交截止时间、地点</w:t>
            </w:r>
          </w:p>
        </w:tc>
        <w:tc>
          <w:tcPr>
            <w:tcW w:w="7052" w:type="dxa"/>
            <w:vAlign w:val="center"/>
          </w:tcPr>
          <w:p>
            <w:pPr>
              <w:pStyle w:val="12"/>
              <w:spacing w:line="360" w:lineRule="auto"/>
              <w:ind w:firstLine="210" w:firstLineChars="100"/>
              <w:rPr>
                <w:rFonts w:hAnsi="宋体" w:cs="宋体"/>
                <w:szCs w:val="21"/>
                <w:u w:val="single"/>
              </w:rPr>
            </w:pPr>
            <w:r>
              <w:rPr>
                <w:rFonts w:hint="eastAsia" w:hAnsi="宋体" w:cs="宋体"/>
                <w:szCs w:val="21"/>
              </w:rPr>
              <w:t>响应文件提交截止时间：</w:t>
            </w:r>
            <w:r>
              <w:rPr>
                <w:rFonts w:hint="eastAsia" w:hAnsi="宋体" w:cs="宋体"/>
                <w:szCs w:val="21"/>
                <w:u w:val="single"/>
              </w:rPr>
              <w:t>2023年04月</w:t>
            </w:r>
            <w:r>
              <w:rPr>
                <w:rFonts w:hint="eastAsia" w:hAnsi="宋体" w:cs="宋体"/>
                <w:szCs w:val="21"/>
                <w:u w:val="single"/>
                <w:lang w:val="en-US" w:eastAsia="zh-CN"/>
              </w:rPr>
              <w:t>25</w:t>
            </w:r>
            <w:r>
              <w:rPr>
                <w:rFonts w:hint="eastAsia" w:hAnsi="宋体" w:cs="宋体"/>
                <w:szCs w:val="21"/>
                <w:u w:val="single"/>
              </w:rPr>
              <w:t>日</w:t>
            </w:r>
            <w:bookmarkStart w:id="86" w:name="_GoBack"/>
            <w:bookmarkEnd w:id="86"/>
          </w:p>
          <w:p>
            <w:pPr>
              <w:pStyle w:val="12"/>
              <w:spacing w:line="360" w:lineRule="auto"/>
              <w:ind w:firstLine="210" w:firstLineChars="100"/>
              <w:rPr>
                <w:rFonts w:hAnsi="宋体" w:cs="宋体"/>
              </w:rPr>
            </w:pPr>
            <w:r>
              <w:rPr>
                <w:rFonts w:hint="eastAsia" w:hAnsi="宋体" w:cs="宋体"/>
                <w:szCs w:val="21"/>
              </w:rPr>
              <w:t>响应文件提交地点：</w:t>
            </w:r>
            <w:r>
              <w:rPr>
                <w:rFonts w:hint="eastAsia" w:hAnsi="宋体" w:cs="宋体"/>
                <w:bCs/>
                <w:kern w:val="0"/>
                <w:szCs w:val="21"/>
              </w:rPr>
              <w:t>①投标文件寄送地点：广西梧州市西江四路金鸡冲1号（邮编：543001） 广西壮族自治区桂东人民医院招标管理办公室收；②投标文件当面递交：广西壮族自治区桂东人民医院外科综合楼23楼招标管理办公室。</w:t>
            </w:r>
          </w:p>
          <w:p>
            <w:pPr>
              <w:pStyle w:val="12"/>
              <w:spacing w:line="360" w:lineRule="auto"/>
              <w:ind w:firstLine="211" w:firstLineChars="100"/>
              <w:rPr>
                <w:rFonts w:hAnsi="宋体" w:cs="宋体"/>
                <w:szCs w:val="21"/>
              </w:rPr>
            </w:pPr>
            <w:r>
              <w:rPr>
                <w:rFonts w:hint="eastAsia" w:hAnsi="宋体" w:cs="宋体"/>
                <w:b/>
                <w:bCs/>
                <w:szCs w:val="21"/>
              </w:rPr>
              <w:t>由招标管理办公室电话通知投标人，投标人须保持电话通畅，无需亲自参会。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12</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成交公告及成交通知书</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1.于磋商结束后五个工作日内在评审报告推荐的成交候选人中按顺序确定 成交供应商，在成交供应商确定之日起两个工作日内在指定媒体上公告成交信息。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2.在发布成交公告的同时，向成交供应商发出成交通知书。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13</w:t>
            </w:r>
          </w:p>
        </w:tc>
        <w:tc>
          <w:tcPr>
            <w:tcW w:w="2266" w:type="dxa"/>
            <w:vAlign w:val="center"/>
          </w:tcPr>
          <w:p>
            <w:pPr>
              <w:pStyle w:val="12"/>
              <w:spacing w:line="360" w:lineRule="auto"/>
              <w:jc w:val="center"/>
              <w:rPr>
                <w:rFonts w:hAnsi="宋体" w:cs="宋体"/>
                <w:szCs w:val="21"/>
              </w:rPr>
            </w:pPr>
            <w:r>
              <w:rPr>
                <w:rFonts w:hint="eastAsia" w:hAnsi="宋体" w:cs="宋体"/>
                <w:szCs w:val="21"/>
              </w:rPr>
              <w:t>评标方法</w:t>
            </w:r>
          </w:p>
        </w:tc>
        <w:tc>
          <w:tcPr>
            <w:tcW w:w="7052" w:type="dxa"/>
            <w:vAlign w:val="center"/>
          </w:tcPr>
          <w:p>
            <w:pPr>
              <w:pStyle w:val="12"/>
              <w:spacing w:line="360" w:lineRule="auto"/>
              <w:ind w:firstLine="210" w:firstLineChars="100"/>
              <w:rPr>
                <w:rFonts w:hAnsi="宋体" w:cs="宋体"/>
                <w:szCs w:val="21"/>
              </w:rPr>
            </w:pPr>
            <w:r>
              <w:rPr>
                <w:rFonts w:hint="eastAsia"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14</w:t>
            </w:r>
          </w:p>
        </w:tc>
        <w:tc>
          <w:tcPr>
            <w:tcW w:w="2266" w:type="dxa"/>
            <w:vAlign w:val="center"/>
          </w:tcPr>
          <w:p>
            <w:pPr>
              <w:pStyle w:val="12"/>
              <w:spacing w:line="360" w:lineRule="auto"/>
              <w:jc w:val="center"/>
              <w:rPr>
                <w:rFonts w:hAnsi="宋体" w:cs="宋体"/>
                <w:szCs w:val="21"/>
              </w:rPr>
            </w:pPr>
            <w:r>
              <w:rPr>
                <w:rFonts w:hint="eastAsia" w:hAnsi="宋体" w:cs="宋体"/>
                <w:szCs w:val="21"/>
              </w:rPr>
              <w:t>是否授权磋商小组直接确定成交供应商</w:t>
            </w:r>
          </w:p>
        </w:tc>
        <w:tc>
          <w:tcPr>
            <w:tcW w:w="7052" w:type="dxa"/>
            <w:vAlign w:val="center"/>
          </w:tcPr>
          <w:p>
            <w:pPr>
              <w:pStyle w:val="12"/>
              <w:spacing w:line="360" w:lineRule="auto"/>
              <w:ind w:firstLine="210" w:firstLineChars="100"/>
              <w:rPr>
                <w:rFonts w:hAnsi="宋体" w:cs="宋体"/>
                <w:szCs w:val="21"/>
              </w:rPr>
            </w:pPr>
            <w:r>
              <w:rPr>
                <w:rFonts w:hint="eastAsia"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15</w:t>
            </w:r>
          </w:p>
        </w:tc>
        <w:tc>
          <w:tcPr>
            <w:tcW w:w="2266" w:type="dxa"/>
            <w:vAlign w:val="center"/>
          </w:tcPr>
          <w:p>
            <w:pPr>
              <w:pStyle w:val="12"/>
              <w:spacing w:line="360" w:lineRule="auto"/>
              <w:jc w:val="center"/>
              <w:rPr>
                <w:rFonts w:hAnsi="宋体" w:cs="宋体"/>
                <w:szCs w:val="21"/>
              </w:rPr>
            </w:pPr>
            <w:r>
              <w:rPr>
                <w:rFonts w:hint="eastAsia" w:hAnsi="宋体" w:cs="宋体"/>
                <w:szCs w:val="21"/>
              </w:rPr>
              <w:t>履约保证金</w:t>
            </w:r>
          </w:p>
        </w:tc>
        <w:tc>
          <w:tcPr>
            <w:tcW w:w="7052" w:type="dxa"/>
            <w:vAlign w:val="center"/>
          </w:tcPr>
          <w:p>
            <w:pPr>
              <w:pStyle w:val="12"/>
              <w:spacing w:line="360" w:lineRule="auto"/>
              <w:ind w:firstLine="210" w:firstLineChars="100"/>
              <w:rPr>
                <w:rFonts w:hAnsi="宋体" w:cs="宋体"/>
                <w:szCs w:val="21"/>
              </w:rPr>
            </w:pPr>
            <w:r>
              <w:rPr>
                <w:rFonts w:hint="eastAsia"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4" w:type="dxa"/>
            <w:vAlign w:val="center"/>
          </w:tcPr>
          <w:p>
            <w:pPr>
              <w:pStyle w:val="12"/>
              <w:spacing w:line="360" w:lineRule="auto"/>
              <w:jc w:val="center"/>
              <w:rPr>
                <w:rFonts w:hAnsi="宋体" w:eastAsia="宋体" w:cs="宋体"/>
                <w:szCs w:val="21"/>
              </w:rPr>
            </w:pPr>
            <w:r>
              <w:rPr>
                <w:rFonts w:hint="eastAsia" w:hAnsi="宋体" w:cs="宋体"/>
                <w:szCs w:val="21"/>
              </w:rPr>
              <w:t>16</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解释权</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本竞争性磋商文件是参照《中华人民共和国政府采购法》、《中华人民共和国政府采购法实施条例》、《政府采购竞争性磋商采购方式管理暂行办法》和政府采购管理有关规定编制，本竞争性磋商文件的解释权属于采购人。</w:t>
            </w:r>
          </w:p>
        </w:tc>
      </w:tr>
    </w:tbl>
    <w:p>
      <w:pPr>
        <w:pStyle w:val="4"/>
        <w:spacing w:line="360" w:lineRule="auto"/>
        <w:ind w:firstLine="422" w:firstLineChars="200"/>
        <w:rPr>
          <w:rFonts w:hAnsi="宋体" w:cs="宋体"/>
          <w:b/>
        </w:rPr>
      </w:pPr>
      <w:r>
        <w:rPr>
          <w:rFonts w:hint="eastAsia" w:hAnsi="宋体" w:cs="宋体"/>
          <w:b/>
        </w:rPr>
        <w:t>磋商文件的澄清和修改：磋商供应商应认真审核《采购需求和说明》中的技术参数、配置及要求，如发现表中技术参数、配置有误或要求不合理的，磋商供应商必须在规定的时间前要求澄清（时间要求见“磋商供应商须知”6.2款），否则，视为磋商供应商已经完全认可本次项目的磋商文件，产生的后果由磋商供应商负责。</w:t>
      </w:r>
    </w:p>
    <w:p>
      <w:pPr>
        <w:pStyle w:val="12"/>
        <w:spacing w:line="360" w:lineRule="exact"/>
        <w:rPr>
          <w:rFonts w:hAnsi="宋体" w:cs="宋体"/>
          <w:b/>
        </w:rPr>
      </w:pPr>
    </w:p>
    <w:p>
      <w:pPr>
        <w:pStyle w:val="4"/>
        <w:spacing w:line="360" w:lineRule="exact"/>
        <w:jc w:val="center"/>
        <w:outlineLvl w:val="1"/>
        <w:rPr>
          <w:rFonts w:hAnsi="宋体" w:cs="宋体"/>
          <w:b/>
          <w:bCs/>
          <w:sz w:val="32"/>
        </w:rPr>
      </w:pPr>
      <w:r>
        <w:rPr>
          <w:rFonts w:hint="eastAsia" w:hAnsi="宋体" w:cs="宋体"/>
          <w:b/>
          <w:bCs/>
          <w:sz w:val="32"/>
        </w:rPr>
        <w:br w:type="page"/>
      </w:r>
      <w:bookmarkStart w:id="2" w:name="_Toc12118"/>
      <w:bookmarkStart w:id="3" w:name="_Toc8493"/>
      <w:r>
        <w:rPr>
          <w:rFonts w:hint="eastAsia" w:hAnsi="宋体" w:cs="宋体"/>
          <w:b/>
          <w:bCs/>
          <w:sz w:val="32"/>
        </w:rPr>
        <w:t>磋商供应商须知</w:t>
      </w:r>
      <w:bookmarkEnd w:id="2"/>
      <w:bookmarkEnd w:id="3"/>
    </w:p>
    <w:p>
      <w:pPr>
        <w:pStyle w:val="4"/>
        <w:spacing w:line="360" w:lineRule="exact"/>
        <w:jc w:val="center"/>
        <w:rPr>
          <w:rFonts w:hAnsi="宋体" w:cs="宋体"/>
          <w:b/>
          <w:bCs/>
          <w:sz w:val="32"/>
        </w:rPr>
      </w:pPr>
    </w:p>
    <w:p>
      <w:pPr>
        <w:pStyle w:val="4"/>
        <w:spacing w:line="360" w:lineRule="auto"/>
        <w:jc w:val="center"/>
        <w:outlineLvl w:val="1"/>
        <w:rPr>
          <w:rFonts w:hAnsi="宋体" w:cs="宋体"/>
          <w:b/>
          <w:bCs/>
          <w:sz w:val="24"/>
        </w:rPr>
      </w:pPr>
      <w:bookmarkStart w:id="4" w:name="_Toc23368"/>
      <w:bookmarkStart w:id="5" w:name="_Toc13241"/>
      <w:r>
        <w:rPr>
          <w:rFonts w:hint="eastAsia" w:hAnsi="宋体" w:cs="宋体"/>
          <w:b/>
          <w:bCs/>
          <w:sz w:val="24"/>
        </w:rPr>
        <w:t>（一）总则</w:t>
      </w:r>
      <w:bookmarkEnd w:id="4"/>
      <w:bookmarkEnd w:id="5"/>
    </w:p>
    <w:p>
      <w:pPr>
        <w:pStyle w:val="4"/>
        <w:numPr>
          <w:ilvl w:val="0"/>
          <w:numId w:val="1"/>
        </w:numPr>
        <w:spacing w:line="360" w:lineRule="auto"/>
        <w:outlineLvl w:val="2"/>
        <w:rPr>
          <w:rFonts w:hAnsi="宋体" w:cs="宋体"/>
          <w:b/>
        </w:rPr>
      </w:pPr>
      <w:bookmarkStart w:id="6" w:name="_Toc4416"/>
      <w:r>
        <w:rPr>
          <w:rFonts w:hint="eastAsia" w:hAnsi="宋体" w:cs="宋体"/>
          <w:b/>
        </w:rPr>
        <w:t>定义</w:t>
      </w:r>
      <w:bookmarkEnd w:id="6"/>
    </w:p>
    <w:p>
      <w:pPr>
        <w:snapToGrid w:val="0"/>
        <w:spacing w:line="360" w:lineRule="auto"/>
        <w:ind w:firstLine="420" w:firstLineChars="200"/>
        <w:jc w:val="left"/>
        <w:rPr>
          <w:rFonts w:ascii="宋体" w:hAnsi="宋体" w:cs="宋体"/>
        </w:rPr>
      </w:pPr>
      <w:r>
        <w:rPr>
          <w:rFonts w:hint="eastAsia" w:ascii="宋体" w:hAnsi="宋体" w:cs="宋体"/>
          <w:szCs w:val="21"/>
        </w:rPr>
        <w:t>1.1.</w:t>
      </w:r>
      <w:r>
        <w:rPr>
          <w:rFonts w:hint="eastAsia" w:ascii="宋体" w:hAnsi="宋体" w:cs="宋体"/>
        </w:rPr>
        <w:t xml:space="preserve"> “采购人”系指组织本次磋商的采购单位。</w:t>
      </w:r>
    </w:p>
    <w:p>
      <w:pPr>
        <w:pStyle w:val="4"/>
        <w:spacing w:line="360" w:lineRule="auto"/>
        <w:ind w:left="412"/>
        <w:rPr>
          <w:rFonts w:hAnsi="宋体" w:cs="宋体"/>
          <w:u w:val="single"/>
        </w:rPr>
      </w:pPr>
      <w:r>
        <w:rPr>
          <w:rFonts w:hint="eastAsia" w:hAnsi="宋体" w:cs="宋体"/>
          <w:szCs w:val="21"/>
        </w:rPr>
        <w:t>1.2.</w:t>
      </w:r>
      <w:r>
        <w:rPr>
          <w:rFonts w:hint="eastAsia" w:hAnsi="宋体" w:cs="宋体"/>
        </w:rPr>
        <w:t>“竞标人”、“供应商”系指响应磋商、参加竞标的法人、其他组织或者自然人。</w:t>
      </w:r>
    </w:p>
    <w:p>
      <w:pPr>
        <w:pStyle w:val="4"/>
        <w:numPr>
          <w:ilvl w:val="0"/>
          <w:numId w:val="1"/>
        </w:numPr>
        <w:spacing w:line="360" w:lineRule="auto"/>
        <w:outlineLvl w:val="2"/>
        <w:rPr>
          <w:rFonts w:hAnsi="宋体" w:cs="宋体"/>
          <w:b/>
        </w:rPr>
      </w:pPr>
      <w:bookmarkStart w:id="7" w:name="_Toc22231"/>
      <w:r>
        <w:rPr>
          <w:rFonts w:hint="eastAsia" w:hAnsi="宋体" w:cs="宋体"/>
          <w:b/>
        </w:rPr>
        <w:t>磋商供应商资格</w:t>
      </w:r>
      <w:bookmarkEnd w:id="7"/>
    </w:p>
    <w:p>
      <w:pPr>
        <w:pStyle w:val="4"/>
        <w:spacing w:line="360" w:lineRule="auto"/>
        <w:ind w:left="412"/>
        <w:rPr>
          <w:rFonts w:hAnsi="宋体" w:cs="宋体"/>
        </w:rPr>
      </w:pPr>
      <w:r>
        <w:rPr>
          <w:rFonts w:hint="eastAsia" w:hAnsi="宋体" w:cs="宋体"/>
          <w:bCs/>
          <w:kern w:val="0"/>
          <w:szCs w:val="21"/>
        </w:rPr>
        <w:t>满足本磋商采购文件中第一章《竞争性磋商公告》中资格要求</w:t>
      </w:r>
      <w:r>
        <w:rPr>
          <w:rFonts w:hint="eastAsia" w:hAnsi="宋体" w:cs="宋体"/>
          <w:szCs w:val="21"/>
        </w:rPr>
        <w:t>。</w:t>
      </w:r>
    </w:p>
    <w:p>
      <w:pPr>
        <w:pStyle w:val="4"/>
        <w:numPr>
          <w:ilvl w:val="0"/>
          <w:numId w:val="1"/>
        </w:numPr>
        <w:spacing w:line="360" w:lineRule="auto"/>
        <w:outlineLvl w:val="2"/>
        <w:rPr>
          <w:rFonts w:hAnsi="宋体" w:cs="宋体"/>
          <w:b/>
        </w:rPr>
      </w:pPr>
      <w:bookmarkStart w:id="8" w:name="_Toc21115"/>
      <w:r>
        <w:rPr>
          <w:rFonts w:hint="eastAsia" w:hAnsi="宋体" w:cs="宋体"/>
          <w:b/>
        </w:rPr>
        <w:t>磋商费用</w:t>
      </w:r>
      <w:bookmarkEnd w:id="8"/>
    </w:p>
    <w:p>
      <w:pPr>
        <w:pStyle w:val="4"/>
        <w:numPr>
          <w:ilvl w:val="1"/>
          <w:numId w:val="1"/>
        </w:numPr>
        <w:spacing w:line="360" w:lineRule="auto"/>
        <w:ind w:hanging="361"/>
        <w:rPr>
          <w:rFonts w:hAnsi="宋体" w:cs="宋体"/>
        </w:rPr>
      </w:pPr>
      <w:r>
        <w:rPr>
          <w:rFonts w:hint="eastAsia" w:hAnsi="宋体" w:cs="宋体"/>
        </w:rPr>
        <w:t>磋商供应商应自行承担所有与本次竞标有关的全部费用。</w:t>
      </w:r>
    </w:p>
    <w:p>
      <w:pPr>
        <w:pStyle w:val="4"/>
        <w:numPr>
          <w:ilvl w:val="0"/>
          <w:numId w:val="1"/>
        </w:numPr>
        <w:spacing w:line="360" w:lineRule="auto"/>
        <w:outlineLvl w:val="2"/>
        <w:rPr>
          <w:rFonts w:hAnsi="宋体" w:cs="宋体"/>
          <w:b/>
        </w:rPr>
      </w:pPr>
      <w:bookmarkStart w:id="9" w:name="_Toc1412"/>
      <w:r>
        <w:rPr>
          <w:rFonts w:hint="eastAsia" w:hAnsi="宋体" w:cs="宋体"/>
          <w:b/>
        </w:rPr>
        <w:t>磋商公告</w:t>
      </w:r>
      <w:bookmarkEnd w:id="9"/>
    </w:p>
    <w:p>
      <w:pPr>
        <w:pStyle w:val="4"/>
        <w:numPr>
          <w:ilvl w:val="1"/>
          <w:numId w:val="1"/>
        </w:numPr>
        <w:wordWrap w:val="0"/>
        <w:spacing w:line="360" w:lineRule="auto"/>
        <w:ind w:left="777" w:hanging="363"/>
        <w:jc w:val="left"/>
        <w:rPr>
          <w:rFonts w:hAnsi="宋体" w:cs="宋体"/>
        </w:rPr>
      </w:pPr>
      <w:r>
        <w:rPr>
          <w:rFonts w:hint="eastAsia" w:hAnsi="宋体" w:cs="宋体"/>
        </w:rPr>
        <w:t>磋商公告见</w:t>
      </w:r>
      <w:r>
        <w:rPr>
          <w:rFonts w:hint="eastAsia" w:hAnsi="宋体" w:cs="宋体"/>
          <w:szCs w:val="21"/>
          <w:u w:val="single"/>
        </w:rPr>
        <w:t>广西壮族自治区桂东人民医院网（https://www.gxgdyy.com/）</w:t>
      </w:r>
      <w:r>
        <w:rPr>
          <w:rFonts w:hint="eastAsia" w:hAnsi="宋体" w:cs="宋体"/>
        </w:rPr>
        <w:t>。</w:t>
      </w:r>
    </w:p>
    <w:p>
      <w:pPr>
        <w:pStyle w:val="4"/>
        <w:numPr>
          <w:ilvl w:val="0"/>
          <w:numId w:val="1"/>
        </w:numPr>
        <w:spacing w:line="360" w:lineRule="auto"/>
        <w:outlineLvl w:val="2"/>
        <w:rPr>
          <w:rFonts w:hAnsi="宋体" w:cs="宋体"/>
          <w:b/>
        </w:rPr>
      </w:pPr>
      <w:bookmarkStart w:id="10" w:name="_Toc6394"/>
      <w:r>
        <w:rPr>
          <w:rFonts w:hint="eastAsia" w:hAnsi="宋体" w:cs="宋体"/>
          <w:b/>
        </w:rPr>
        <w:t>询问、质疑及投诉</w:t>
      </w:r>
      <w:bookmarkEnd w:id="10"/>
    </w:p>
    <w:p>
      <w:pPr>
        <w:pStyle w:val="4"/>
        <w:numPr>
          <w:ilvl w:val="1"/>
          <w:numId w:val="1"/>
        </w:numPr>
        <w:wordWrap w:val="0"/>
        <w:spacing w:line="360" w:lineRule="auto"/>
        <w:ind w:left="777" w:hanging="363"/>
        <w:jc w:val="left"/>
        <w:rPr>
          <w:rFonts w:hAnsi="宋体" w:cs="宋体"/>
          <w:szCs w:val="21"/>
        </w:rPr>
      </w:pPr>
      <w:r>
        <w:rPr>
          <w:rFonts w:hint="eastAsia" w:hAnsi="宋体" w:cs="宋体"/>
          <w:szCs w:val="21"/>
        </w:rPr>
        <w:t>供应商对政府采购活动事项有疑问的，可以向采购人提出询问。</w:t>
      </w:r>
    </w:p>
    <w:p>
      <w:pPr>
        <w:pStyle w:val="4"/>
        <w:numPr>
          <w:ilvl w:val="1"/>
          <w:numId w:val="1"/>
        </w:numPr>
        <w:wordWrap w:val="0"/>
        <w:spacing w:line="360" w:lineRule="auto"/>
        <w:ind w:left="777" w:hanging="363"/>
        <w:jc w:val="left"/>
        <w:rPr>
          <w:rFonts w:hAnsi="宋体" w:cs="宋体"/>
          <w:szCs w:val="21"/>
        </w:rPr>
      </w:pPr>
      <w:r>
        <w:rPr>
          <w:rFonts w:hint="eastAsia" w:hAnsi="宋体" w:cs="宋体"/>
          <w:szCs w:val="21"/>
        </w:rPr>
        <w:t>供应商认为磋商文件、磋商过程或成交结果使自己的合法权益受到损害的，应当在知道或者应知其权益受到损害之日起七个工作日内，以书面形式向采购人提出质疑。具体计算时间如下：</w:t>
      </w:r>
    </w:p>
    <w:p>
      <w:pPr>
        <w:pStyle w:val="4"/>
        <w:wordWrap w:val="0"/>
        <w:spacing w:line="360" w:lineRule="auto"/>
        <w:ind w:left="414"/>
        <w:jc w:val="left"/>
        <w:rPr>
          <w:rFonts w:hAnsi="宋体" w:cs="宋体"/>
          <w:szCs w:val="21"/>
        </w:rPr>
      </w:pPr>
      <w:r>
        <w:rPr>
          <w:rFonts w:hint="eastAsia" w:hAnsi="宋体" w:cs="宋体"/>
          <w:szCs w:val="21"/>
        </w:rPr>
        <w:t>（1）对可以质疑的磋商文件提出质疑的，为收到磋商文件之日；</w:t>
      </w:r>
    </w:p>
    <w:p>
      <w:pPr>
        <w:pStyle w:val="4"/>
        <w:wordWrap w:val="0"/>
        <w:spacing w:line="360" w:lineRule="auto"/>
        <w:ind w:left="414"/>
        <w:jc w:val="left"/>
        <w:rPr>
          <w:rFonts w:hAnsi="宋体" w:cs="宋体"/>
          <w:szCs w:val="21"/>
        </w:rPr>
      </w:pPr>
      <w:r>
        <w:rPr>
          <w:rFonts w:hint="eastAsia" w:hAnsi="宋体" w:cs="宋体"/>
          <w:szCs w:val="21"/>
        </w:rPr>
        <w:t>（2）对磋商过程提出质疑的，为各磋商程序环节结束之日；</w:t>
      </w:r>
    </w:p>
    <w:p>
      <w:pPr>
        <w:pStyle w:val="4"/>
        <w:wordWrap w:val="0"/>
        <w:spacing w:line="360" w:lineRule="auto"/>
        <w:ind w:left="414"/>
        <w:jc w:val="left"/>
        <w:rPr>
          <w:rFonts w:hAnsi="宋体" w:cs="宋体"/>
          <w:szCs w:val="21"/>
        </w:rPr>
      </w:pPr>
      <w:r>
        <w:rPr>
          <w:rFonts w:hint="eastAsia" w:hAnsi="宋体" w:cs="宋体"/>
          <w:szCs w:val="21"/>
        </w:rPr>
        <w:t>（3）对成交结果提出质疑的，为成交结果公告期限届满之日。</w:t>
      </w:r>
    </w:p>
    <w:p>
      <w:pPr>
        <w:pStyle w:val="4"/>
        <w:numPr>
          <w:ilvl w:val="1"/>
          <w:numId w:val="1"/>
        </w:numPr>
        <w:wordWrap w:val="0"/>
        <w:spacing w:line="360" w:lineRule="auto"/>
        <w:ind w:left="777" w:hanging="363"/>
        <w:jc w:val="left"/>
        <w:rPr>
          <w:rFonts w:hAnsi="宋体" w:cs="宋体"/>
          <w:szCs w:val="21"/>
        </w:rPr>
      </w:pPr>
      <w:r>
        <w:rPr>
          <w:rFonts w:hint="eastAsia" w:hAnsi="宋体" w:cs="宋体"/>
          <w:szCs w:val="21"/>
        </w:rPr>
        <w:t>质疑应当采用书面形式，质疑书应明确阐述磋商文件、磋商过程、成交结果中使自己合法权益受到损害的实质性内容，提供相关事实、明确的请求、必要的证明材料，便于有关单位调查、答复和处理。质疑联系部门及电话：招标管理办公室联系电话 0774-2816721。</w:t>
      </w:r>
    </w:p>
    <w:p>
      <w:pPr>
        <w:pStyle w:val="4"/>
        <w:wordWrap w:val="0"/>
        <w:spacing w:line="360" w:lineRule="exact"/>
        <w:jc w:val="left"/>
        <w:rPr>
          <w:rFonts w:hAnsi="宋体" w:cs="宋体"/>
        </w:rPr>
      </w:pPr>
    </w:p>
    <w:p>
      <w:pPr>
        <w:pStyle w:val="4"/>
        <w:spacing w:line="360" w:lineRule="exact"/>
        <w:rPr>
          <w:rFonts w:hAnsi="宋体" w:cs="宋体"/>
          <w:b/>
          <w:bCs/>
        </w:rPr>
      </w:pPr>
    </w:p>
    <w:p>
      <w:pPr>
        <w:pStyle w:val="4"/>
        <w:spacing w:line="360" w:lineRule="auto"/>
        <w:jc w:val="center"/>
        <w:outlineLvl w:val="1"/>
        <w:rPr>
          <w:rFonts w:hAnsi="宋体" w:cs="宋体"/>
          <w:b/>
          <w:bCs/>
          <w:sz w:val="24"/>
        </w:rPr>
      </w:pPr>
      <w:bookmarkStart w:id="11" w:name="_Toc27618"/>
      <w:bookmarkStart w:id="12" w:name="_Toc15765"/>
      <w:r>
        <w:rPr>
          <w:rFonts w:hint="eastAsia" w:hAnsi="宋体" w:cs="宋体"/>
          <w:b/>
          <w:bCs/>
          <w:sz w:val="24"/>
        </w:rPr>
        <w:t>（二）磋商文件的澄清和修改</w:t>
      </w:r>
      <w:bookmarkEnd w:id="11"/>
      <w:bookmarkEnd w:id="12"/>
    </w:p>
    <w:p>
      <w:pPr>
        <w:pStyle w:val="4"/>
        <w:numPr>
          <w:ilvl w:val="0"/>
          <w:numId w:val="1"/>
        </w:numPr>
        <w:spacing w:line="360" w:lineRule="auto"/>
        <w:outlineLvl w:val="2"/>
        <w:rPr>
          <w:rFonts w:hAnsi="宋体" w:cs="宋体"/>
          <w:b/>
        </w:rPr>
      </w:pPr>
      <w:bookmarkStart w:id="13" w:name="_Toc17602"/>
      <w:r>
        <w:rPr>
          <w:rFonts w:hint="eastAsia" w:hAnsi="宋体" w:cs="宋体"/>
          <w:b/>
        </w:rPr>
        <w:t>磋商文件的澄清和修改</w:t>
      </w:r>
      <w:bookmarkEnd w:id="13"/>
    </w:p>
    <w:p>
      <w:pPr>
        <w:pStyle w:val="4"/>
        <w:numPr>
          <w:ilvl w:val="1"/>
          <w:numId w:val="1"/>
        </w:numPr>
        <w:spacing w:line="360" w:lineRule="auto"/>
        <w:ind w:hanging="361"/>
        <w:rPr>
          <w:rFonts w:hAnsi="宋体" w:cs="宋体"/>
        </w:rPr>
      </w:pPr>
      <w:r>
        <w:rPr>
          <w:rFonts w:hint="eastAsia" w:hAnsi="宋体" w:cs="宋体"/>
        </w:rPr>
        <w:t>磋商供应商应认真审核《采购需求和说明》中的技术参数、配置及要求，如发现表中技术参数、配置有误或要求不合理的，磋商供应商必须在规定的时间前要求澄清，否则，视为磋商供应商已经完全认可本次项目的磋商文件，产生的后果由磋商供应商负责。</w:t>
      </w:r>
    </w:p>
    <w:p>
      <w:pPr>
        <w:pStyle w:val="4"/>
        <w:numPr>
          <w:ilvl w:val="1"/>
          <w:numId w:val="1"/>
        </w:numPr>
        <w:spacing w:line="360" w:lineRule="auto"/>
        <w:ind w:hanging="361"/>
        <w:rPr>
          <w:rFonts w:hAnsi="宋体" w:cs="宋体"/>
          <w:b/>
        </w:rPr>
      </w:pPr>
      <w:r>
        <w:rPr>
          <w:rFonts w:hint="eastAsia" w:hAnsi="宋体" w:cs="宋体"/>
        </w:rPr>
        <w:t>任何要求澄清磋商文件的磋商供应商，均应在磋商截止日期3天前的正常工作时间以书面形式（包括信函、传真等可以有形地表现所载内容的形式，下同）通知采购人，采购人将以书面形式予以答复。</w:t>
      </w:r>
    </w:p>
    <w:p>
      <w:pPr>
        <w:pStyle w:val="4"/>
        <w:numPr>
          <w:ilvl w:val="1"/>
          <w:numId w:val="1"/>
        </w:numPr>
        <w:spacing w:line="360" w:lineRule="auto"/>
        <w:ind w:hanging="361"/>
        <w:rPr>
          <w:rFonts w:hAnsi="宋体" w:cs="宋体"/>
        </w:rPr>
      </w:pPr>
      <w:r>
        <w:rPr>
          <w:rFonts w:hint="eastAsia" w:hAnsi="宋体" w:cs="宋体"/>
        </w:rPr>
        <w:t>采购人对已发出的磋商文件进行必要澄清或者修改的，在磋商文件要求提交响应文件截止时间5天前，在</w:t>
      </w:r>
      <w:r>
        <w:rPr>
          <w:rFonts w:hint="eastAsia" w:hAnsi="宋体" w:cs="宋体"/>
          <w:szCs w:val="21"/>
          <w:u w:val="single"/>
        </w:rPr>
        <w:t>广西壮族自治区桂东人民医院网（https://www.gxgdyy.com/）</w:t>
      </w:r>
      <w:r>
        <w:rPr>
          <w:rFonts w:hint="eastAsia" w:hAnsi="宋体" w:cs="宋体"/>
        </w:rPr>
        <w:t>上发布更正公告。该澄清或者修改的内容为磋商文件的组成部分。澄清或者修改的内容可能影响响应文件编制的，采购人在提交首次响应文件截止时间至少3个工作日前，以书面形式通知所有按规定获取磋商文件的供应商；不足3个工作日的，采购人相应顺延提交首次响应文件截止时间。</w:t>
      </w:r>
    </w:p>
    <w:p>
      <w:pPr>
        <w:pStyle w:val="4"/>
        <w:spacing w:line="360" w:lineRule="exact"/>
        <w:ind w:left="412"/>
        <w:rPr>
          <w:rFonts w:hAnsi="宋体" w:cs="宋体"/>
          <w:b/>
          <w:bCs/>
          <w:sz w:val="24"/>
        </w:rPr>
      </w:pPr>
    </w:p>
    <w:p>
      <w:pPr>
        <w:pStyle w:val="4"/>
        <w:spacing w:line="360" w:lineRule="auto"/>
        <w:jc w:val="center"/>
        <w:outlineLvl w:val="1"/>
        <w:rPr>
          <w:rFonts w:hAnsi="宋体" w:cs="宋体"/>
          <w:b/>
          <w:bCs/>
          <w:sz w:val="24"/>
        </w:rPr>
      </w:pPr>
      <w:bookmarkStart w:id="14" w:name="_Toc23156"/>
      <w:bookmarkStart w:id="15" w:name="_Toc15540"/>
      <w:r>
        <w:rPr>
          <w:rFonts w:hint="eastAsia" w:hAnsi="宋体" w:cs="宋体"/>
          <w:b/>
          <w:bCs/>
          <w:sz w:val="24"/>
        </w:rPr>
        <w:t>（三）响应文件的编制</w:t>
      </w:r>
      <w:bookmarkEnd w:id="14"/>
      <w:bookmarkEnd w:id="15"/>
    </w:p>
    <w:p>
      <w:pPr>
        <w:pStyle w:val="4"/>
        <w:numPr>
          <w:ilvl w:val="0"/>
          <w:numId w:val="1"/>
        </w:numPr>
        <w:spacing w:line="360" w:lineRule="auto"/>
        <w:outlineLvl w:val="2"/>
        <w:rPr>
          <w:rFonts w:hAnsi="宋体" w:cs="宋体"/>
          <w:b/>
        </w:rPr>
      </w:pPr>
      <w:bookmarkStart w:id="16" w:name="_Toc14623"/>
      <w:r>
        <w:rPr>
          <w:rFonts w:hint="eastAsia" w:hAnsi="宋体" w:cs="宋体"/>
          <w:b/>
        </w:rPr>
        <w:t>响应文件编写的注意事项</w:t>
      </w:r>
      <w:bookmarkEnd w:id="16"/>
    </w:p>
    <w:p>
      <w:pPr>
        <w:pStyle w:val="4"/>
        <w:numPr>
          <w:ilvl w:val="1"/>
          <w:numId w:val="1"/>
        </w:numPr>
        <w:spacing w:line="360" w:lineRule="auto"/>
        <w:ind w:hanging="361"/>
        <w:rPr>
          <w:rFonts w:hAnsi="宋体" w:cs="宋体"/>
        </w:rPr>
      </w:pPr>
      <w:r>
        <w:rPr>
          <w:rFonts w:hint="eastAsia" w:hAnsi="宋体" w:cs="宋体"/>
        </w:rPr>
        <w:t>磋商供应商应认真阅读磋商文件，按照磋商文件的要求编制响应文件。响应文件应对磋商文件提出要求和条件作出实质性响应。</w:t>
      </w:r>
    </w:p>
    <w:p>
      <w:pPr>
        <w:pStyle w:val="4"/>
        <w:numPr>
          <w:ilvl w:val="1"/>
          <w:numId w:val="1"/>
        </w:numPr>
        <w:spacing w:line="360" w:lineRule="auto"/>
        <w:ind w:hanging="361"/>
        <w:rPr>
          <w:rFonts w:hAnsi="宋体" w:cs="宋体"/>
        </w:rPr>
      </w:pPr>
      <w:r>
        <w:rPr>
          <w:rFonts w:hint="eastAsia" w:hAnsi="宋体" w:cs="宋体"/>
        </w:rPr>
        <w:t>对磋商文件提出的实质性要求和条件作出响应是指磋商供应商必须对磋商文件中涉及项目的价格、技术参数及性能配置、数量、售后服务、交货时间及其它要求、合同主要条款等内容作出响应。</w:t>
      </w:r>
    </w:p>
    <w:p>
      <w:pPr>
        <w:pStyle w:val="4"/>
        <w:numPr>
          <w:ilvl w:val="0"/>
          <w:numId w:val="1"/>
        </w:numPr>
        <w:spacing w:line="360" w:lineRule="auto"/>
        <w:outlineLvl w:val="2"/>
        <w:rPr>
          <w:rFonts w:hAnsi="宋体" w:cs="宋体"/>
          <w:b/>
        </w:rPr>
      </w:pPr>
      <w:bookmarkStart w:id="17" w:name="_Toc6534"/>
      <w:r>
        <w:rPr>
          <w:rFonts w:hint="eastAsia" w:hAnsi="宋体" w:cs="宋体"/>
          <w:b/>
        </w:rPr>
        <w:t>响应文件的文字及计量单位</w:t>
      </w:r>
      <w:bookmarkEnd w:id="17"/>
    </w:p>
    <w:p>
      <w:pPr>
        <w:pStyle w:val="4"/>
        <w:numPr>
          <w:ilvl w:val="1"/>
          <w:numId w:val="1"/>
        </w:numPr>
        <w:spacing w:line="360" w:lineRule="auto"/>
        <w:ind w:hanging="361"/>
        <w:rPr>
          <w:rFonts w:hAnsi="宋体" w:cs="宋体"/>
          <w:spacing w:val="-4"/>
        </w:rPr>
      </w:pPr>
      <w:r>
        <w:rPr>
          <w:rFonts w:hint="eastAsia" w:hAnsi="宋体" w:cs="宋体"/>
          <w:spacing w:val="-4"/>
        </w:rPr>
        <w:t>磋商供应商的响应文件以及磋商供应商与采购人的所有来往的函件统一使用中文（另有规定的除外）。</w:t>
      </w:r>
    </w:p>
    <w:p>
      <w:pPr>
        <w:pStyle w:val="4"/>
        <w:numPr>
          <w:ilvl w:val="1"/>
          <w:numId w:val="1"/>
        </w:numPr>
        <w:spacing w:line="360" w:lineRule="auto"/>
        <w:ind w:hanging="361"/>
        <w:rPr>
          <w:rFonts w:hAnsi="宋体" w:cs="宋体"/>
        </w:rPr>
      </w:pPr>
      <w:r>
        <w:rPr>
          <w:rFonts w:hint="eastAsia" w:hAnsi="宋体" w:cs="宋体"/>
        </w:rPr>
        <w:t>响应文件中使用的计量单位除磋商文件中有特殊规定外，一律使用法定计量单位。</w:t>
      </w:r>
    </w:p>
    <w:p>
      <w:pPr>
        <w:pStyle w:val="4"/>
        <w:numPr>
          <w:ilvl w:val="0"/>
          <w:numId w:val="1"/>
        </w:numPr>
        <w:spacing w:line="360" w:lineRule="auto"/>
        <w:outlineLvl w:val="2"/>
        <w:rPr>
          <w:rFonts w:hAnsi="宋体" w:cs="宋体"/>
          <w:b/>
        </w:rPr>
      </w:pPr>
      <w:bookmarkStart w:id="18" w:name="_Toc12302"/>
      <w:r>
        <w:rPr>
          <w:rFonts w:hint="eastAsia" w:hAnsi="宋体" w:cs="宋体"/>
          <w:b/>
        </w:rPr>
        <w:t>响应文件书写及签名、盖章要求</w:t>
      </w:r>
      <w:bookmarkEnd w:id="18"/>
    </w:p>
    <w:p>
      <w:pPr>
        <w:pStyle w:val="4"/>
        <w:numPr>
          <w:ilvl w:val="1"/>
          <w:numId w:val="1"/>
        </w:numPr>
        <w:spacing w:line="360" w:lineRule="auto"/>
        <w:ind w:hanging="361"/>
        <w:rPr>
          <w:rFonts w:hAnsi="宋体" w:cs="宋体"/>
        </w:rPr>
      </w:pPr>
      <w:r>
        <w:rPr>
          <w:rFonts w:hint="eastAsia" w:hAnsi="宋体" w:cs="宋体"/>
        </w:rPr>
        <w:t>响应文件的书写应清楚工整，修改处应由法定代表人签字或加盖公章。</w:t>
      </w:r>
    </w:p>
    <w:p>
      <w:pPr>
        <w:pStyle w:val="4"/>
        <w:numPr>
          <w:ilvl w:val="1"/>
          <w:numId w:val="1"/>
        </w:numPr>
        <w:spacing w:line="360" w:lineRule="auto"/>
        <w:ind w:hanging="361"/>
        <w:rPr>
          <w:rFonts w:hAnsi="宋体" w:cs="宋体"/>
        </w:rPr>
      </w:pPr>
      <w:r>
        <w:rPr>
          <w:rFonts w:hint="eastAsia" w:hAnsi="宋体" w:cs="宋体"/>
        </w:rPr>
        <w:t>未按要求填写或表达不清可能导致非唯一理解的响应文件可能将被认定为无效的响应文件。</w:t>
      </w:r>
    </w:p>
    <w:p>
      <w:pPr>
        <w:pStyle w:val="4"/>
        <w:numPr>
          <w:ilvl w:val="1"/>
          <w:numId w:val="1"/>
        </w:numPr>
        <w:spacing w:line="360" w:lineRule="auto"/>
        <w:ind w:hanging="361"/>
        <w:rPr>
          <w:rFonts w:hAnsi="宋体" w:cs="宋体"/>
        </w:rPr>
      </w:pPr>
      <w:r>
        <w:rPr>
          <w:rFonts w:hint="eastAsia" w:hAnsi="宋体" w:cs="宋体"/>
        </w:rPr>
        <w:t>响应文件应由法定代表人或委托代理人在凡规定签字、盖章处逐一签名、加盖公章。</w:t>
      </w:r>
    </w:p>
    <w:p>
      <w:pPr>
        <w:pStyle w:val="4"/>
        <w:numPr>
          <w:ilvl w:val="0"/>
          <w:numId w:val="1"/>
        </w:numPr>
        <w:spacing w:line="360" w:lineRule="auto"/>
        <w:outlineLvl w:val="2"/>
        <w:rPr>
          <w:rFonts w:hAnsi="宋体" w:cs="宋体"/>
          <w:b/>
        </w:rPr>
      </w:pPr>
      <w:bookmarkStart w:id="19" w:name="_Toc32368"/>
      <w:r>
        <w:rPr>
          <w:rFonts w:hint="eastAsia" w:hAnsi="宋体" w:cs="宋体"/>
          <w:b/>
        </w:rPr>
        <w:t>响应文件的构成</w:t>
      </w:r>
      <w:bookmarkEnd w:id="19"/>
    </w:p>
    <w:p>
      <w:pPr>
        <w:pStyle w:val="4"/>
        <w:numPr>
          <w:ilvl w:val="1"/>
          <w:numId w:val="1"/>
        </w:numPr>
        <w:spacing w:line="360" w:lineRule="auto"/>
        <w:ind w:hanging="361"/>
        <w:rPr>
          <w:rFonts w:hAnsi="宋体" w:cs="宋体"/>
        </w:rPr>
      </w:pPr>
      <w:r>
        <w:rPr>
          <w:rFonts w:hint="eastAsia" w:hAnsi="宋体" w:cs="宋体"/>
        </w:rPr>
        <w:t>磋商供应商编写的且在响应文件提交截止时间前提交的响应文件必须包括下列内容（</w:t>
      </w:r>
      <w:r>
        <w:rPr>
          <w:rFonts w:hint="eastAsia" w:hAnsi="宋体" w:cs="宋体"/>
          <w:b/>
          <w:bCs/>
        </w:rPr>
        <w:t>磋商供应商应按磋商文件第五章《响应文件（格式）》要求自编目录及标注页码编制响应文件</w:t>
      </w:r>
      <w:r>
        <w:rPr>
          <w:rFonts w:hint="eastAsia" w:hAnsi="宋体" w:cs="宋体"/>
        </w:rPr>
        <w:t>）：</w:t>
      </w:r>
    </w:p>
    <w:p>
      <w:pPr>
        <w:pStyle w:val="4"/>
        <w:numPr>
          <w:ilvl w:val="0"/>
          <w:numId w:val="2"/>
        </w:numPr>
        <w:spacing w:line="360" w:lineRule="auto"/>
        <w:ind w:left="420" w:leftChars="196" w:hanging="8" w:hangingChars="4"/>
        <w:rPr>
          <w:rFonts w:hAnsi="宋体" w:cs="宋体"/>
          <w:b/>
        </w:rPr>
      </w:pPr>
      <w:r>
        <w:rPr>
          <w:rFonts w:hint="eastAsia" w:hAnsi="宋体" w:cs="宋体"/>
          <w:b/>
        </w:rPr>
        <w:t>报价部分</w:t>
      </w:r>
    </w:p>
    <w:p>
      <w:pPr>
        <w:pStyle w:val="10"/>
        <w:spacing w:line="360" w:lineRule="auto"/>
        <w:ind w:firstLine="420" w:firstLineChars="200"/>
        <w:rPr>
          <w:rFonts w:hAnsi="宋体"/>
          <w:color w:val="auto"/>
          <w:kern w:val="2"/>
          <w:sz w:val="21"/>
          <w:szCs w:val="20"/>
        </w:rPr>
      </w:pPr>
      <w:r>
        <w:rPr>
          <w:rFonts w:hint="eastAsia" w:hAnsi="宋体"/>
          <w:color w:val="auto"/>
          <w:kern w:val="2"/>
          <w:sz w:val="21"/>
          <w:szCs w:val="20"/>
        </w:rPr>
        <w:t>（1）开标一览表（按磋商文件第五章格式填写）；</w:t>
      </w:r>
    </w:p>
    <w:p>
      <w:pPr>
        <w:pStyle w:val="10"/>
        <w:spacing w:line="360" w:lineRule="auto"/>
        <w:ind w:firstLine="420" w:firstLineChars="200"/>
        <w:rPr>
          <w:rFonts w:hAnsi="宋体"/>
          <w:color w:val="auto"/>
          <w:kern w:val="2"/>
          <w:sz w:val="21"/>
          <w:szCs w:val="20"/>
        </w:rPr>
      </w:pPr>
      <w:r>
        <w:rPr>
          <w:rFonts w:hint="eastAsia" w:hAnsi="宋体"/>
          <w:color w:val="auto"/>
          <w:kern w:val="2"/>
          <w:sz w:val="21"/>
          <w:szCs w:val="20"/>
        </w:rPr>
        <w:t>（2）报价明细表（按磋商文件第五章格式填写）；</w:t>
      </w:r>
    </w:p>
    <w:p>
      <w:pPr>
        <w:pStyle w:val="4"/>
        <w:spacing w:line="360" w:lineRule="auto"/>
        <w:ind w:left="420" w:leftChars="196" w:hanging="8" w:hangingChars="4"/>
        <w:rPr>
          <w:rFonts w:hAnsi="宋体" w:cs="宋体"/>
        </w:rPr>
      </w:pPr>
      <w:r>
        <w:rPr>
          <w:rFonts w:hint="eastAsia" w:hAnsi="宋体" w:cs="宋体"/>
          <w:b/>
        </w:rPr>
        <w:t>第二部分 商务及技术部分</w:t>
      </w:r>
    </w:p>
    <w:p>
      <w:pPr>
        <w:pStyle w:val="4"/>
        <w:numPr>
          <w:ilvl w:val="0"/>
          <w:numId w:val="3"/>
        </w:numPr>
        <w:spacing w:line="360" w:lineRule="auto"/>
        <w:ind w:left="420" w:leftChars="196" w:hanging="8" w:hangingChars="4"/>
        <w:rPr>
          <w:rFonts w:hAnsi="宋体" w:cs="宋体"/>
        </w:rPr>
      </w:pPr>
      <w:r>
        <w:rPr>
          <w:rFonts w:hint="eastAsia" w:hAnsi="宋体" w:cs="宋体"/>
        </w:rPr>
        <w:t>竞标函（按磋商文件第五章《竞标函格式》要求填写）；</w:t>
      </w:r>
    </w:p>
    <w:p>
      <w:pPr>
        <w:pStyle w:val="4"/>
        <w:numPr>
          <w:ilvl w:val="0"/>
          <w:numId w:val="3"/>
        </w:numPr>
        <w:spacing w:line="360" w:lineRule="auto"/>
        <w:ind w:left="420" w:leftChars="196" w:hanging="8" w:hangingChars="4"/>
        <w:rPr>
          <w:rFonts w:hAnsi="宋体" w:cs="宋体"/>
        </w:rPr>
      </w:pPr>
      <w:r>
        <w:rPr>
          <w:rFonts w:hint="eastAsia" w:hAnsi="宋体" w:cs="宋体"/>
        </w:rPr>
        <w:t>资格证明文件(按本须知第13条要求提供)；</w:t>
      </w:r>
    </w:p>
    <w:p>
      <w:pPr>
        <w:pStyle w:val="4"/>
        <w:numPr>
          <w:ilvl w:val="0"/>
          <w:numId w:val="3"/>
        </w:numPr>
        <w:spacing w:line="360" w:lineRule="auto"/>
        <w:ind w:left="420" w:leftChars="196" w:hanging="8" w:hangingChars="4"/>
        <w:rPr>
          <w:rFonts w:hAnsi="宋体" w:cs="宋体"/>
        </w:rPr>
      </w:pPr>
      <w:r>
        <w:rPr>
          <w:rFonts w:hint="eastAsia" w:hAnsi="宋体" w:cs="宋体"/>
        </w:rPr>
        <w:t>货物合格证明文件（按本须知第14条要求提供）；</w:t>
      </w:r>
    </w:p>
    <w:p>
      <w:pPr>
        <w:pStyle w:val="4"/>
        <w:numPr>
          <w:ilvl w:val="0"/>
          <w:numId w:val="3"/>
        </w:numPr>
        <w:spacing w:line="360" w:lineRule="auto"/>
        <w:ind w:left="420" w:leftChars="196" w:hanging="8" w:hangingChars="4"/>
        <w:rPr>
          <w:rFonts w:hAnsi="宋体" w:cs="宋体"/>
        </w:rPr>
      </w:pPr>
      <w:r>
        <w:rPr>
          <w:rFonts w:hint="eastAsia" w:hAnsi="宋体" w:cs="宋体"/>
        </w:rPr>
        <w:t>服务方案（按磋商文件第五章格式填写）；</w:t>
      </w:r>
    </w:p>
    <w:p>
      <w:pPr>
        <w:pStyle w:val="4"/>
        <w:numPr>
          <w:ilvl w:val="0"/>
          <w:numId w:val="4"/>
        </w:numPr>
        <w:spacing w:line="360" w:lineRule="auto"/>
        <w:ind w:left="420" w:leftChars="196" w:hanging="8" w:hangingChars="4"/>
        <w:rPr>
          <w:rFonts w:hAnsi="宋体" w:cs="宋体"/>
          <w:b/>
        </w:rPr>
      </w:pPr>
      <w:r>
        <w:rPr>
          <w:rFonts w:hint="eastAsia" w:hAnsi="宋体" w:cs="宋体"/>
          <w:b/>
        </w:rPr>
        <w:t>其他材料</w:t>
      </w:r>
    </w:p>
    <w:p>
      <w:pPr>
        <w:pStyle w:val="4"/>
        <w:spacing w:line="360" w:lineRule="auto"/>
        <w:ind w:left="403" w:leftChars="192"/>
        <w:rPr>
          <w:rFonts w:hAnsi="宋体" w:cs="宋体"/>
          <w:bCs/>
        </w:rPr>
      </w:pPr>
      <w:r>
        <w:rPr>
          <w:rFonts w:hint="eastAsia" w:hAnsi="宋体" w:cs="宋体"/>
          <w:bCs/>
        </w:rPr>
        <w:t>(1)第三章《采购需求和说明》中要求提供的其他文件</w:t>
      </w:r>
    </w:p>
    <w:p>
      <w:pPr>
        <w:pStyle w:val="4"/>
        <w:spacing w:line="360" w:lineRule="auto"/>
        <w:ind w:left="403" w:leftChars="192"/>
        <w:rPr>
          <w:rFonts w:hAnsi="宋体" w:cs="宋体"/>
          <w:bCs/>
        </w:rPr>
      </w:pPr>
      <w:r>
        <w:rPr>
          <w:rFonts w:hint="eastAsia" w:hAnsi="宋体" w:cs="宋体"/>
          <w:bCs/>
        </w:rPr>
        <w:t>(2)供应商需要说明的其他文件</w:t>
      </w:r>
    </w:p>
    <w:p>
      <w:pPr>
        <w:pStyle w:val="4"/>
        <w:numPr>
          <w:ilvl w:val="0"/>
          <w:numId w:val="1"/>
        </w:numPr>
        <w:spacing w:line="360" w:lineRule="auto"/>
        <w:outlineLvl w:val="2"/>
        <w:rPr>
          <w:rFonts w:hAnsi="宋体" w:cs="宋体"/>
          <w:b/>
        </w:rPr>
      </w:pPr>
      <w:bookmarkStart w:id="20" w:name="_Toc29131"/>
      <w:r>
        <w:rPr>
          <w:rFonts w:hint="eastAsia" w:hAnsi="宋体" w:cs="宋体"/>
          <w:b/>
        </w:rPr>
        <w:t>响应文件格式</w:t>
      </w:r>
      <w:bookmarkEnd w:id="20"/>
    </w:p>
    <w:p>
      <w:pPr>
        <w:pStyle w:val="4"/>
        <w:numPr>
          <w:ilvl w:val="1"/>
          <w:numId w:val="1"/>
        </w:numPr>
        <w:spacing w:line="360" w:lineRule="auto"/>
        <w:ind w:hanging="464"/>
        <w:rPr>
          <w:rFonts w:hAnsi="宋体" w:cs="宋体"/>
          <w:b/>
        </w:rPr>
      </w:pPr>
      <w:r>
        <w:rPr>
          <w:rFonts w:hint="eastAsia" w:hAnsi="宋体" w:cs="宋体"/>
          <w:bCs/>
        </w:rPr>
        <w:t>磋商供应商应按磋商文件提供的竞标函、报价明细表、技术规格偏离表等格式详细完整地填写各项内容。</w:t>
      </w:r>
    </w:p>
    <w:p>
      <w:pPr>
        <w:pStyle w:val="4"/>
        <w:spacing w:line="360" w:lineRule="auto"/>
        <w:rPr>
          <w:rFonts w:hAnsi="宋体" w:cs="宋体"/>
          <w:b/>
        </w:rPr>
      </w:pPr>
    </w:p>
    <w:p>
      <w:pPr>
        <w:pStyle w:val="4"/>
        <w:spacing w:line="360" w:lineRule="auto"/>
        <w:jc w:val="center"/>
        <w:outlineLvl w:val="1"/>
        <w:rPr>
          <w:rFonts w:hAnsi="宋体" w:cs="宋体"/>
          <w:b/>
          <w:bCs/>
          <w:sz w:val="24"/>
        </w:rPr>
      </w:pPr>
      <w:bookmarkStart w:id="21" w:name="_Toc17032"/>
      <w:bookmarkStart w:id="22" w:name="_Toc32487"/>
      <w:r>
        <w:rPr>
          <w:rFonts w:hint="eastAsia" w:hAnsi="宋体" w:cs="宋体"/>
          <w:b/>
          <w:bCs/>
          <w:sz w:val="24"/>
        </w:rPr>
        <w:t>（四）响应报价</w:t>
      </w:r>
      <w:bookmarkEnd w:id="21"/>
      <w:bookmarkEnd w:id="22"/>
    </w:p>
    <w:p>
      <w:pPr>
        <w:pStyle w:val="4"/>
        <w:numPr>
          <w:ilvl w:val="0"/>
          <w:numId w:val="1"/>
        </w:numPr>
        <w:spacing w:line="360" w:lineRule="auto"/>
        <w:outlineLvl w:val="2"/>
        <w:rPr>
          <w:rFonts w:hAnsi="宋体" w:cs="宋体"/>
          <w:b/>
        </w:rPr>
      </w:pPr>
      <w:bookmarkStart w:id="23" w:name="_Toc23035"/>
      <w:r>
        <w:rPr>
          <w:rFonts w:hint="eastAsia" w:hAnsi="宋体" w:cs="宋体"/>
          <w:b/>
        </w:rPr>
        <w:t>响应报价</w:t>
      </w:r>
      <w:bookmarkEnd w:id="23"/>
    </w:p>
    <w:p>
      <w:pPr>
        <w:pStyle w:val="4"/>
        <w:numPr>
          <w:ilvl w:val="1"/>
          <w:numId w:val="1"/>
        </w:numPr>
        <w:spacing w:line="360" w:lineRule="auto"/>
        <w:ind w:hanging="464"/>
        <w:rPr>
          <w:rFonts w:hAnsi="宋体" w:cs="宋体"/>
        </w:rPr>
      </w:pPr>
      <w:r>
        <w:rPr>
          <w:rFonts w:hint="eastAsia" w:hAnsi="宋体" w:cs="宋体"/>
        </w:rPr>
        <w:t>磋商供应商应在报价明细表上标明单价和总价。响应文件中报价明细表内容与响应文件中相应内容不一致的，以开标一览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磋商供应商原因引起的报价失误，并在磋商时被接受，其后果由磋商供应商自负。</w:t>
      </w:r>
    </w:p>
    <w:p>
      <w:pPr>
        <w:pStyle w:val="4"/>
        <w:numPr>
          <w:ilvl w:val="1"/>
          <w:numId w:val="1"/>
        </w:numPr>
        <w:spacing w:line="360" w:lineRule="auto"/>
        <w:ind w:hanging="464"/>
        <w:rPr>
          <w:rFonts w:hAnsi="宋体" w:cs="宋体"/>
        </w:rPr>
      </w:pPr>
      <w:r>
        <w:rPr>
          <w:rFonts w:hint="eastAsia" w:hAnsi="宋体" w:cs="宋体"/>
        </w:rPr>
        <w:t>磋商供应商应就《采购需求和说明》中的所有货物及其他全部内容作完整唯一报价。</w:t>
      </w:r>
      <w:r>
        <w:rPr>
          <w:rFonts w:hint="eastAsia" w:hAnsi="宋体" w:cs="宋体"/>
          <w:b/>
          <w:bCs/>
        </w:rPr>
        <w:t>（</w:t>
      </w:r>
      <w:r>
        <w:rPr>
          <w:rFonts w:hint="eastAsia" w:hAnsi="宋体" w:cs="宋体"/>
          <w:b/>
          <w:bCs/>
          <w:lang w:val="zh-CN"/>
        </w:rPr>
        <w:t>响应文件</w:t>
      </w:r>
      <w:r>
        <w:rPr>
          <w:rFonts w:hint="eastAsia" w:hAnsi="宋体" w:cs="宋体"/>
          <w:b/>
          <w:bCs/>
        </w:rPr>
        <w:t>有效报价不得高于采购预算价，磋商供应商应就第三章《采购需求和说明》中的所有货物、服务及其他全部内容作完整唯一报价。磋商供应商的最终报价不得高于</w:t>
      </w:r>
      <w:r>
        <w:rPr>
          <w:rFonts w:hint="eastAsia" w:hAnsi="宋体" w:cs="宋体"/>
          <w:b/>
          <w:bCs/>
          <w:lang w:val="zh-CN"/>
        </w:rPr>
        <w:t>响应文件</w:t>
      </w:r>
      <w:r>
        <w:rPr>
          <w:rFonts w:hint="eastAsia" w:hAnsi="宋体" w:cs="宋体"/>
          <w:b/>
          <w:bCs/>
        </w:rPr>
        <w:t>，否则作无效竞标处理）</w:t>
      </w:r>
    </w:p>
    <w:p>
      <w:pPr>
        <w:pStyle w:val="4"/>
        <w:numPr>
          <w:ilvl w:val="1"/>
          <w:numId w:val="1"/>
        </w:numPr>
        <w:spacing w:line="360" w:lineRule="auto"/>
        <w:ind w:hanging="464"/>
        <w:rPr>
          <w:rFonts w:hAnsi="宋体" w:cs="宋体"/>
          <w:bCs/>
          <w:kern w:val="0"/>
          <w:szCs w:val="21"/>
        </w:rPr>
      </w:pPr>
      <w:r>
        <w:rPr>
          <w:rFonts w:hint="eastAsia" w:hAnsi="宋体" w:cs="宋体"/>
        </w:rPr>
        <w:t xml:space="preserve">响应报价指货物、服务、随配附件、备品备件、工具、运抵指定交货地点、设备安装配件及附属材料、安装施工、调试验收等至验收合格所发生的各种费用和售后服务、保险费、税金及其他所有成本费用的总和。 </w:t>
      </w:r>
    </w:p>
    <w:p>
      <w:pPr>
        <w:pStyle w:val="4"/>
        <w:numPr>
          <w:ilvl w:val="1"/>
          <w:numId w:val="1"/>
        </w:numPr>
        <w:spacing w:line="360" w:lineRule="auto"/>
        <w:ind w:hanging="464"/>
        <w:rPr>
          <w:rFonts w:hAnsi="宋体" w:cs="宋体"/>
        </w:rPr>
      </w:pPr>
      <w:r>
        <w:rPr>
          <w:rFonts w:hint="eastAsia" w:hAnsi="宋体" w:cs="宋体"/>
        </w:rPr>
        <w:t>本项目采购预算价为：</w:t>
      </w:r>
      <w:r>
        <w:rPr>
          <w:rFonts w:hint="eastAsia" w:hAnsi="宋体" w:cs="宋体"/>
          <w:b/>
          <w:bCs/>
        </w:rPr>
        <w:t>肆拾玖万玖仟陆佰贰拾捌元整（￥499620.00元）</w:t>
      </w:r>
      <w:r>
        <w:rPr>
          <w:rFonts w:hint="eastAsia" w:hAnsi="宋体" w:cs="宋体"/>
          <w:bCs/>
          <w:kern w:val="0"/>
          <w:szCs w:val="21"/>
        </w:rPr>
        <w:t>，本项目以预算金额为最高限价。</w:t>
      </w:r>
    </w:p>
    <w:p>
      <w:pPr>
        <w:pStyle w:val="4"/>
        <w:numPr>
          <w:ilvl w:val="1"/>
          <w:numId w:val="1"/>
        </w:numPr>
        <w:spacing w:line="360" w:lineRule="auto"/>
        <w:ind w:hanging="464"/>
        <w:rPr>
          <w:rFonts w:hAnsi="宋体" w:cs="宋体"/>
        </w:rPr>
      </w:pPr>
      <w:r>
        <w:rPr>
          <w:rFonts w:hint="eastAsia" w:hAnsi="宋体" w:cs="宋体"/>
          <w:b/>
          <w:szCs w:val="21"/>
        </w:rPr>
        <w:t>本项目为两轮报价，第二轮报价为最终报价。</w:t>
      </w:r>
    </w:p>
    <w:p>
      <w:pPr>
        <w:pStyle w:val="4"/>
        <w:numPr>
          <w:ilvl w:val="1"/>
          <w:numId w:val="1"/>
        </w:numPr>
        <w:spacing w:line="360" w:lineRule="auto"/>
        <w:ind w:hanging="464"/>
        <w:rPr>
          <w:rFonts w:hAnsi="宋体" w:cs="宋体"/>
        </w:rPr>
      </w:pPr>
      <w:r>
        <w:rPr>
          <w:rFonts w:hint="eastAsia" w:hAnsi="宋体" w:cs="宋体"/>
          <w:bCs/>
          <w:kern w:val="0"/>
          <w:szCs w:val="21"/>
        </w:rPr>
        <w:t>竞标货币：</w:t>
      </w:r>
      <w:r>
        <w:rPr>
          <w:rFonts w:hint="eastAsia" w:hAnsi="宋体" w:cs="宋体"/>
        </w:rPr>
        <w:t>竞标应以人民币报价。</w:t>
      </w:r>
    </w:p>
    <w:p>
      <w:pPr>
        <w:pStyle w:val="4"/>
        <w:spacing w:line="360" w:lineRule="exact"/>
        <w:rPr>
          <w:rFonts w:hAnsi="宋体" w:cs="宋体"/>
          <w:b/>
        </w:rPr>
      </w:pPr>
    </w:p>
    <w:p>
      <w:pPr>
        <w:pStyle w:val="4"/>
        <w:spacing w:line="360" w:lineRule="auto"/>
        <w:jc w:val="center"/>
        <w:outlineLvl w:val="1"/>
        <w:rPr>
          <w:rFonts w:hAnsi="宋体" w:cs="宋体"/>
          <w:b/>
          <w:bCs/>
          <w:sz w:val="24"/>
        </w:rPr>
      </w:pPr>
      <w:bookmarkStart w:id="24" w:name="_Toc22966"/>
      <w:bookmarkStart w:id="25" w:name="_Toc1954"/>
      <w:r>
        <w:rPr>
          <w:rFonts w:hint="eastAsia" w:hAnsi="宋体" w:cs="宋体"/>
          <w:b/>
          <w:bCs/>
          <w:sz w:val="24"/>
        </w:rPr>
        <w:t>（五）磋商供应商资格、资信证明文件</w:t>
      </w:r>
      <w:bookmarkEnd w:id="24"/>
      <w:bookmarkEnd w:id="25"/>
    </w:p>
    <w:p>
      <w:pPr>
        <w:pStyle w:val="4"/>
        <w:numPr>
          <w:ilvl w:val="0"/>
          <w:numId w:val="1"/>
        </w:numPr>
        <w:spacing w:line="360" w:lineRule="auto"/>
        <w:outlineLvl w:val="2"/>
        <w:rPr>
          <w:rFonts w:hAnsi="宋体" w:cs="宋体"/>
          <w:b/>
        </w:rPr>
      </w:pPr>
      <w:bookmarkStart w:id="26" w:name="_Toc7953"/>
      <w:r>
        <w:rPr>
          <w:rFonts w:hint="eastAsia" w:hAnsi="宋体" w:cs="宋体"/>
          <w:b/>
        </w:rPr>
        <w:t>磋商供应商资格、资信证明文件</w:t>
      </w:r>
      <w:bookmarkEnd w:id="26"/>
    </w:p>
    <w:p>
      <w:pPr>
        <w:pStyle w:val="4"/>
        <w:numPr>
          <w:ilvl w:val="1"/>
          <w:numId w:val="1"/>
        </w:numPr>
        <w:spacing w:line="360" w:lineRule="auto"/>
        <w:ind w:hanging="464"/>
        <w:rPr>
          <w:rFonts w:hAnsi="宋体" w:cs="宋体"/>
          <w:b/>
        </w:rPr>
      </w:pPr>
      <w:r>
        <w:rPr>
          <w:rFonts w:hint="eastAsia" w:hAnsi="宋体" w:cs="宋体"/>
          <w:bCs/>
        </w:rPr>
        <w:t>资格、资信证明文件应包含</w:t>
      </w:r>
      <w:r>
        <w:rPr>
          <w:rFonts w:hint="eastAsia" w:hAnsi="宋体" w:cs="宋体"/>
        </w:rPr>
        <w:t>：</w:t>
      </w:r>
    </w:p>
    <w:p>
      <w:pPr>
        <w:pStyle w:val="10"/>
        <w:spacing w:line="360" w:lineRule="auto"/>
        <w:ind w:left="420" w:firstLine="363"/>
        <w:rPr>
          <w:rFonts w:hAnsi="宋体"/>
          <w:sz w:val="21"/>
          <w:szCs w:val="21"/>
        </w:rPr>
      </w:pPr>
      <w:r>
        <w:rPr>
          <w:rFonts w:hint="eastAsia" w:hAnsi="宋体"/>
          <w:sz w:val="21"/>
          <w:szCs w:val="21"/>
        </w:rPr>
        <w:t>(1)供应商为法人或者其他组织的提供其营业执照等证明文件（如营业执照或者事业单位法人证书或者执业许可证等），供应商为自然人的提供其身份证复印件</w:t>
      </w:r>
      <w:r>
        <w:rPr>
          <w:rFonts w:hint="eastAsia" w:hAnsi="宋体"/>
          <w:b/>
          <w:bCs/>
          <w:sz w:val="21"/>
          <w:szCs w:val="21"/>
        </w:rPr>
        <w:t>（必须提供，同时加盖竞标单位公章）；</w:t>
      </w:r>
    </w:p>
    <w:p>
      <w:pPr>
        <w:pStyle w:val="10"/>
        <w:spacing w:line="360" w:lineRule="auto"/>
        <w:ind w:left="420" w:firstLine="363"/>
        <w:rPr>
          <w:rFonts w:hAnsi="宋体"/>
          <w:sz w:val="21"/>
          <w:szCs w:val="21"/>
        </w:rPr>
      </w:pPr>
      <w:r>
        <w:rPr>
          <w:rFonts w:hint="eastAsia" w:hAnsi="宋体"/>
          <w:sz w:val="21"/>
          <w:szCs w:val="21"/>
        </w:rPr>
        <w:t>(2)法定代表人身份证明书原件、第二代身份证复印件（必须提供，同时要加盖竞标单位公章）；</w:t>
      </w:r>
    </w:p>
    <w:p>
      <w:pPr>
        <w:pStyle w:val="10"/>
        <w:spacing w:line="360" w:lineRule="auto"/>
        <w:ind w:left="420" w:firstLine="363"/>
        <w:rPr>
          <w:rFonts w:hAnsi="宋体"/>
          <w:b/>
          <w:bCs/>
          <w:sz w:val="21"/>
          <w:szCs w:val="21"/>
        </w:rPr>
      </w:pPr>
      <w:r>
        <w:rPr>
          <w:rFonts w:hint="eastAsia" w:hAnsi="宋体"/>
          <w:sz w:val="21"/>
          <w:szCs w:val="21"/>
        </w:rPr>
        <w:t>(</w:t>
      </w:r>
      <w:r>
        <w:rPr>
          <w:rFonts w:hAnsi="宋体"/>
          <w:sz w:val="21"/>
          <w:szCs w:val="21"/>
        </w:rPr>
        <w:t>3</w:t>
      </w:r>
      <w:r>
        <w:rPr>
          <w:rFonts w:hint="eastAsia" w:hAnsi="宋体"/>
          <w:sz w:val="21"/>
          <w:szCs w:val="21"/>
        </w:rPr>
        <w:t>)法定代表人授权委托书原件和委托代理人第二代身份证复印件</w:t>
      </w:r>
      <w:r>
        <w:rPr>
          <w:rFonts w:hint="eastAsia" w:hAnsi="宋体"/>
          <w:b/>
          <w:bCs/>
          <w:sz w:val="21"/>
          <w:szCs w:val="21"/>
        </w:rPr>
        <w:t>（委托代理时必须提供，同时加盖竞标单位公章）；</w:t>
      </w:r>
    </w:p>
    <w:p>
      <w:pPr>
        <w:pStyle w:val="10"/>
        <w:spacing w:line="360" w:lineRule="auto"/>
        <w:ind w:left="420" w:firstLine="363"/>
        <w:rPr>
          <w:rFonts w:hAnsi="宋体"/>
          <w:sz w:val="21"/>
          <w:szCs w:val="21"/>
        </w:rPr>
      </w:pPr>
      <w:r>
        <w:rPr>
          <w:rFonts w:hint="eastAsia" w:hAnsi="宋体"/>
          <w:sz w:val="21"/>
          <w:szCs w:val="21"/>
        </w:rPr>
        <w:t>(4)磋商保证金底单及基本账户开户许可证或《基本存款账户信息》凭证复印件；</w:t>
      </w:r>
      <w:r>
        <w:rPr>
          <w:rFonts w:hint="eastAsia" w:hAnsi="宋体"/>
          <w:b/>
          <w:bCs/>
          <w:sz w:val="21"/>
          <w:szCs w:val="21"/>
        </w:rPr>
        <w:t>（必须提供）</w:t>
      </w:r>
    </w:p>
    <w:p>
      <w:pPr>
        <w:pStyle w:val="10"/>
        <w:spacing w:line="360" w:lineRule="auto"/>
        <w:ind w:left="420" w:firstLine="363"/>
        <w:rPr>
          <w:rFonts w:hAnsi="宋体"/>
          <w:sz w:val="21"/>
          <w:szCs w:val="21"/>
        </w:rPr>
      </w:pPr>
      <w:r>
        <w:rPr>
          <w:rFonts w:hint="eastAsia" w:hAnsi="宋体"/>
          <w:sz w:val="21"/>
          <w:szCs w:val="21"/>
        </w:rPr>
        <w:t>(5)磋商供应商认为必要提供的声明及文件资料。</w:t>
      </w:r>
    </w:p>
    <w:p>
      <w:pPr>
        <w:pStyle w:val="4"/>
        <w:numPr>
          <w:ilvl w:val="1"/>
          <w:numId w:val="1"/>
        </w:numPr>
        <w:spacing w:line="360" w:lineRule="auto"/>
        <w:ind w:hanging="464"/>
        <w:rPr>
          <w:rFonts w:hAnsi="宋体" w:cs="宋体"/>
        </w:rPr>
      </w:pPr>
      <w:r>
        <w:rPr>
          <w:rFonts w:hint="eastAsia" w:hAnsi="宋体" w:cs="宋体"/>
        </w:rPr>
        <w:t>本次采购不接受联合体竞标</w:t>
      </w:r>
    </w:p>
    <w:p>
      <w:pPr>
        <w:pStyle w:val="4"/>
        <w:spacing w:line="360" w:lineRule="exact"/>
        <w:rPr>
          <w:rFonts w:hAnsi="宋体" w:cs="宋体"/>
          <w:b/>
        </w:rPr>
      </w:pPr>
    </w:p>
    <w:p>
      <w:pPr>
        <w:pStyle w:val="4"/>
        <w:spacing w:line="360" w:lineRule="auto"/>
        <w:jc w:val="center"/>
        <w:outlineLvl w:val="1"/>
        <w:rPr>
          <w:rFonts w:hAnsi="宋体" w:cs="宋体"/>
          <w:b/>
          <w:bCs/>
          <w:sz w:val="24"/>
        </w:rPr>
      </w:pPr>
      <w:bookmarkStart w:id="27" w:name="_Toc13893"/>
      <w:bookmarkStart w:id="28" w:name="_Toc23311"/>
      <w:r>
        <w:rPr>
          <w:rFonts w:hint="eastAsia" w:hAnsi="宋体" w:cs="宋体"/>
          <w:b/>
          <w:bCs/>
          <w:sz w:val="24"/>
        </w:rPr>
        <w:t>（六）货物合格证明文件</w:t>
      </w:r>
      <w:bookmarkEnd w:id="27"/>
      <w:bookmarkEnd w:id="28"/>
    </w:p>
    <w:p>
      <w:pPr>
        <w:pStyle w:val="4"/>
        <w:numPr>
          <w:ilvl w:val="0"/>
          <w:numId w:val="1"/>
        </w:numPr>
        <w:spacing w:line="360" w:lineRule="auto"/>
        <w:outlineLvl w:val="2"/>
        <w:rPr>
          <w:rFonts w:hAnsi="宋体" w:cs="宋体"/>
          <w:b/>
        </w:rPr>
      </w:pPr>
      <w:bookmarkStart w:id="29" w:name="_Toc13782"/>
      <w:r>
        <w:rPr>
          <w:rFonts w:hint="eastAsia" w:hAnsi="宋体" w:cs="宋体"/>
          <w:b/>
        </w:rPr>
        <w:t>货物合格和符合磋商文件规定的证明文件</w:t>
      </w:r>
      <w:bookmarkEnd w:id="29"/>
    </w:p>
    <w:p>
      <w:pPr>
        <w:pStyle w:val="4"/>
        <w:numPr>
          <w:ilvl w:val="1"/>
          <w:numId w:val="1"/>
        </w:numPr>
        <w:spacing w:line="360" w:lineRule="auto"/>
        <w:ind w:hanging="464"/>
        <w:rPr>
          <w:rFonts w:hAnsi="宋体" w:cs="宋体"/>
        </w:rPr>
      </w:pPr>
      <w:r>
        <w:rPr>
          <w:rFonts w:hint="eastAsia" w:hAnsi="宋体" w:cs="宋体"/>
        </w:rPr>
        <w:t>磋商供应商还应提交根据本项目要求提供证明货物和手续合格性的文件及资料。它们可以是：</w:t>
      </w:r>
    </w:p>
    <w:p>
      <w:pPr>
        <w:pStyle w:val="4"/>
        <w:numPr>
          <w:ilvl w:val="0"/>
          <w:numId w:val="5"/>
        </w:numPr>
        <w:spacing w:line="360" w:lineRule="auto"/>
        <w:rPr>
          <w:rFonts w:hAnsi="宋体" w:cs="宋体"/>
        </w:rPr>
      </w:pPr>
      <w:r>
        <w:rPr>
          <w:rFonts w:hint="eastAsia" w:hAnsi="宋体" w:cs="宋体"/>
        </w:rPr>
        <w:t>生产厂家的有关资格和生产许可证、产品实行强制标准认证的证书、产品质量检验证（如有，请提供复印件)；</w:t>
      </w:r>
    </w:p>
    <w:p>
      <w:pPr>
        <w:pStyle w:val="4"/>
        <w:numPr>
          <w:ilvl w:val="0"/>
          <w:numId w:val="5"/>
        </w:numPr>
        <w:spacing w:line="360" w:lineRule="auto"/>
        <w:rPr>
          <w:rFonts w:hAnsi="宋体" w:cs="宋体"/>
          <w:b/>
        </w:rPr>
      </w:pPr>
      <w:r>
        <w:rPr>
          <w:rFonts w:hint="eastAsia" w:hAnsi="宋体" w:cs="宋体"/>
        </w:rPr>
        <w:t>竞标产品说明书或产品彩页（如有，请提供复印件）；</w:t>
      </w:r>
    </w:p>
    <w:p>
      <w:pPr>
        <w:pStyle w:val="4"/>
        <w:numPr>
          <w:ilvl w:val="0"/>
          <w:numId w:val="5"/>
        </w:numPr>
        <w:spacing w:line="360" w:lineRule="auto"/>
        <w:rPr>
          <w:rFonts w:hAnsi="宋体" w:cs="宋体"/>
        </w:rPr>
      </w:pPr>
      <w:r>
        <w:rPr>
          <w:rFonts w:hint="eastAsia" w:hAnsi="宋体" w:cs="宋体"/>
        </w:rPr>
        <w:t>货物保证供货有效证明（如有，请提供复印件）；</w:t>
      </w:r>
    </w:p>
    <w:p>
      <w:pPr>
        <w:pStyle w:val="4"/>
        <w:numPr>
          <w:ilvl w:val="0"/>
          <w:numId w:val="5"/>
        </w:numPr>
        <w:spacing w:line="360" w:lineRule="auto"/>
        <w:rPr>
          <w:rFonts w:hAnsi="宋体" w:cs="宋体"/>
        </w:rPr>
      </w:pPr>
      <w:r>
        <w:rPr>
          <w:rFonts w:hint="eastAsia" w:hAnsi="宋体" w:cs="宋体"/>
        </w:rPr>
        <w:t>节能、环保方面的证明材料要求（如有，请提供复印件）；</w:t>
      </w:r>
    </w:p>
    <w:p>
      <w:pPr>
        <w:pStyle w:val="4"/>
        <w:numPr>
          <w:ilvl w:val="0"/>
          <w:numId w:val="5"/>
        </w:numPr>
        <w:spacing w:line="360" w:lineRule="auto"/>
        <w:rPr>
          <w:rFonts w:hAnsi="宋体" w:cs="宋体"/>
        </w:rPr>
      </w:pPr>
      <w:r>
        <w:rPr>
          <w:rFonts w:hint="eastAsia" w:hAnsi="宋体" w:cs="宋体"/>
        </w:rPr>
        <w:t>纳入自主创新产品的证明材料（如有，请提供复印件）；</w:t>
      </w:r>
    </w:p>
    <w:p>
      <w:pPr>
        <w:pStyle w:val="4"/>
        <w:numPr>
          <w:ilvl w:val="0"/>
          <w:numId w:val="5"/>
        </w:numPr>
        <w:spacing w:line="360" w:lineRule="auto"/>
        <w:rPr>
          <w:rFonts w:hAnsi="宋体" w:cs="宋体"/>
        </w:rPr>
      </w:pPr>
      <w:r>
        <w:rPr>
          <w:rFonts w:hint="eastAsia" w:hAnsi="宋体" w:cs="宋体"/>
        </w:rPr>
        <w:t>进口产品合法手续有效证明（如有，请提供复印件）；</w:t>
      </w:r>
    </w:p>
    <w:p>
      <w:pPr>
        <w:pStyle w:val="4"/>
        <w:numPr>
          <w:ilvl w:val="0"/>
          <w:numId w:val="5"/>
        </w:numPr>
        <w:spacing w:line="360" w:lineRule="auto"/>
        <w:rPr>
          <w:rFonts w:hAnsi="宋体" w:cs="宋体"/>
        </w:rPr>
      </w:pPr>
      <w:r>
        <w:rPr>
          <w:rFonts w:hint="eastAsia" w:hAnsi="宋体" w:cs="宋体"/>
        </w:rPr>
        <w:t>第三章《采购需求和说明》中明确要求的其他竞标产品合格证明文件</w:t>
      </w:r>
      <w:r>
        <w:rPr>
          <w:rFonts w:hint="eastAsia" w:hAnsi="宋体" w:cs="宋体"/>
          <w:b/>
        </w:rPr>
        <w:t>（如有要求则必须提供，同时加盖竞标单位公章）。</w:t>
      </w:r>
    </w:p>
    <w:p>
      <w:pPr>
        <w:pStyle w:val="4"/>
        <w:spacing w:line="360" w:lineRule="exact"/>
        <w:ind w:left="780"/>
        <w:rPr>
          <w:rFonts w:hAnsi="宋体" w:cs="宋体"/>
          <w:bCs/>
        </w:rPr>
      </w:pPr>
    </w:p>
    <w:p>
      <w:pPr>
        <w:pStyle w:val="4"/>
        <w:spacing w:line="360" w:lineRule="auto"/>
        <w:jc w:val="center"/>
        <w:outlineLvl w:val="1"/>
        <w:rPr>
          <w:rFonts w:hAnsi="宋体" w:cs="宋体"/>
          <w:b/>
          <w:bCs/>
          <w:sz w:val="24"/>
        </w:rPr>
      </w:pPr>
      <w:bookmarkStart w:id="30" w:name="_Toc27511"/>
      <w:bookmarkStart w:id="31" w:name="_Toc8305"/>
      <w:r>
        <w:rPr>
          <w:rFonts w:hint="eastAsia" w:hAnsi="宋体" w:cs="宋体"/>
          <w:b/>
          <w:bCs/>
          <w:sz w:val="24"/>
        </w:rPr>
        <w:t>（七）磋商保证金</w:t>
      </w:r>
      <w:bookmarkEnd w:id="30"/>
      <w:bookmarkEnd w:id="31"/>
    </w:p>
    <w:p>
      <w:pPr>
        <w:pStyle w:val="4"/>
        <w:numPr>
          <w:ilvl w:val="0"/>
          <w:numId w:val="1"/>
        </w:numPr>
        <w:spacing w:line="360" w:lineRule="auto"/>
        <w:outlineLvl w:val="2"/>
        <w:rPr>
          <w:rFonts w:hAnsi="宋体" w:cs="宋体"/>
          <w:b/>
        </w:rPr>
      </w:pPr>
      <w:bookmarkStart w:id="32" w:name="_Toc14912"/>
      <w:r>
        <w:rPr>
          <w:rFonts w:hint="eastAsia" w:hAnsi="宋体" w:cs="宋体"/>
          <w:b/>
        </w:rPr>
        <w:t>磋商保证金</w:t>
      </w:r>
      <w:bookmarkEnd w:id="32"/>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15.1.投标保证金为：499620元*1%=4900</w:t>
      </w:r>
      <w:r>
        <w:rPr>
          <w:rFonts w:hint="eastAsia" w:ascii="宋体" w:hAnsi="宋体" w:eastAsia="宋体" w:cs="宋体"/>
          <w:bCs/>
          <w:sz w:val="21"/>
          <w:szCs w:val="21"/>
          <w:lang w:val="en-US" w:eastAsia="zh-CN"/>
        </w:rPr>
        <w:t>.00</w:t>
      </w:r>
      <w:r>
        <w:rPr>
          <w:rFonts w:hint="eastAsia" w:ascii="宋体" w:hAnsi="宋体" w:eastAsia="宋体" w:cs="宋体"/>
          <w:bCs/>
          <w:sz w:val="21"/>
          <w:szCs w:val="21"/>
        </w:rPr>
        <w:t>元整（肆仟玖佰元整）。</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15.2.各投标人须在投标截止时间前将投标保证金从投标人本单位的银行账户上汇至广西壮族自治区桂东人民医院投标保证金指定账户（收款单位：广西壮族自治区桂东人民医院，账号：45001648652059500770，开户银行：中国建设银行股份有限公司梧州河东支行，备注中请填写“项目名称、项目编号、投标保证金”，投标保证金汇出单位及汇出账号必须与投标报名单位名称完全一致。</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投标人递交标书时，请将招投标保证金转账凭据（复印件）与投标文件同时送达招投标办公室，不接收现金，否则视为投标人未缴纳投标保证金。未按招标文件约定要求缴纳投标保证金的，其投标文件将不予接受。  </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（1）未中标（成交）供应商的投标（响应）保证金，自中标（成交）通知书发出之日起5个工作日内无息原路退还；</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（2）中标（成交）供应商的投标（响应）保证金，自经济合同签订之日起5个工作日内无息原路退还。</w:t>
      </w:r>
    </w:p>
    <w:p>
      <w:pPr>
        <w:pStyle w:val="4"/>
        <w:spacing w:line="360" w:lineRule="exact"/>
        <w:jc w:val="center"/>
        <w:rPr>
          <w:rFonts w:hAnsi="宋体" w:cs="宋体"/>
          <w:b/>
        </w:rPr>
      </w:pPr>
    </w:p>
    <w:p>
      <w:pPr>
        <w:pStyle w:val="4"/>
        <w:spacing w:line="360" w:lineRule="auto"/>
        <w:jc w:val="center"/>
        <w:outlineLvl w:val="1"/>
        <w:rPr>
          <w:rFonts w:hAnsi="宋体" w:cs="宋体"/>
          <w:b/>
          <w:bCs/>
          <w:sz w:val="24"/>
        </w:rPr>
      </w:pPr>
      <w:bookmarkStart w:id="33" w:name="_Toc6082"/>
      <w:bookmarkStart w:id="34" w:name="_Toc16546"/>
      <w:r>
        <w:rPr>
          <w:rFonts w:hint="eastAsia" w:hAnsi="宋体" w:cs="宋体"/>
          <w:b/>
          <w:bCs/>
          <w:sz w:val="24"/>
        </w:rPr>
        <w:t>（八）响应文件的密封、修改和撤回</w:t>
      </w:r>
      <w:bookmarkEnd w:id="33"/>
      <w:bookmarkEnd w:id="34"/>
    </w:p>
    <w:p>
      <w:pPr>
        <w:pStyle w:val="4"/>
        <w:numPr>
          <w:ilvl w:val="0"/>
          <w:numId w:val="1"/>
        </w:numPr>
        <w:spacing w:line="360" w:lineRule="auto"/>
        <w:outlineLvl w:val="2"/>
        <w:rPr>
          <w:rFonts w:hAnsi="宋体" w:cs="宋体"/>
          <w:b/>
        </w:rPr>
      </w:pPr>
      <w:bookmarkStart w:id="35" w:name="_Toc20479"/>
      <w:r>
        <w:rPr>
          <w:rFonts w:hint="eastAsia" w:hAnsi="宋体" w:cs="宋体"/>
          <w:b/>
        </w:rPr>
        <w:t>响应文件的密封与标记</w:t>
      </w:r>
      <w:bookmarkEnd w:id="35"/>
    </w:p>
    <w:p>
      <w:pPr>
        <w:widowControl/>
        <w:spacing w:line="360" w:lineRule="auto"/>
        <w:ind w:firstLine="420" w:firstLineChars="200"/>
        <w:jc w:val="left"/>
        <w:rPr>
          <w:rFonts w:ascii="宋体" w:hAnsi="宋体" w:cs="宋体"/>
          <w:szCs w:val="20"/>
        </w:rPr>
      </w:pPr>
      <w:r>
        <w:rPr>
          <w:rFonts w:hint="eastAsia" w:ascii="宋体" w:hAnsi="宋体" w:cs="宋体"/>
          <w:szCs w:val="20"/>
        </w:rPr>
        <w:t>16.1、响应文件份数：</w:t>
      </w:r>
      <w:r>
        <w:rPr>
          <w:rFonts w:hint="eastAsia" w:ascii="宋体" w:hAnsi="宋体" w:cs="宋体"/>
          <w:szCs w:val="21"/>
        </w:rPr>
        <w:t>正本一份（正反打印），</w:t>
      </w:r>
      <w:r>
        <w:rPr>
          <w:rFonts w:hint="eastAsia" w:ascii="宋体" w:hAnsi="宋体" w:cs="宋体"/>
          <w:szCs w:val="20"/>
        </w:rPr>
        <w:t xml:space="preserve">须完整提交。 </w:t>
      </w:r>
    </w:p>
    <w:p>
      <w:pPr>
        <w:widowControl/>
        <w:spacing w:line="360" w:lineRule="auto"/>
        <w:jc w:val="left"/>
        <w:rPr>
          <w:rFonts w:ascii="宋体" w:hAnsi="宋体" w:cs="宋体"/>
          <w:szCs w:val="20"/>
        </w:rPr>
      </w:pPr>
      <w:r>
        <w:rPr>
          <w:rFonts w:hint="eastAsia" w:ascii="宋体" w:hAnsi="宋体" w:cs="宋体"/>
          <w:szCs w:val="20"/>
        </w:rPr>
        <w:t xml:space="preserve">16.2、供应商应按供应商须知第 10.1 款响应文件的组成规定的顺序自编目录及页码并装订成册。 </w:t>
      </w:r>
    </w:p>
    <w:p>
      <w:pPr>
        <w:widowControl/>
        <w:spacing w:line="360" w:lineRule="auto"/>
        <w:jc w:val="left"/>
        <w:rPr>
          <w:rFonts w:ascii="宋体" w:hAnsi="宋体" w:cs="宋体"/>
          <w:szCs w:val="20"/>
        </w:rPr>
      </w:pPr>
      <w:r>
        <w:rPr>
          <w:rFonts w:hint="eastAsia" w:ascii="宋体" w:hAnsi="宋体" w:cs="宋体"/>
          <w:szCs w:val="20"/>
        </w:rPr>
        <w:t xml:space="preserve">响应文件的装订成册并标注页码，装订应牢固，不易拆散和换页。封面应注明“正本”字样，封面上写明项目名称、项目编号、供应商名称、供应商地址。 </w:t>
      </w:r>
    </w:p>
    <w:p>
      <w:pPr>
        <w:widowControl/>
        <w:spacing w:line="360" w:lineRule="auto"/>
        <w:ind w:firstLine="420" w:firstLineChars="200"/>
        <w:jc w:val="left"/>
        <w:rPr>
          <w:rFonts w:ascii="宋体" w:hAnsi="宋体" w:cs="宋体"/>
          <w:szCs w:val="20"/>
        </w:rPr>
      </w:pPr>
      <w:r>
        <w:rPr>
          <w:rFonts w:hint="eastAsia" w:ascii="宋体" w:hAnsi="宋体" w:cs="宋体"/>
          <w:szCs w:val="20"/>
        </w:rPr>
        <w:t xml:space="preserve">16.3、响应文件的正本需打印或用不褪色的墨水填写，响应文件正本除本磋商文件中规定的可提供复 </w:t>
      </w:r>
    </w:p>
    <w:p>
      <w:pPr>
        <w:widowControl/>
        <w:spacing w:line="360" w:lineRule="auto"/>
        <w:jc w:val="left"/>
        <w:rPr>
          <w:rFonts w:ascii="宋体" w:hAnsi="宋体" w:cs="宋体"/>
          <w:szCs w:val="20"/>
        </w:rPr>
      </w:pPr>
      <w:r>
        <w:rPr>
          <w:rFonts w:hint="eastAsia" w:ascii="宋体" w:hAnsi="宋体" w:cs="宋体"/>
          <w:szCs w:val="20"/>
        </w:rPr>
        <w:t>印件外均须提供原件。</w:t>
      </w:r>
    </w:p>
    <w:p>
      <w:pPr>
        <w:rPr>
          <w:rFonts w:ascii="宋体" w:hAnsi="宋体" w:cs="宋体"/>
        </w:rPr>
      </w:pPr>
    </w:p>
    <w:p>
      <w:pPr>
        <w:pStyle w:val="4"/>
        <w:numPr>
          <w:ilvl w:val="0"/>
          <w:numId w:val="1"/>
        </w:numPr>
        <w:spacing w:line="360" w:lineRule="auto"/>
        <w:outlineLvl w:val="2"/>
        <w:rPr>
          <w:rFonts w:hAnsi="宋体" w:cs="宋体"/>
          <w:b/>
        </w:rPr>
      </w:pPr>
      <w:bookmarkStart w:id="36" w:name="_Toc8333"/>
      <w:r>
        <w:rPr>
          <w:rFonts w:hint="eastAsia" w:hAnsi="宋体" w:cs="宋体"/>
          <w:b/>
        </w:rPr>
        <w:t>响应文件的修改及撤回</w:t>
      </w:r>
      <w:bookmarkEnd w:id="36"/>
    </w:p>
    <w:p>
      <w:pPr>
        <w:pStyle w:val="4"/>
        <w:numPr>
          <w:ilvl w:val="1"/>
          <w:numId w:val="1"/>
        </w:numPr>
        <w:spacing w:line="360" w:lineRule="auto"/>
        <w:ind w:hanging="464"/>
        <w:rPr>
          <w:rFonts w:hAnsi="宋体" w:cs="宋体"/>
        </w:rPr>
      </w:pPr>
      <w:r>
        <w:rPr>
          <w:rFonts w:hint="eastAsia" w:hAnsi="宋体" w:cs="宋体"/>
        </w:rPr>
        <w:t>磋商供应商在竞标截止时间前，对所提交的响应文件可以进行补充、修改或撤回。磋商供应商对所提交的补充、修改或撤回需向采购人出具书面通知。补充、修改的内容为响应文件的组成部分。</w:t>
      </w:r>
    </w:p>
    <w:p>
      <w:pPr>
        <w:pStyle w:val="4"/>
        <w:numPr>
          <w:ilvl w:val="1"/>
          <w:numId w:val="1"/>
        </w:numPr>
        <w:spacing w:line="360" w:lineRule="auto"/>
        <w:ind w:hanging="464"/>
        <w:rPr>
          <w:rFonts w:hAnsi="宋体" w:cs="宋体"/>
        </w:rPr>
      </w:pPr>
      <w:r>
        <w:rPr>
          <w:rFonts w:hint="eastAsia" w:hAnsi="宋体" w:cs="宋体"/>
        </w:rPr>
        <w:t>在竞标截止时间后，磋商供应商不得对其竞标做任何修改。</w:t>
      </w:r>
    </w:p>
    <w:p>
      <w:pPr>
        <w:pStyle w:val="4"/>
        <w:numPr>
          <w:ilvl w:val="1"/>
          <w:numId w:val="1"/>
        </w:numPr>
        <w:spacing w:line="360" w:lineRule="auto"/>
        <w:ind w:hanging="464"/>
        <w:rPr>
          <w:rFonts w:hAnsi="宋体" w:cs="宋体"/>
        </w:rPr>
      </w:pPr>
      <w:r>
        <w:rPr>
          <w:rFonts w:hint="eastAsia" w:hAnsi="宋体" w:cs="宋体"/>
        </w:rPr>
        <w:t>在磋商结束后的磋商有效期内，磋商供应商不得撤回其响应文件。</w:t>
      </w:r>
    </w:p>
    <w:p>
      <w:pPr>
        <w:pStyle w:val="4"/>
        <w:spacing w:line="360" w:lineRule="exact"/>
        <w:ind w:left="309"/>
        <w:rPr>
          <w:rFonts w:hAnsi="宋体" w:cs="宋体"/>
        </w:rPr>
      </w:pPr>
    </w:p>
    <w:p>
      <w:pPr>
        <w:pStyle w:val="4"/>
        <w:spacing w:line="360" w:lineRule="auto"/>
        <w:jc w:val="center"/>
        <w:outlineLvl w:val="1"/>
        <w:rPr>
          <w:rFonts w:hAnsi="宋体" w:cs="宋体"/>
          <w:b/>
          <w:bCs/>
          <w:sz w:val="24"/>
        </w:rPr>
      </w:pPr>
      <w:bookmarkStart w:id="37" w:name="_Toc16813"/>
      <w:bookmarkStart w:id="38" w:name="_Toc16484"/>
      <w:r>
        <w:rPr>
          <w:rFonts w:hint="eastAsia" w:hAnsi="宋体" w:cs="宋体"/>
          <w:b/>
          <w:bCs/>
          <w:sz w:val="24"/>
        </w:rPr>
        <w:t>（九）响应文件</w:t>
      </w:r>
      <w:bookmarkEnd w:id="37"/>
      <w:r>
        <w:rPr>
          <w:rFonts w:hint="eastAsia" w:hAnsi="宋体" w:cs="宋体"/>
          <w:b/>
          <w:bCs/>
          <w:sz w:val="24"/>
        </w:rPr>
        <w:t>提交及有效期</w:t>
      </w:r>
      <w:bookmarkEnd w:id="38"/>
    </w:p>
    <w:p>
      <w:pPr>
        <w:pStyle w:val="4"/>
        <w:numPr>
          <w:ilvl w:val="0"/>
          <w:numId w:val="1"/>
        </w:numPr>
        <w:spacing w:line="360" w:lineRule="auto"/>
        <w:outlineLvl w:val="2"/>
        <w:rPr>
          <w:rFonts w:hAnsi="宋体" w:cs="宋体"/>
          <w:b/>
        </w:rPr>
      </w:pPr>
      <w:bookmarkStart w:id="39" w:name="_Toc17416"/>
      <w:r>
        <w:rPr>
          <w:rFonts w:hint="eastAsia" w:hAnsi="宋体" w:cs="宋体"/>
          <w:b/>
        </w:rPr>
        <w:t>截止时间</w:t>
      </w:r>
      <w:bookmarkEnd w:id="39"/>
    </w:p>
    <w:p>
      <w:pPr>
        <w:pStyle w:val="4"/>
        <w:numPr>
          <w:ilvl w:val="1"/>
          <w:numId w:val="1"/>
        </w:numPr>
        <w:spacing w:line="360" w:lineRule="auto"/>
        <w:ind w:hanging="464"/>
        <w:rPr>
          <w:rFonts w:hAnsi="宋体" w:cs="宋体"/>
          <w:b/>
          <w:bCs/>
          <w:u w:val="single"/>
        </w:rPr>
      </w:pPr>
      <w:r>
        <w:rPr>
          <w:rFonts w:hint="eastAsia" w:hAnsi="宋体" w:cs="宋体"/>
        </w:rPr>
        <w:t>响应文件的递交不得迟于本须知前附表规定的</w:t>
      </w:r>
      <w:r>
        <w:rPr>
          <w:rFonts w:hint="eastAsia" w:hAnsi="宋体" w:cs="宋体"/>
          <w:b/>
        </w:rPr>
        <w:t>截止时间。</w:t>
      </w:r>
    </w:p>
    <w:p>
      <w:pPr>
        <w:pStyle w:val="4"/>
        <w:numPr>
          <w:ilvl w:val="1"/>
          <w:numId w:val="1"/>
        </w:numPr>
        <w:spacing w:line="360" w:lineRule="auto"/>
        <w:ind w:hanging="464"/>
        <w:rPr>
          <w:rFonts w:hAnsi="宋体" w:cs="宋体"/>
          <w:b/>
        </w:rPr>
      </w:pPr>
      <w:r>
        <w:rPr>
          <w:rFonts w:hint="eastAsia" w:hAnsi="宋体" w:cs="宋体"/>
        </w:rPr>
        <w:t>竞标人必须在递交响应文件截止时间前将响应文件递交至指定地点</w:t>
      </w:r>
      <w:r>
        <w:rPr>
          <w:rFonts w:hint="eastAsia" w:hAnsi="宋体" w:cs="宋体"/>
          <w:b/>
          <w:bCs/>
        </w:rPr>
        <w:t>，</w:t>
      </w:r>
      <w:r>
        <w:rPr>
          <w:rFonts w:hint="eastAsia" w:hAnsi="宋体" w:cs="宋体"/>
          <w:b/>
        </w:rPr>
        <w:t>超过提交截止时间上传的响应文件为无效响应文件，采购人将拒收。</w:t>
      </w:r>
    </w:p>
    <w:p>
      <w:pPr>
        <w:pStyle w:val="4"/>
        <w:numPr>
          <w:ilvl w:val="0"/>
          <w:numId w:val="1"/>
        </w:numPr>
        <w:spacing w:line="360" w:lineRule="auto"/>
        <w:outlineLvl w:val="2"/>
        <w:rPr>
          <w:rFonts w:hAnsi="宋体" w:cs="宋体"/>
          <w:b/>
        </w:rPr>
      </w:pPr>
      <w:bookmarkStart w:id="40" w:name="_Toc2193"/>
      <w:r>
        <w:rPr>
          <w:rFonts w:hint="eastAsia" w:hAnsi="宋体" w:cs="宋体"/>
          <w:b/>
        </w:rPr>
        <w:t>响应文件的有效期</w:t>
      </w:r>
      <w:bookmarkEnd w:id="40"/>
    </w:p>
    <w:p>
      <w:pPr>
        <w:pStyle w:val="4"/>
        <w:numPr>
          <w:ilvl w:val="1"/>
          <w:numId w:val="1"/>
        </w:numPr>
        <w:spacing w:line="360" w:lineRule="auto"/>
        <w:ind w:hanging="464"/>
        <w:rPr>
          <w:rFonts w:hAnsi="宋体" w:cs="宋体"/>
        </w:rPr>
      </w:pPr>
      <w:r>
        <w:rPr>
          <w:rFonts w:hint="eastAsia" w:hAnsi="宋体" w:cs="宋体"/>
        </w:rPr>
        <w:t>响应文件从磋商截止日期后60天内有效。</w:t>
      </w:r>
    </w:p>
    <w:p>
      <w:pPr>
        <w:pStyle w:val="4"/>
        <w:spacing w:line="360" w:lineRule="exact"/>
        <w:jc w:val="center"/>
        <w:rPr>
          <w:rFonts w:hAnsi="宋体" w:cs="宋体"/>
          <w:b/>
          <w:bCs/>
        </w:rPr>
      </w:pPr>
    </w:p>
    <w:p>
      <w:pPr>
        <w:pStyle w:val="4"/>
        <w:spacing w:line="360" w:lineRule="auto"/>
        <w:jc w:val="center"/>
        <w:outlineLvl w:val="1"/>
        <w:rPr>
          <w:rFonts w:hAnsi="宋体" w:cs="宋体"/>
          <w:b/>
          <w:bCs/>
          <w:sz w:val="24"/>
        </w:rPr>
      </w:pPr>
      <w:bookmarkStart w:id="41" w:name="_Toc8650"/>
      <w:bookmarkStart w:id="42" w:name="_Toc16444"/>
      <w:r>
        <w:rPr>
          <w:rFonts w:hint="eastAsia" w:hAnsi="宋体" w:cs="宋体"/>
          <w:b/>
          <w:bCs/>
          <w:sz w:val="24"/>
        </w:rPr>
        <w:t>（十）竞争性磋商（简称磋商）与评标</w:t>
      </w:r>
      <w:bookmarkEnd w:id="41"/>
      <w:bookmarkEnd w:id="42"/>
    </w:p>
    <w:p>
      <w:pPr>
        <w:pStyle w:val="4"/>
        <w:numPr>
          <w:ilvl w:val="0"/>
          <w:numId w:val="1"/>
        </w:numPr>
        <w:spacing w:line="360" w:lineRule="auto"/>
        <w:outlineLvl w:val="2"/>
        <w:rPr>
          <w:rFonts w:hAnsi="宋体" w:cs="宋体"/>
          <w:b/>
        </w:rPr>
      </w:pPr>
      <w:bookmarkStart w:id="43" w:name="_Toc25104"/>
      <w:r>
        <w:rPr>
          <w:rFonts w:hint="eastAsia" w:hAnsi="宋体" w:cs="宋体"/>
          <w:b/>
        </w:rPr>
        <w:t>磋商</w:t>
      </w:r>
      <w:bookmarkEnd w:id="43"/>
    </w:p>
    <w:p>
      <w:pPr>
        <w:spacing w:line="360" w:lineRule="auto"/>
        <w:ind w:firstLine="420"/>
        <w:rPr>
          <w:rFonts w:ascii="宋体" w:hAnsi="宋体" w:cs="宋体"/>
        </w:rPr>
      </w:pPr>
      <w:r>
        <w:rPr>
          <w:rFonts w:hint="eastAsia" w:ascii="宋体" w:hAnsi="宋体" w:cs="宋体"/>
        </w:rPr>
        <w:t>20.1根据要求组建竞争性评标小组（以下简称评标小组），评标小组由采购人代表和评审专家共三人以上（含三人）单数组成，其中评审专家人数不少于评标小组成员总数的2/3。评审专家在政府采购评审专家库内相关专业技术、经济等方面的专家名单中随机抽取。</w:t>
      </w:r>
    </w:p>
    <w:p>
      <w:pPr>
        <w:spacing w:line="360" w:lineRule="auto"/>
        <w:ind w:firstLine="420"/>
        <w:rPr>
          <w:rFonts w:ascii="宋体" w:hAnsi="宋体" w:cs="宋体"/>
        </w:rPr>
      </w:pPr>
      <w:r>
        <w:rPr>
          <w:rFonts w:hint="eastAsia" w:ascii="宋体" w:hAnsi="宋体" w:cs="宋体"/>
        </w:rPr>
        <w:t>20.2评审专家应当遵守评审工作纪律，不得泄露评审情况和评审中获悉的商业秘密。</w:t>
      </w:r>
    </w:p>
    <w:p>
      <w:pPr>
        <w:spacing w:line="360" w:lineRule="auto"/>
        <w:ind w:firstLine="420"/>
        <w:rPr>
          <w:rFonts w:ascii="宋体" w:hAnsi="宋体" w:cs="宋体"/>
        </w:rPr>
      </w:pPr>
      <w:r>
        <w:rPr>
          <w:rFonts w:hint="eastAsia" w:ascii="宋体" w:hAnsi="宋体" w:cs="宋体"/>
        </w:rPr>
        <w:t>20.3评标小组成员应当按照客观、公正、审慎的原则，根据磋商文件规定的评审程序、评审方法和评审标准进行独立评审。</w:t>
      </w:r>
    </w:p>
    <w:p>
      <w:pPr>
        <w:pStyle w:val="4"/>
        <w:numPr>
          <w:ilvl w:val="0"/>
          <w:numId w:val="1"/>
        </w:numPr>
        <w:spacing w:line="360" w:lineRule="auto"/>
        <w:outlineLvl w:val="2"/>
        <w:rPr>
          <w:rFonts w:hAnsi="宋体" w:cs="宋体"/>
          <w:b/>
        </w:rPr>
      </w:pPr>
      <w:bookmarkStart w:id="44" w:name="_Toc31773"/>
      <w:r>
        <w:rPr>
          <w:rFonts w:hint="eastAsia" w:hAnsi="宋体" w:cs="宋体"/>
          <w:b/>
        </w:rPr>
        <w:t>评标</w:t>
      </w:r>
      <w:bookmarkEnd w:id="44"/>
      <w:r>
        <w:rPr>
          <w:rFonts w:hint="eastAsia" w:hAnsi="宋体" w:cs="宋体"/>
          <w:b/>
        </w:rPr>
        <w:t xml:space="preserve"> </w:t>
      </w:r>
    </w:p>
    <w:p>
      <w:pPr>
        <w:pStyle w:val="4"/>
        <w:numPr>
          <w:ilvl w:val="1"/>
          <w:numId w:val="1"/>
        </w:numPr>
        <w:spacing w:line="360" w:lineRule="auto"/>
        <w:ind w:hanging="464"/>
        <w:rPr>
          <w:rFonts w:hAnsi="宋体" w:cs="宋体"/>
        </w:rPr>
      </w:pPr>
      <w:r>
        <w:rPr>
          <w:rFonts w:hint="eastAsia" w:hAnsi="宋体" w:cs="宋体"/>
        </w:rPr>
        <w:t>本采购项目的评标依据为磋商文件和响应文件。</w:t>
      </w:r>
    </w:p>
    <w:p>
      <w:pPr>
        <w:pStyle w:val="4"/>
        <w:numPr>
          <w:ilvl w:val="1"/>
          <w:numId w:val="1"/>
        </w:numPr>
        <w:spacing w:line="360" w:lineRule="auto"/>
        <w:ind w:hanging="464"/>
        <w:rPr>
          <w:rFonts w:hAnsi="宋体" w:cs="宋体"/>
        </w:rPr>
      </w:pPr>
      <w:r>
        <w:rPr>
          <w:rFonts w:hint="eastAsia" w:hAnsi="宋体" w:cs="宋体"/>
        </w:rPr>
        <w:t>本项目采用的评标方法：</w:t>
      </w:r>
      <w:r>
        <w:rPr>
          <w:rFonts w:hint="eastAsia" w:hAnsi="宋体" w:cs="宋体"/>
          <w:u w:val="single"/>
        </w:rPr>
        <w:t>综合评分法</w:t>
      </w:r>
      <w:r>
        <w:rPr>
          <w:rFonts w:hint="eastAsia" w:hAnsi="宋体" w:cs="宋体"/>
        </w:rPr>
        <w:t>。磋商小组成员、有关工作人员及其他知情人不得透露对响应文件的评审、比较和成交候选人的推荐情况以及与评标有关的其他情况。</w:t>
      </w:r>
    </w:p>
    <w:p>
      <w:pPr>
        <w:pStyle w:val="4"/>
        <w:numPr>
          <w:ilvl w:val="1"/>
          <w:numId w:val="1"/>
        </w:numPr>
        <w:spacing w:line="360" w:lineRule="auto"/>
        <w:ind w:hanging="464"/>
        <w:rPr>
          <w:rFonts w:hAnsi="宋体" w:cs="宋体"/>
        </w:rPr>
      </w:pPr>
      <w:r>
        <w:rPr>
          <w:rFonts w:hint="eastAsia" w:hAnsi="宋体" w:cs="宋体"/>
        </w:rPr>
        <w:t>供应商在评标过程中，所进行的力图影响评定公正性的活动，将可能导致其成交资格被取消。</w:t>
      </w:r>
    </w:p>
    <w:p>
      <w:pPr>
        <w:pStyle w:val="4"/>
        <w:numPr>
          <w:ilvl w:val="0"/>
          <w:numId w:val="1"/>
        </w:numPr>
        <w:spacing w:line="360" w:lineRule="auto"/>
        <w:outlineLvl w:val="2"/>
        <w:rPr>
          <w:rFonts w:hAnsi="宋体" w:cs="宋体"/>
        </w:rPr>
      </w:pPr>
      <w:bookmarkStart w:id="45" w:name="_Toc24901"/>
      <w:r>
        <w:rPr>
          <w:rFonts w:hint="eastAsia" w:hAnsi="宋体" w:cs="宋体"/>
          <w:b/>
        </w:rPr>
        <w:t>无效的响应文件</w:t>
      </w:r>
      <w:bookmarkEnd w:id="45"/>
    </w:p>
    <w:p>
      <w:pPr>
        <w:pStyle w:val="4"/>
        <w:numPr>
          <w:ilvl w:val="1"/>
          <w:numId w:val="1"/>
        </w:numPr>
        <w:spacing w:line="360" w:lineRule="auto"/>
        <w:ind w:hanging="464"/>
        <w:rPr>
          <w:rFonts w:hAnsi="宋体" w:cs="宋体"/>
        </w:rPr>
      </w:pPr>
      <w:r>
        <w:rPr>
          <w:rFonts w:hint="eastAsia" w:hAnsi="宋体" w:cs="宋体"/>
        </w:rPr>
        <w:t>响应文件如有下列情况之一，将会在评标中按照无效响应文件处理：</w:t>
      </w:r>
    </w:p>
    <w:p>
      <w:pPr>
        <w:widowControl/>
        <w:numPr>
          <w:ilvl w:val="0"/>
          <w:numId w:val="6"/>
        </w:numPr>
        <w:spacing w:line="360" w:lineRule="auto"/>
        <w:jc w:val="left"/>
        <w:rPr>
          <w:rFonts w:ascii="宋体" w:hAnsi="宋体" w:cs="宋体"/>
          <w:b/>
        </w:rPr>
      </w:pPr>
      <w:r>
        <w:rPr>
          <w:rFonts w:hint="eastAsia" w:ascii="宋体" w:hAnsi="宋体" w:cs="宋体"/>
          <w:b/>
        </w:rPr>
        <w:t>未按照磋商文件规定要求密封、签署、盖章的；</w:t>
      </w:r>
    </w:p>
    <w:p>
      <w:pPr>
        <w:widowControl/>
        <w:numPr>
          <w:ilvl w:val="0"/>
          <w:numId w:val="6"/>
        </w:numPr>
        <w:spacing w:line="360" w:lineRule="auto"/>
        <w:jc w:val="left"/>
        <w:rPr>
          <w:rFonts w:ascii="宋体" w:hAnsi="宋体" w:cs="宋体"/>
          <w:b/>
        </w:rPr>
      </w:pPr>
      <w:r>
        <w:rPr>
          <w:rFonts w:hint="eastAsia" w:ascii="宋体" w:hAnsi="宋体" w:cs="宋体"/>
          <w:b/>
        </w:rPr>
        <w:t>超越行政许可或者行政审批的经营范围的；</w:t>
      </w:r>
    </w:p>
    <w:p>
      <w:pPr>
        <w:widowControl/>
        <w:numPr>
          <w:ilvl w:val="0"/>
          <w:numId w:val="6"/>
        </w:numPr>
        <w:spacing w:line="360" w:lineRule="auto"/>
        <w:jc w:val="left"/>
        <w:rPr>
          <w:rFonts w:ascii="宋体" w:hAnsi="宋体" w:cs="宋体"/>
          <w:b/>
        </w:rPr>
      </w:pPr>
      <w:r>
        <w:rPr>
          <w:rFonts w:hint="eastAsia" w:ascii="宋体" w:hAnsi="宋体" w:cs="宋体"/>
          <w:b/>
        </w:rPr>
        <w:t>不具备磋商文件中规定资格要求的；</w:t>
      </w:r>
    </w:p>
    <w:p>
      <w:pPr>
        <w:widowControl/>
        <w:numPr>
          <w:ilvl w:val="0"/>
          <w:numId w:val="6"/>
        </w:numPr>
        <w:spacing w:line="360" w:lineRule="auto"/>
        <w:jc w:val="left"/>
        <w:rPr>
          <w:rFonts w:ascii="宋体" w:hAnsi="宋体" w:cs="宋体"/>
          <w:b/>
        </w:rPr>
      </w:pPr>
      <w:r>
        <w:rPr>
          <w:rFonts w:hint="eastAsia" w:ascii="宋体" w:hAnsi="宋体" w:cs="宋体"/>
          <w:b/>
        </w:rPr>
        <w:t>未按磋商文件要求交纳磋商保证金的；</w:t>
      </w:r>
    </w:p>
    <w:p>
      <w:pPr>
        <w:widowControl/>
        <w:numPr>
          <w:ilvl w:val="0"/>
          <w:numId w:val="6"/>
        </w:numPr>
        <w:spacing w:line="360" w:lineRule="auto"/>
        <w:jc w:val="left"/>
        <w:rPr>
          <w:rFonts w:ascii="宋体" w:hAnsi="宋体" w:cs="宋体"/>
          <w:b/>
        </w:rPr>
      </w:pPr>
      <w:r>
        <w:rPr>
          <w:rFonts w:hint="eastAsia" w:ascii="宋体" w:hAnsi="宋体" w:cs="宋体"/>
          <w:b/>
        </w:rPr>
        <w:t>不符合本须知第7.2条规定的实质性要求并且在磋商规定的时间内无法说明和补充的；</w:t>
      </w:r>
    </w:p>
    <w:p>
      <w:pPr>
        <w:widowControl/>
        <w:numPr>
          <w:ilvl w:val="0"/>
          <w:numId w:val="6"/>
        </w:numPr>
        <w:spacing w:line="360" w:lineRule="auto"/>
        <w:jc w:val="left"/>
        <w:rPr>
          <w:rFonts w:ascii="宋体" w:hAnsi="宋体" w:cs="宋体"/>
          <w:b/>
        </w:rPr>
      </w:pPr>
      <w:r>
        <w:rPr>
          <w:rFonts w:hint="eastAsia" w:ascii="宋体" w:hAnsi="宋体" w:cs="宋体"/>
          <w:b/>
          <w:bCs/>
        </w:rPr>
        <w:t>响应文件有效报价超出采购预算价的；</w:t>
      </w:r>
    </w:p>
    <w:p>
      <w:pPr>
        <w:widowControl/>
        <w:numPr>
          <w:ilvl w:val="0"/>
          <w:numId w:val="6"/>
        </w:numPr>
        <w:spacing w:line="360" w:lineRule="auto"/>
        <w:jc w:val="left"/>
        <w:rPr>
          <w:rFonts w:ascii="宋体" w:hAnsi="宋体" w:cs="宋体"/>
          <w:b/>
        </w:rPr>
      </w:pPr>
      <w:r>
        <w:rPr>
          <w:rFonts w:hint="eastAsia" w:ascii="宋体" w:hAnsi="宋体" w:cs="宋体"/>
          <w:b/>
        </w:rPr>
        <w:t>无最终报价或最终报价超出采购预算价的；</w:t>
      </w:r>
    </w:p>
    <w:p>
      <w:pPr>
        <w:widowControl/>
        <w:numPr>
          <w:ilvl w:val="0"/>
          <w:numId w:val="6"/>
        </w:numPr>
        <w:spacing w:line="360" w:lineRule="auto"/>
        <w:jc w:val="left"/>
        <w:rPr>
          <w:rFonts w:ascii="宋体" w:hAnsi="宋体" w:cs="宋体"/>
          <w:b/>
        </w:rPr>
      </w:pPr>
      <w:r>
        <w:rPr>
          <w:rFonts w:hint="eastAsia" w:ascii="宋体" w:hAnsi="宋体" w:cs="宋体"/>
          <w:b/>
        </w:rPr>
        <w:t>响应文件含有采购人不能接受的附加条件的；</w:t>
      </w:r>
    </w:p>
    <w:p>
      <w:pPr>
        <w:widowControl/>
        <w:numPr>
          <w:ilvl w:val="0"/>
          <w:numId w:val="6"/>
        </w:numPr>
        <w:spacing w:line="360" w:lineRule="auto"/>
        <w:jc w:val="left"/>
        <w:rPr>
          <w:rFonts w:ascii="宋体" w:hAnsi="宋体" w:cs="宋体"/>
          <w:b/>
        </w:rPr>
      </w:pPr>
      <w:r>
        <w:rPr>
          <w:rFonts w:hint="eastAsia" w:ascii="宋体" w:hAnsi="宋体" w:cs="宋体"/>
          <w:b/>
        </w:rPr>
        <w:t>不符合法律、法规的或未符合磋商文件规定的其他实质性要求的。</w:t>
      </w:r>
    </w:p>
    <w:p>
      <w:pPr>
        <w:pStyle w:val="4"/>
        <w:numPr>
          <w:ilvl w:val="0"/>
          <w:numId w:val="1"/>
        </w:numPr>
        <w:spacing w:line="360" w:lineRule="auto"/>
        <w:outlineLvl w:val="2"/>
        <w:rPr>
          <w:rFonts w:hAnsi="宋体" w:cs="宋体"/>
          <w:b/>
        </w:rPr>
      </w:pPr>
      <w:bookmarkStart w:id="46" w:name="_Toc3087"/>
      <w:r>
        <w:rPr>
          <w:rFonts w:hint="eastAsia" w:hAnsi="宋体" w:cs="宋体"/>
          <w:b/>
        </w:rPr>
        <w:t>废标</w:t>
      </w:r>
      <w:bookmarkEnd w:id="46"/>
    </w:p>
    <w:p>
      <w:pPr>
        <w:pStyle w:val="4"/>
        <w:numPr>
          <w:ilvl w:val="1"/>
          <w:numId w:val="1"/>
        </w:numPr>
        <w:spacing w:line="360" w:lineRule="auto"/>
        <w:ind w:hanging="464"/>
        <w:rPr>
          <w:rFonts w:hAnsi="宋体" w:cs="宋体"/>
        </w:rPr>
      </w:pPr>
      <w:r>
        <w:rPr>
          <w:rFonts w:hint="eastAsia" w:hAnsi="宋体" w:cs="宋体"/>
        </w:rPr>
        <w:t>磋商采购项目出现下列情形之一的，将予以废标：</w:t>
      </w:r>
    </w:p>
    <w:p>
      <w:pPr>
        <w:pStyle w:val="4"/>
        <w:numPr>
          <w:ilvl w:val="0"/>
          <w:numId w:val="7"/>
        </w:numPr>
        <w:spacing w:line="360" w:lineRule="auto"/>
        <w:rPr>
          <w:rFonts w:hAnsi="宋体" w:cs="宋体"/>
          <w:b/>
        </w:rPr>
      </w:pPr>
      <w:r>
        <w:rPr>
          <w:rFonts w:hint="eastAsia" w:hAnsi="宋体" w:cs="宋体"/>
          <w:b/>
        </w:rPr>
        <w:t>出现影响采购公正的违法、违规行为的；</w:t>
      </w:r>
    </w:p>
    <w:p>
      <w:pPr>
        <w:pStyle w:val="4"/>
        <w:numPr>
          <w:ilvl w:val="0"/>
          <w:numId w:val="7"/>
        </w:numPr>
        <w:spacing w:line="360" w:lineRule="auto"/>
        <w:rPr>
          <w:rFonts w:hAnsi="宋体" w:cs="宋体"/>
          <w:b/>
        </w:rPr>
      </w:pPr>
      <w:r>
        <w:rPr>
          <w:rFonts w:hint="eastAsia" w:hAnsi="宋体" w:cs="宋体"/>
          <w:b/>
        </w:rPr>
        <w:t>符合专业条件的供应商或对磋商文件实质性响应的供应商不足三家的；</w:t>
      </w:r>
    </w:p>
    <w:p>
      <w:pPr>
        <w:pStyle w:val="4"/>
        <w:numPr>
          <w:ilvl w:val="0"/>
          <w:numId w:val="7"/>
        </w:numPr>
        <w:spacing w:line="360" w:lineRule="auto"/>
        <w:rPr>
          <w:rFonts w:hAnsi="宋体" w:cs="宋体"/>
          <w:b/>
        </w:rPr>
      </w:pPr>
      <w:r>
        <w:rPr>
          <w:rFonts w:hint="eastAsia" w:hAnsi="宋体" w:cs="宋体"/>
          <w:b/>
        </w:rPr>
        <w:t>所有供应商的最终报价均超过了采购预算，采购单位不能支付的；</w:t>
      </w:r>
    </w:p>
    <w:p>
      <w:pPr>
        <w:pStyle w:val="4"/>
        <w:numPr>
          <w:ilvl w:val="0"/>
          <w:numId w:val="7"/>
        </w:numPr>
        <w:spacing w:line="360" w:lineRule="auto"/>
        <w:rPr>
          <w:rFonts w:hAnsi="宋体" w:cs="宋体"/>
          <w:b/>
        </w:rPr>
      </w:pPr>
      <w:r>
        <w:rPr>
          <w:rFonts w:hint="eastAsia" w:hAnsi="宋体" w:cs="宋体"/>
          <w:b/>
        </w:rPr>
        <w:t>采购任务取消的。</w:t>
      </w:r>
    </w:p>
    <w:p>
      <w:pPr>
        <w:pStyle w:val="4"/>
        <w:numPr>
          <w:ilvl w:val="1"/>
          <w:numId w:val="1"/>
        </w:numPr>
        <w:spacing w:line="360" w:lineRule="auto"/>
        <w:ind w:hanging="464"/>
        <w:rPr>
          <w:rFonts w:hAnsi="宋体" w:cs="宋体"/>
        </w:rPr>
      </w:pPr>
      <w:r>
        <w:rPr>
          <w:rFonts w:hint="eastAsia" w:hAnsi="宋体" w:cs="宋体"/>
        </w:rPr>
        <w:t>废标后，采购人将把废标理由通知所有竞标人。</w:t>
      </w:r>
    </w:p>
    <w:p>
      <w:pPr>
        <w:pStyle w:val="4"/>
        <w:spacing w:line="360" w:lineRule="auto"/>
        <w:jc w:val="center"/>
        <w:rPr>
          <w:rFonts w:hAnsi="宋体" w:cs="宋体"/>
          <w:sz w:val="24"/>
        </w:rPr>
      </w:pPr>
    </w:p>
    <w:p>
      <w:pPr>
        <w:pStyle w:val="4"/>
        <w:spacing w:line="360" w:lineRule="auto"/>
        <w:jc w:val="center"/>
        <w:outlineLvl w:val="1"/>
        <w:rPr>
          <w:rFonts w:hAnsi="宋体" w:cs="宋体"/>
          <w:b/>
          <w:bCs/>
          <w:sz w:val="24"/>
        </w:rPr>
      </w:pPr>
      <w:bookmarkStart w:id="47" w:name="_Toc24667"/>
      <w:bookmarkStart w:id="48" w:name="_Toc30091"/>
      <w:r>
        <w:rPr>
          <w:rFonts w:hint="eastAsia" w:hAnsi="宋体" w:cs="宋体"/>
          <w:b/>
          <w:bCs/>
          <w:sz w:val="24"/>
        </w:rPr>
        <w:t>（十一）磋商结果</w:t>
      </w:r>
      <w:bookmarkEnd w:id="47"/>
      <w:bookmarkEnd w:id="48"/>
    </w:p>
    <w:p>
      <w:pPr>
        <w:pStyle w:val="4"/>
        <w:numPr>
          <w:ilvl w:val="0"/>
          <w:numId w:val="1"/>
        </w:numPr>
        <w:spacing w:line="360" w:lineRule="auto"/>
        <w:outlineLvl w:val="2"/>
        <w:rPr>
          <w:rFonts w:hAnsi="宋体" w:cs="宋体"/>
          <w:b/>
        </w:rPr>
      </w:pPr>
      <w:bookmarkStart w:id="49" w:name="_Toc31530"/>
      <w:r>
        <w:rPr>
          <w:rFonts w:hint="eastAsia" w:hAnsi="宋体" w:cs="宋体"/>
          <w:b/>
        </w:rPr>
        <w:t>成交公告</w:t>
      </w:r>
      <w:bookmarkEnd w:id="49"/>
    </w:p>
    <w:p>
      <w:pPr>
        <w:pStyle w:val="4"/>
        <w:numPr>
          <w:ilvl w:val="1"/>
          <w:numId w:val="1"/>
        </w:numPr>
        <w:spacing w:line="360" w:lineRule="auto"/>
        <w:ind w:hanging="464"/>
        <w:rPr>
          <w:rFonts w:hAnsi="宋体" w:cs="宋体"/>
          <w:bCs/>
        </w:rPr>
      </w:pPr>
      <w:r>
        <w:rPr>
          <w:rFonts w:hint="eastAsia" w:hAnsi="宋体" w:cs="宋体"/>
          <w:bCs/>
        </w:rPr>
        <w:t>采购人应按照评标报告中推荐的成交候选供应商顺序确定成交供应商，也可授权磋商小组直接确定成交供应商。（本项目授权磋商小组直接确定成交供应商。）</w:t>
      </w:r>
    </w:p>
    <w:p>
      <w:pPr>
        <w:pStyle w:val="4"/>
        <w:numPr>
          <w:ilvl w:val="1"/>
          <w:numId w:val="1"/>
        </w:numPr>
        <w:spacing w:line="360" w:lineRule="auto"/>
        <w:ind w:hanging="464"/>
        <w:rPr>
          <w:rFonts w:hAnsi="宋体" w:cs="宋体"/>
        </w:rPr>
      </w:pPr>
      <w:r>
        <w:rPr>
          <w:rFonts w:hint="eastAsia" w:hAnsi="宋体" w:cs="宋体"/>
          <w:bCs/>
        </w:rPr>
        <w:t>磋商小组确定成交供应商后，采购人在2个工作日内发布成交结果。成交结果公告将在发布本项目竞争性磋商公告的同一网站上发布。</w:t>
      </w:r>
    </w:p>
    <w:p>
      <w:pPr>
        <w:pStyle w:val="4"/>
        <w:numPr>
          <w:ilvl w:val="0"/>
          <w:numId w:val="1"/>
        </w:numPr>
        <w:spacing w:line="360" w:lineRule="auto"/>
        <w:outlineLvl w:val="2"/>
        <w:rPr>
          <w:rFonts w:hAnsi="宋体" w:cs="宋体"/>
        </w:rPr>
      </w:pPr>
      <w:bookmarkStart w:id="50" w:name="_Toc25236"/>
      <w:r>
        <w:rPr>
          <w:rFonts w:hint="eastAsia" w:hAnsi="宋体" w:cs="宋体"/>
          <w:b/>
        </w:rPr>
        <w:t>成交通知</w:t>
      </w:r>
      <w:bookmarkEnd w:id="50"/>
    </w:p>
    <w:p>
      <w:pPr>
        <w:pStyle w:val="4"/>
        <w:numPr>
          <w:ilvl w:val="1"/>
          <w:numId w:val="1"/>
        </w:numPr>
        <w:spacing w:line="360" w:lineRule="auto"/>
        <w:ind w:hanging="464"/>
        <w:rPr>
          <w:rFonts w:hAnsi="宋体" w:cs="宋体"/>
          <w:b/>
        </w:rPr>
      </w:pPr>
      <w:r>
        <w:rPr>
          <w:rFonts w:hint="eastAsia" w:hAnsi="宋体" w:cs="宋体"/>
        </w:rPr>
        <w:t>发布成交公告的同时</w:t>
      </w:r>
      <w:r>
        <w:rPr>
          <w:rFonts w:hint="eastAsia" w:hAnsi="宋体" w:cs="宋体"/>
          <w:bCs/>
        </w:rPr>
        <w:t>，采购人将向成交供应商发出成交通知书</w:t>
      </w:r>
      <w:r>
        <w:rPr>
          <w:rFonts w:hint="eastAsia" w:hAnsi="宋体" w:cs="宋体"/>
        </w:rPr>
        <w:t>。</w:t>
      </w:r>
    </w:p>
    <w:p>
      <w:pPr>
        <w:pStyle w:val="4"/>
        <w:numPr>
          <w:ilvl w:val="1"/>
          <w:numId w:val="1"/>
        </w:numPr>
        <w:spacing w:line="360" w:lineRule="auto"/>
        <w:ind w:hanging="464"/>
        <w:rPr>
          <w:rFonts w:hAnsi="宋体" w:cs="宋体"/>
        </w:rPr>
      </w:pPr>
      <w:r>
        <w:rPr>
          <w:rFonts w:hint="eastAsia" w:hAnsi="宋体" w:cs="宋体"/>
        </w:rPr>
        <w:t>采购人无义务向落标的竞标人解释落标原因和退还响应文件。</w:t>
      </w:r>
    </w:p>
    <w:p>
      <w:pPr>
        <w:pStyle w:val="4"/>
        <w:numPr>
          <w:ilvl w:val="0"/>
          <w:numId w:val="1"/>
        </w:numPr>
        <w:spacing w:line="360" w:lineRule="auto"/>
        <w:outlineLvl w:val="2"/>
        <w:rPr>
          <w:rFonts w:hAnsi="宋体" w:cs="宋体"/>
          <w:b/>
        </w:rPr>
      </w:pPr>
      <w:bookmarkStart w:id="51" w:name="_Toc18434"/>
      <w:r>
        <w:rPr>
          <w:rFonts w:hint="eastAsia" w:hAnsi="宋体" w:cs="宋体"/>
          <w:b/>
        </w:rPr>
        <w:t>合同授予标准</w:t>
      </w:r>
      <w:bookmarkEnd w:id="51"/>
    </w:p>
    <w:p>
      <w:pPr>
        <w:pStyle w:val="4"/>
        <w:numPr>
          <w:ilvl w:val="1"/>
          <w:numId w:val="1"/>
        </w:numPr>
        <w:spacing w:line="360" w:lineRule="auto"/>
        <w:ind w:hanging="464"/>
        <w:rPr>
          <w:rFonts w:hAnsi="宋体" w:cs="宋体"/>
        </w:rPr>
      </w:pPr>
      <w:r>
        <w:rPr>
          <w:rFonts w:hint="eastAsia" w:hAnsi="宋体" w:cs="宋体"/>
        </w:rPr>
        <w:t>合同将授予被确定为实质上响应磋商文件要求，具备履行合同能力，综合评分最高的供应商。</w:t>
      </w:r>
    </w:p>
    <w:p>
      <w:pPr>
        <w:pStyle w:val="4"/>
        <w:numPr>
          <w:ilvl w:val="0"/>
          <w:numId w:val="1"/>
        </w:numPr>
        <w:spacing w:line="360" w:lineRule="auto"/>
        <w:outlineLvl w:val="2"/>
        <w:rPr>
          <w:rFonts w:hAnsi="宋体" w:cs="宋体"/>
          <w:b/>
        </w:rPr>
      </w:pPr>
      <w:bookmarkStart w:id="52" w:name="_Toc15145"/>
      <w:r>
        <w:rPr>
          <w:rFonts w:hint="eastAsia" w:hAnsi="宋体" w:cs="宋体"/>
          <w:b/>
        </w:rPr>
        <w:t>签订合同</w:t>
      </w:r>
      <w:bookmarkEnd w:id="52"/>
    </w:p>
    <w:p>
      <w:pPr>
        <w:pStyle w:val="4"/>
        <w:numPr>
          <w:ilvl w:val="1"/>
          <w:numId w:val="1"/>
        </w:numPr>
        <w:spacing w:line="360" w:lineRule="auto"/>
        <w:ind w:hanging="464"/>
        <w:rPr>
          <w:rFonts w:hAnsi="宋体" w:cs="宋体"/>
        </w:rPr>
      </w:pPr>
      <w:r>
        <w:rPr>
          <w:rFonts w:hint="eastAsia" w:hAnsi="宋体" w:cs="宋体"/>
        </w:rPr>
        <w:t>成交供应商收到成交通知书后，按成交通知书中规定的时间、地点与采购人签订合同。</w:t>
      </w:r>
    </w:p>
    <w:p>
      <w:pPr>
        <w:pStyle w:val="4"/>
        <w:numPr>
          <w:ilvl w:val="1"/>
          <w:numId w:val="1"/>
        </w:numPr>
        <w:spacing w:line="360" w:lineRule="auto"/>
        <w:ind w:hanging="464"/>
        <w:rPr>
          <w:rFonts w:hAnsi="宋体" w:cs="宋体"/>
        </w:rPr>
      </w:pPr>
      <w:r>
        <w:rPr>
          <w:rFonts w:hint="eastAsia" w:hAnsi="宋体" w:cs="宋体"/>
        </w:rPr>
        <w:t>如成交供应商不按成交通知书的规定签订合同（采购人原因除外），则按成交供应商违约处理，采购人将取消该中标决定，成交人应当依法承担法律责任。</w:t>
      </w:r>
    </w:p>
    <w:p>
      <w:pPr>
        <w:pStyle w:val="4"/>
        <w:numPr>
          <w:ilvl w:val="1"/>
          <w:numId w:val="1"/>
        </w:numPr>
        <w:spacing w:line="360" w:lineRule="auto"/>
        <w:ind w:hanging="464"/>
        <w:rPr>
          <w:rFonts w:hAnsi="宋体" w:cs="宋体"/>
        </w:rPr>
      </w:pPr>
      <w:r>
        <w:rPr>
          <w:rFonts w:hint="eastAsia" w:hAnsi="宋体" w:cs="宋体"/>
        </w:rPr>
        <w:t>成交供应商因不可抗力或者自身原因不能履行政府采购合同的，不再递补其他供应商作为成交供应商。</w:t>
      </w:r>
    </w:p>
    <w:p>
      <w:pPr>
        <w:spacing w:line="360" w:lineRule="auto"/>
        <w:rPr>
          <w:rFonts w:ascii="宋体" w:hAnsi="宋体" w:cs="宋体"/>
        </w:rPr>
      </w:pPr>
    </w:p>
    <w:p>
      <w:pPr>
        <w:pStyle w:val="4"/>
        <w:numPr>
          <w:ilvl w:val="0"/>
          <w:numId w:val="1"/>
        </w:numPr>
        <w:spacing w:line="360" w:lineRule="auto"/>
        <w:outlineLvl w:val="2"/>
        <w:rPr>
          <w:rFonts w:hAnsi="宋体" w:cs="宋体"/>
          <w:b/>
        </w:rPr>
      </w:pPr>
      <w:bookmarkStart w:id="53" w:name="_Toc21525"/>
      <w:r>
        <w:rPr>
          <w:rFonts w:hint="eastAsia" w:hAnsi="宋体" w:cs="宋体"/>
          <w:b/>
        </w:rPr>
        <w:t>合同履行中的追加</w:t>
      </w:r>
      <w:bookmarkEnd w:id="53"/>
    </w:p>
    <w:p>
      <w:pPr>
        <w:pStyle w:val="4"/>
        <w:numPr>
          <w:ilvl w:val="1"/>
          <w:numId w:val="1"/>
        </w:numPr>
        <w:spacing w:line="360" w:lineRule="auto"/>
        <w:ind w:hanging="464"/>
        <w:rPr>
          <w:rFonts w:hAnsi="宋体" w:cs="宋体"/>
        </w:rPr>
      </w:pPr>
      <w:r>
        <w:rPr>
          <w:rFonts w:hint="eastAsia" w:hAnsi="宋体" w:cs="宋体"/>
        </w:rPr>
        <w:t>采购合同履行中，采购单位如需追加与合同标的相同的货物、工程和服务的，经采购人同意，在不改变合同其他条款的前提下，可以与成交供应商协商签订补充的合同。但补充的合同涉及的采购金额不得超过原合同采购金额的10%。</w:t>
      </w:r>
    </w:p>
    <w:p>
      <w:pPr>
        <w:pStyle w:val="4"/>
        <w:numPr>
          <w:ilvl w:val="0"/>
          <w:numId w:val="1"/>
        </w:numPr>
        <w:spacing w:line="360" w:lineRule="auto"/>
        <w:outlineLvl w:val="2"/>
        <w:rPr>
          <w:rFonts w:hAnsi="宋体" w:cs="宋体"/>
          <w:b/>
        </w:rPr>
      </w:pPr>
      <w:bookmarkStart w:id="54" w:name="_Toc23580"/>
      <w:r>
        <w:rPr>
          <w:rFonts w:hint="eastAsia" w:hAnsi="宋体" w:cs="宋体"/>
          <w:b/>
        </w:rPr>
        <w:t>履约保证金</w:t>
      </w:r>
      <w:bookmarkEnd w:id="54"/>
    </w:p>
    <w:p>
      <w:pPr>
        <w:pStyle w:val="4"/>
        <w:spacing w:line="360" w:lineRule="auto"/>
        <w:ind w:firstLine="840" w:firstLineChars="400"/>
        <w:rPr>
          <w:rFonts w:hAnsi="宋体" w:cs="宋体"/>
        </w:rPr>
      </w:pPr>
      <w:r>
        <w:rPr>
          <w:rFonts w:hint="eastAsia" w:hAnsi="宋体" w:cs="宋体"/>
        </w:rPr>
        <w:t>履约保证金：无。</w:t>
      </w:r>
    </w:p>
    <w:p>
      <w:pPr>
        <w:pStyle w:val="4"/>
        <w:spacing w:line="360" w:lineRule="exact"/>
        <w:rPr>
          <w:rFonts w:hAnsi="宋体" w:cs="宋体"/>
          <w:b/>
          <w:bCs/>
        </w:rPr>
      </w:pPr>
    </w:p>
    <w:p>
      <w:pPr>
        <w:pStyle w:val="4"/>
        <w:spacing w:line="360" w:lineRule="auto"/>
        <w:jc w:val="center"/>
        <w:outlineLvl w:val="1"/>
        <w:rPr>
          <w:rFonts w:hAnsi="宋体" w:cs="宋体"/>
          <w:b/>
          <w:bCs/>
          <w:sz w:val="24"/>
        </w:rPr>
      </w:pPr>
      <w:bookmarkStart w:id="55" w:name="_Toc3541"/>
      <w:bookmarkStart w:id="56" w:name="_Toc4309"/>
      <w:r>
        <w:rPr>
          <w:rFonts w:hint="eastAsia" w:hAnsi="宋体" w:cs="宋体"/>
          <w:b/>
          <w:bCs/>
          <w:sz w:val="24"/>
        </w:rPr>
        <w:t>（十二）其他事项</w:t>
      </w:r>
      <w:bookmarkEnd w:id="55"/>
      <w:bookmarkEnd w:id="56"/>
    </w:p>
    <w:p>
      <w:pPr>
        <w:pStyle w:val="4"/>
        <w:numPr>
          <w:ilvl w:val="0"/>
          <w:numId w:val="1"/>
        </w:numPr>
        <w:spacing w:line="360" w:lineRule="auto"/>
        <w:outlineLvl w:val="2"/>
        <w:rPr>
          <w:rFonts w:hAnsi="宋体" w:cs="宋体"/>
          <w:b/>
        </w:rPr>
      </w:pPr>
      <w:bookmarkStart w:id="57" w:name="_Toc5292"/>
      <w:r>
        <w:rPr>
          <w:rFonts w:hint="eastAsia" w:hAnsi="宋体" w:cs="宋体"/>
          <w:b/>
        </w:rPr>
        <w:t>解释权</w:t>
      </w:r>
      <w:bookmarkEnd w:id="57"/>
    </w:p>
    <w:p>
      <w:pPr>
        <w:pStyle w:val="4"/>
        <w:numPr>
          <w:ilvl w:val="1"/>
          <w:numId w:val="1"/>
        </w:numPr>
        <w:spacing w:line="360" w:lineRule="auto"/>
        <w:ind w:hanging="464"/>
        <w:rPr>
          <w:rFonts w:hAnsi="宋体" w:cs="宋体"/>
        </w:rPr>
      </w:pPr>
      <w:r>
        <w:rPr>
          <w:rFonts w:hint="eastAsia" w:hAnsi="宋体" w:cs="宋体"/>
        </w:rPr>
        <w:t>本磋商文件是根据国家有关法律、法规以及政府采购管理有关规定和参照国际惯例编制，解释权属采购人。</w:t>
      </w:r>
    </w:p>
    <w:p>
      <w:pPr>
        <w:pStyle w:val="4"/>
        <w:spacing w:line="360" w:lineRule="exact"/>
        <w:rPr>
          <w:rFonts w:hAnsi="宋体" w:cs="宋体"/>
          <w:b/>
          <w:bCs/>
          <w:szCs w:val="24"/>
        </w:rPr>
      </w:pPr>
      <w:r>
        <w:rPr>
          <w:rFonts w:hint="eastAsia" w:hAnsi="宋体" w:cs="宋体"/>
        </w:rPr>
        <w:br w:type="page"/>
      </w:r>
      <w:bookmarkStart w:id="58" w:name="_Toc25283"/>
      <w:r>
        <w:rPr>
          <w:rFonts w:hint="eastAsia" w:hAnsi="宋体" w:cs="宋体"/>
          <w:b/>
          <w:bCs/>
          <w:szCs w:val="24"/>
        </w:rPr>
        <w:t>附件：有关法律法规对政府采购当事人应承担法律责任的规定</w:t>
      </w:r>
      <w:bookmarkEnd w:id="58"/>
    </w:p>
    <w:p>
      <w:pPr>
        <w:spacing w:line="360" w:lineRule="exact"/>
        <w:rPr>
          <w:rFonts w:ascii="宋体" w:hAnsi="宋体" w:cs="宋体"/>
          <w:b/>
          <w:bCs/>
        </w:rPr>
      </w:pPr>
    </w:p>
    <w:p>
      <w:pPr>
        <w:spacing w:line="360" w:lineRule="auto"/>
        <w:rPr>
          <w:rFonts w:ascii="宋体" w:hAnsi="宋体" w:cs="宋体"/>
          <w:b/>
          <w:bCs/>
        </w:rPr>
      </w:pPr>
      <w:r>
        <w:rPr>
          <w:rFonts w:hint="eastAsia" w:ascii="宋体" w:hAnsi="宋体" w:cs="宋体"/>
          <w:b/>
          <w:bCs/>
        </w:rPr>
        <w:t>《中华人民共和国政府采购法》有关规定：</w:t>
      </w:r>
    </w:p>
    <w:p>
      <w:pPr>
        <w:spacing w:line="360" w:lineRule="auto"/>
        <w:ind w:firstLine="420" w:firstLineChars="200"/>
        <w:rPr>
          <w:rFonts w:ascii="宋体" w:hAnsi="宋体" w:cs="宋体"/>
        </w:rPr>
      </w:pPr>
      <w:r>
        <w:rPr>
          <w:rFonts w:hint="eastAsia" w:ascii="宋体" w:hAnsi="宋体" w:cs="宋体"/>
        </w:rPr>
        <w:t xml:space="preserve">第三条 政府采购应当遵循公开透明原则、公平竞争原则、公正原则和诚实信用原则。 </w:t>
      </w:r>
    </w:p>
    <w:p>
      <w:pPr>
        <w:spacing w:line="360" w:lineRule="auto"/>
        <w:ind w:firstLine="420" w:firstLineChars="200"/>
        <w:rPr>
          <w:rFonts w:ascii="宋体" w:hAnsi="宋体" w:cs="宋体"/>
        </w:rPr>
      </w:pPr>
      <w:r>
        <w:rPr>
          <w:rFonts w:hint="eastAsia" w:ascii="宋体" w:hAnsi="宋体" w:cs="宋体"/>
        </w:rPr>
        <w:t>第二十二条 供应商参加政府采购活动应当具备下列条件：</w:t>
      </w:r>
    </w:p>
    <w:p>
      <w:pPr>
        <w:numPr>
          <w:ilvl w:val="0"/>
          <w:numId w:val="8"/>
        </w:numPr>
        <w:spacing w:line="360" w:lineRule="auto"/>
        <w:rPr>
          <w:rFonts w:ascii="宋体" w:hAnsi="宋体" w:cs="宋体"/>
        </w:rPr>
      </w:pPr>
      <w:r>
        <w:rPr>
          <w:rFonts w:hint="eastAsia" w:ascii="宋体" w:hAnsi="宋体" w:cs="宋体"/>
        </w:rPr>
        <w:t>具有独立承担民事责任的能力；</w:t>
      </w:r>
    </w:p>
    <w:p>
      <w:pPr>
        <w:numPr>
          <w:ilvl w:val="0"/>
          <w:numId w:val="8"/>
        </w:numPr>
        <w:spacing w:line="360" w:lineRule="auto"/>
        <w:rPr>
          <w:rFonts w:ascii="宋体" w:hAnsi="宋体" w:cs="宋体"/>
        </w:rPr>
      </w:pPr>
      <w:r>
        <w:rPr>
          <w:rFonts w:hint="eastAsia" w:ascii="宋体" w:hAnsi="宋体" w:cs="宋体"/>
        </w:rPr>
        <w:t>具有良好的商业信誉和健全的财务会计制度；</w:t>
      </w:r>
    </w:p>
    <w:p>
      <w:pPr>
        <w:numPr>
          <w:ilvl w:val="0"/>
          <w:numId w:val="8"/>
        </w:numPr>
        <w:spacing w:line="360" w:lineRule="auto"/>
        <w:rPr>
          <w:rFonts w:ascii="宋体" w:hAnsi="宋体" w:cs="宋体"/>
        </w:rPr>
      </w:pPr>
      <w:r>
        <w:rPr>
          <w:rFonts w:hint="eastAsia" w:ascii="宋体" w:hAnsi="宋体" w:cs="宋体"/>
        </w:rPr>
        <w:t>具有履行所必需的设备和专业技术能力；</w:t>
      </w:r>
    </w:p>
    <w:p>
      <w:pPr>
        <w:numPr>
          <w:ilvl w:val="0"/>
          <w:numId w:val="8"/>
        </w:numPr>
        <w:spacing w:line="360" w:lineRule="auto"/>
        <w:rPr>
          <w:rFonts w:ascii="宋体" w:hAnsi="宋体" w:cs="宋体"/>
        </w:rPr>
      </w:pPr>
      <w:r>
        <w:rPr>
          <w:rFonts w:hint="eastAsia" w:ascii="宋体" w:hAnsi="宋体" w:cs="宋体"/>
        </w:rPr>
        <w:t>有依法缴纳税收和社会保障资金的良好记录；</w:t>
      </w:r>
    </w:p>
    <w:p>
      <w:pPr>
        <w:numPr>
          <w:ilvl w:val="0"/>
          <w:numId w:val="8"/>
        </w:numPr>
        <w:spacing w:line="360" w:lineRule="auto"/>
        <w:rPr>
          <w:rFonts w:ascii="宋体" w:hAnsi="宋体" w:cs="宋体"/>
        </w:rPr>
      </w:pPr>
      <w:r>
        <w:rPr>
          <w:rFonts w:hint="eastAsia" w:ascii="宋体" w:hAnsi="宋体" w:cs="宋体"/>
        </w:rPr>
        <w:t>参加政府采购活动前三年内，在经营活动中没有重大违法记录；</w:t>
      </w:r>
    </w:p>
    <w:p>
      <w:pPr>
        <w:numPr>
          <w:ilvl w:val="0"/>
          <w:numId w:val="8"/>
        </w:numPr>
        <w:spacing w:line="360" w:lineRule="auto"/>
        <w:outlineLvl w:val="1"/>
        <w:rPr>
          <w:rFonts w:ascii="宋体" w:hAnsi="宋体" w:cs="宋体"/>
        </w:rPr>
      </w:pPr>
      <w:bookmarkStart w:id="59" w:name="_Toc5730"/>
      <w:r>
        <w:rPr>
          <w:rFonts w:hint="eastAsia" w:ascii="宋体" w:hAnsi="宋体" w:cs="宋体"/>
        </w:rPr>
        <w:t>法律、行政法规规定的其他条件。</w:t>
      </w:r>
      <w:bookmarkEnd w:id="59"/>
    </w:p>
    <w:p>
      <w:pPr>
        <w:spacing w:line="360" w:lineRule="auto"/>
        <w:ind w:firstLine="420" w:firstLineChars="200"/>
        <w:rPr>
          <w:rFonts w:ascii="宋体" w:hAnsi="宋体" w:cs="宋体"/>
        </w:rPr>
      </w:pPr>
      <w:r>
        <w:rPr>
          <w:rFonts w:hint="eastAsia" w:ascii="宋体" w:hAnsi="宋体" w:cs="宋体"/>
        </w:rPr>
        <w:t xml:space="preserve">第四十六条 采购人与中标、成交供应商应当在中标、成交通知书发出之日起三十日内，按照采购文件确定的事项签订政府采购合同。 </w:t>
      </w:r>
    </w:p>
    <w:p>
      <w:pPr>
        <w:spacing w:line="360" w:lineRule="auto"/>
        <w:ind w:firstLine="420" w:firstLineChars="200"/>
        <w:rPr>
          <w:rFonts w:ascii="宋体" w:hAnsi="宋体" w:cs="宋体"/>
        </w:rPr>
      </w:pPr>
      <w:r>
        <w:rPr>
          <w:rFonts w:hint="eastAsia" w:ascii="宋体" w:hAnsi="宋体" w:cs="宋体"/>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360" w:lineRule="auto"/>
        <w:ind w:firstLine="420" w:firstLineChars="200"/>
        <w:rPr>
          <w:rFonts w:ascii="宋体" w:hAnsi="宋体" w:cs="宋体"/>
        </w:rPr>
      </w:pPr>
      <w:r>
        <w:rPr>
          <w:rFonts w:hint="eastAsia" w:ascii="宋体" w:hAnsi="宋体" w:cs="宋体"/>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pPr>
        <w:spacing w:line="360" w:lineRule="auto"/>
        <w:ind w:firstLine="420" w:firstLineChars="200"/>
        <w:rPr>
          <w:rFonts w:ascii="宋体" w:hAnsi="宋体" w:cs="宋体"/>
        </w:rPr>
      </w:pPr>
      <w:r>
        <w:rPr>
          <w:rFonts w:hint="eastAsia" w:ascii="宋体" w:hAnsi="宋体" w:cs="宋体"/>
        </w:rPr>
        <w:t xml:space="preserve">供应商有前款第（一）至（五）项情形之一的，中标、成交无效。 </w:t>
      </w:r>
    </w:p>
    <w:p>
      <w:pPr>
        <w:spacing w:line="360" w:lineRule="auto"/>
        <w:ind w:firstLine="420" w:firstLineChars="200"/>
        <w:rPr>
          <w:rFonts w:ascii="宋体" w:hAnsi="宋体" w:cs="宋体"/>
          <w:b/>
          <w:bCs/>
        </w:rPr>
      </w:pPr>
      <w:r>
        <w:rPr>
          <w:rFonts w:hint="eastAsia" w:ascii="宋体" w:hAnsi="宋体" w:cs="宋体"/>
        </w:rPr>
        <w:t xml:space="preserve">第七十九条  政府采购当事人有本法第七十一条、第七十二条、第七十七条违法行为之一，给他人造成损失的，并应依照有关民事法律规定承担民事责任。 </w:t>
      </w:r>
    </w:p>
    <w:p>
      <w:pPr>
        <w:spacing w:line="360" w:lineRule="auto"/>
        <w:rPr>
          <w:rFonts w:ascii="宋体" w:hAnsi="宋体" w:cs="宋体"/>
          <w:b/>
          <w:bCs/>
        </w:rPr>
      </w:pPr>
      <w:r>
        <w:rPr>
          <w:rFonts w:hint="eastAsia" w:ascii="宋体" w:hAnsi="宋体" w:cs="宋体"/>
          <w:b/>
          <w:bCs/>
        </w:rPr>
        <w:t>《中华人民共和国民法典》有关规定：</w:t>
      </w:r>
    </w:p>
    <w:p>
      <w:pPr>
        <w:spacing w:line="360" w:lineRule="auto"/>
        <w:ind w:firstLine="420" w:firstLineChars="200"/>
        <w:rPr>
          <w:rFonts w:ascii="宋体" w:hAnsi="宋体" w:cs="宋体"/>
        </w:rPr>
      </w:pPr>
      <w:r>
        <w:rPr>
          <w:rFonts w:hint="eastAsia" w:ascii="宋体" w:hAnsi="宋体" w:cs="宋体"/>
        </w:rPr>
        <w:t>第五百条：当事人在订立合同过程中有下列情形之一，给对方造成损失的，应当承担损害赔偿责任：</w:t>
      </w:r>
    </w:p>
    <w:p>
      <w:pPr>
        <w:spacing w:line="360" w:lineRule="auto"/>
        <w:ind w:firstLine="420" w:firstLineChars="200"/>
        <w:rPr>
          <w:rFonts w:ascii="宋体" w:hAnsi="宋体" w:cs="宋体"/>
        </w:rPr>
      </w:pPr>
      <w:r>
        <w:rPr>
          <w:rFonts w:hint="eastAsia" w:ascii="宋体" w:hAnsi="宋体" w:cs="宋体"/>
        </w:rPr>
        <w:t>（一）假借订立合同，恶意进行磋商；</w:t>
      </w:r>
    </w:p>
    <w:p>
      <w:pPr>
        <w:pStyle w:val="7"/>
        <w:spacing w:line="360" w:lineRule="auto"/>
        <w:rPr>
          <w:rFonts w:cs="宋体"/>
          <w:bCs w:val="0"/>
          <w:szCs w:val="24"/>
        </w:rPr>
      </w:pPr>
      <w:r>
        <w:rPr>
          <w:rFonts w:hint="eastAsia" w:cs="宋体"/>
          <w:bCs w:val="0"/>
          <w:szCs w:val="24"/>
        </w:rPr>
        <w:t>（二）故意隐瞒与订立合同有关的重要事实或者提供虚假情况；</w:t>
      </w:r>
    </w:p>
    <w:p>
      <w:pPr>
        <w:pStyle w:val="4"/>
        <w:spacing w:line="360" w:lineRule="auto"/>
        <w:ind w:firstLine="420" w:firstLineChars="200"/>
        <w:rPr>
          <w:rFonts w:hAnsi="宋体" w:cs="宋体"/>
          <w:b/>
          <w:bCs/>
        </w:rPr>
      </w:pPr>
      <w:r>
        <w:rPr>
          <w:rFonts w:hint="eastAsia" w:hAnsi="宋体" w:cs="宋体"/>
        </w:rPr>
        <w:t>（三）有其他违背诚实信用原则的行为。</w:t>
      </w:r>
    </w:p>
    <w:p>
      <w:pPr>
        <w:pStyle w:val="11"/>
      </w:pPr>
    </w:p>
    <w:p>
      <w:pPr>
        <w:widowControl/>
        <w:jc w:val="center"/>
        <w:rPr>
          <w:rFonts w:cs="宋体"/>
          <w:b/>
          <w:bCs/>
          <w:kern w:val="0"/>
          <w:sz w:val="38"/>
          <w:szCs w:val="38"/>
        </w:rPr>
      </w:pPr>
      <w:r>
        <w:rPr>
          <w:rFonts w:hint="eastAsia" w:cs="宋体"/>
          <w:b/>
          <w:bCs/>
          <w:kern w:val="0"/>
          <w:sz w:val="38"/>
          <w:szCs w:val="38"/>
        </w:rPr>
        <w:t>附：响应文件的组成及格式模板</w:t>
      </w:r>
    </w:p>
    <w:p>
      <w:pPr>
        <w:pStyle w:val="4"/>
        <w:jc w:val="center"/>
        <w:rPr>
          <w:rFonts w:hAnsi="宋体" w:cs="宋体"/>
          <w:sz w:val="36"/>
          <w:szCs w:val="36"/>
        </w:rPr>
      </w:pPr>
    </w:p>
    <w:p>
      <w:pPr>
        <w:pStyle w:val="4"/>
        <w:jc w:val="center"/>
        <w:rPr>
          <w:rFonts w:hAnsi="宋体" w:cs="宋体"/>
          <w:sz w:val="36"/>
          <w:szCs w:val="36"/>
        </w:rPr>
      </w:pPr>
    </w:p>
    <w:p>
      <w:pPr>
        <w:pStyle w:val="4"/>
        <w:ind w:firstLine="2160" w:firstLineChars="600"/>
        <w:rPr>
          <w:rFonts w:hAnsi="宋体" w:cs="宋体"/>
          <w:sz w:val="36"/>
          <w:szCs w:val="36"/>
        </w:rPr>
      </w:pPr>
      <w:r>
        <w:rPr>
          <w:rFonts w:hint="eastAsia" w:hAnsi="宋体" w:cs="宋体"/>
          <w:sz w:val="36"/>
          <w:szCs w:val="36"/>
        </w:rPr>
        <w:t xml:space="preserve">                           </w:t>
      </w:r>
    </w:p>
    <w:p>
      <w:pPr>
        <w:pStyle w:val="4"/>
        <w:jc w:val="center"/>
        <w:rPr>
          <w:rFonts w:hAnsi="宋体" w:cs="宋体"/>
          <w:sz w:val="36"/>
          <w:szCs w:val="36"/>
        </w:rPr>
      </w:pPr>
    </w:p>
    <w:p>
      <w:pPr>
        <w:pStyle w:val="4"/>
        <w:jc w:val="center"/>
        <w:rPr>
          <w:rFonts w:hAnsi="宋体" w:cs="宋体"/>
          <w:sz w:val="36"/>
          <w:szCs w:val="36"/>
        </w:rPr>
      </w:pPr>
    </w:p>
    <w:p>
      <w:pPr>
        <w:pStyle w:val="4"/>
        <w:jc w:val="center"/>
        <w:rPr>
          <w:rFonts w:hAnsi="宋体" w:cs="宋体"/>
          <w:sz w:val="36"/>
          <w:szCs w:val="36"/>
        </w:rPr>
      </w:pPr>
    </w:p>
    <w:p>
      <w:pPr>
        <w:pStyle w:val="4"/>
        <w:jc w:val="center"/>
        <w:rPr>
          <w:rFonts w:hAnsi="宋体" w:cs="宋体"/>
          <w:b/>
          <w:sz w:val="84"/>
          <w:szCs w:val="84"/>
        </w:rPr>
      </w:pPr>
      <w:r>
        <w:rPr>
          <w:rFonts w:hint="eastAsia" w:hAnsi="宋体" w:cs="宋体"/>
          <w:b/>
          <w:sz w:val="84"/>
          <w:szCs w:val="84"/>
        </w:rPr>
        <w:t>响 应 文 件</w:t>
      </w:r>
    </w:p>
    <w:p>
      <w:pPr>
        <w:pStyle w:val="4"/>
        <w:jc w:val="center"/>
        <w:rPr>
          <w:rFonts w:hAnsi="宋体" w:cs="宋体"/>
          <w:sz w:val="36"/>
          <w:szCs w:val="36"/>
        </w:rPr>
      </w:pPr>
    </w:p>
    <w:p>
      <w:pPr>
        <w:pStyle w:val="4"/>
        <w:jc w:val="center"/>
        <w:rPr>
          <w:rFonts w:hAnsi="宋体" w:cs="宋体"/>
          <w:sz w:val="36"/>
          <w:szCs w:val="36"/>
        </w:rPr>
      </w:pPr>
    </w:p>
    <w:p>
      <w:pPr>
        <w:pStyle w:val="4"/>
        <w:ind w:firstLine="904" w:firstLineChars="300"/>
        <w:jc w:val="left"/>
        <w:rPr>
          <w:rFonts w:hAnsi="宋体" w:cs="宋体"/>
          <w:b/>
          <w:sz w:val="30"/>
          <w:szCs w:val="30"/>
          <w:u w:val="single"/>
        </w:rPr>
      </w:pPr>
      <w:r>
        <w:rPr>
          <w:rFonts w:hint="eastAsia" w:hAnsi="宋体" w:cs="宋体"/>
          <w:b/>
          <w:sz w:val="30"/>
          <w:szCs w:val="30"/>
        </w:rPr>
        <w:t>项目名称：</w:t>
      </w:r>
      <w:r>
        <w:rPr>
          <w:rFonts w:hint="eastAsia" w:ascii="宋体" w:hAnsi="宋体" w:cs="宋体"/>
          <w:szCs w:val="21"/>
          <w:u w:val="single"/>
        </w:rPr>
        <w:t>广西壮族自治区桂东人民医院贺州市八步区人民医院导视标识</w:t>
      </w:r>
    </w:p>
    <w:p>
      <w:pPr>
        <w:pStyle w:val="4"/>
        <w:rPr>
          <w:rFonts w:hAnsi="宋体" w:cs="宋体"/>
          <w:b/>
          <w:sz w:val="30"/>
          <w:szCs w:val="30"/>
          <w:u w:val="single"/>
        </w:rPr>
      </w:pPr>
    </w:p>
    <w:p>
      <w:pPr>
        <w:pStyle w:val="5"/>
        <w:tabs>
          <w:tab w:val="right" w:leader="dot" w:pos="9628"/>
        </w:tabs>
        <w:spacing w:line="360" w:lineRule="exact"/>
        <w:ind w:firstLine="904" w:firstLineChars="300"/>
        <w:jc w:val="left"/>
        <w:rPr>
          <w:rFonts w:ascii="宋体" w:hAnsi="宋体" w:cs="宋体"/>
          <w:b/>
          <w:sz w:val="30"/>
          <w:szCs w:val="30"/>
          <w:u w:val="single"/>
        </w:rPr>
      </w:pPr>
      <w:r>
        <w:rPr>
          <w:rFonts w:hint="eastAsia" w:ascii="宋体" w:hAnsi="宋体" w:cs="宋体"/>
          <w:b/>
          <w:sz w:val="30"/>
          <w:szCs w:val="30"/>
        </w:rPr>
        <w:t>项目编号：</w:t>
      </w:r>
      <w:r>
        <w:rPr>
          <w:rFonts w:hint="eastAsia" w:ascii="宋体" w:hAnsi="宋体" w:cs="宋体"/>
          <w:b/>
          <w:sz w:val="30"/>
          <w:szCs w:val="30"/>
          <w:u w:val="single"/>
        </w:rPr>
        <w:t xml:space="preserve">                          </w:t>
      </w:r>
      <w:r>
        <w:rPr>
          <w:rFonts w:hint="eastAsia" w:ascii="宋体" w:hAnsi="宋体" w:cs="宋体"/>
          <w:b/>
          <w:sz w:val="30"/>
          <w:szCs w:val="30"/>
        </w:rPr>
        <w:t xml:space="preserve">           </w:t>
      </w:r>
    </w:p>
    <w:p>
      <w:pPr>
        <w:pStyle w:val="4"/>
        <w:ind w:firstLine="452" w:firstLineChars="150"/>
        <w:rPr>
          <w:rFonts w:hAnsi="宋体" w:cs="宋体"/>
          <w:b/>
          <w:sz w:val="30"/>
          <w:szCs w:val="30"/>
          <w:u w:val="single"/>
        </w:rPr>
      </w:pPr>
    </w:p>
    <w:p>
      <w:pPr>
        <w:pStyle w:val="4"/>
        <w:jc w:val="center"/>
        <w:rPr>
          <w:rFonts w:hAnsi="宋体" w:cs="宋体"/>
          <w:sz w:val="32"/>
          <w:szCs w:val="32"/>
          <w:u w:val="single"/>
        </w:rPr>
      </w:pPr>
    </w:p>
    <w:p>
      <w:pPr>
        <w:pStyle w:val="4"/>
        <w:jc w:val="center"/>
        <w:rPr>
          <w:rFonts w:hAnsi="宋体" w:cs="宋体"/>
          <w:sz w:val="32"/>
          <w:szCs w:val="32"/>
          <w:u w:val="single"/>
        </w:rPr>
      </w:pPr>
    </w:p>
    <w:p>
      <w:pPr>
        <w:pStyle w:val="4"/>
        <w:ind w:firstLine="1054" w:firstLineChars="350"/>
        <w:rPr>
          <w:rFonts w:hAnsi="宋体" w:cs="宋体"/>
          <w:sz w:val="32"/>
          <w:szCs w:val="32"/>
          <w:u w:val="single"/>
        </w:rPr>
      </w:pPr>
      <w:r>
        <w:rPr>
          <w:rFonts w:hint="eastAsia" w:hAnsi="宋体" w:cs="宋体"/>
          <w:b/>
          <w:sz w:val="30"/>
          <w:szCs w:val="30"/>
        </w:rPr>
        <w:t>供应商名称：</w:t>
      </w:r>
      <w:r>
        <w:rPr>
          <w:rFonts w:hint="eastAsia" w:hAnsi="宋体" w:cs="宋体"/>
          <w:sz w:val="32"/>
          <w:szCs w:val="32"/>
          <w:u w:val="single"/>
        </w:rPr>
        <w:t xml:space="preserve">                                         </w:t>
      </w:r>
    </w:p>
    <w:p>
      <w:pPr>
        <w:pStyle w:val="4"/>
        <w:ind w:firstLine="800" w:firstLineChars="250"/>
        <w:rPr>
          <w:rFonts w:hAnsi="宋体" w:cs="宋体"/>
          <w:sz w:val="32"/>
          <w:szCs w:val="32"/>
        </w:rPr>
      </w:pPr>
    </w:p>
    <w:p>
      <w:pPr>
        <w:pStyle w:val="4"/>
        <w:ind w:firstLine="480" w:firstLineChars="150"/>
        <w:rPr>
          <w:rFonts w:hAnsi="宋体" w:cs="宋体"/>
          <w:sz w:val="32"/>
          <w:szCs w:val="32"/>
        </w:rPr>
      </w:pPr>
    </w:p>
    <w:p>
      <w:pPr>
        <w:pStyle w:val="4"/>
        <w:ind w:firstLine="1054" w:firstLineChars="350"/>
        <w:rPr>
          <w:rFonts w:hAnsi="宋体" w:cs="宋体"/>
          <w:b/>
          <w:sz w:val="30"/>
          <w:szCs w:val="30"/>
        </w:rPr>
      </w:pPr>
      <w:r>
        <w:rPr>
          <w:rFonts w:hint="eastAsia" w:hAnsi="宋体" w:cs="宋体"/>
          <w:b/>
          <w:sz w:val="30"/>
          <w:szCs w:val="30"/>
        </w:rPr>
        <w:t>日期：</w:t>
      </w:r>
      <w:r>
        <w:rPr>
          <w:rFonts w:hint="eastAsia" w:hAnsi="宋体" w:cs="宋体"/>
          <w:b/>
          <w:sz w:val="30"/>
          <w:szCs w:val="30"/>
          <w:u w:val="single"/>
        </w:rPr>
        <w:t xml:space="preserve">         </w:t>
      </w:r>
      <w:r>
        <w:rPr>
          <w:rFonts w:hint="eastAsia" w:hAnsi="宋体" w:cs="宋体"/>
          <w:b/>
          <w:sz w:val="30"/>
          <w:szCs w:val="30"/>
        </w:rPr>
        <w:t>年</w:t>
      </w:r>
      <w:r>
        <w:rPr>
          <w:rFonts w:hint="eastAsia" w:hAnsi="宋体" w:cs="宋体"/>
          <w:b/>
          <w:sz w:val="30"/>
          <w:szCs w:val="30"/>
          <w:u w:val="single"/>
        </w:rPr>
        <w:t xml:space="preserve">     </w:t>
      </w:r>
      <w:r>
        <w:rPr>
          <w:rFonts w:hint="eastAsia" w:hAnsi="宋体" w:cs="宋体"/>
          <w:b/>
          <w:sz w:val="30"/>
          <w:szCs w:val="30"/>
        </w:rPr>
        <w:t>月</w:t>
      </w:r>
      <w:r>
        <w:rPr>
          <w:rFonts w:hint="eastAsia" w:hAnsi="宋体" w:cs="宋体"/>
          <w:b/>
          <w:sz w:val="30"/>
          <w:szCs w:val="30"/>
          <w:u w:val="single"/>
        </w:rPr>
        <w:t xml:space="preserve">     </w:t>
      </w:r>
      <w:r>
        <w:rPr>
          <w:rFonts w:hint="eastAsia" w:hAnsi="宋体" w:cs="宋体"/>
          <w:b/>
          <w:sz w:val="30"/>
          <w:szCs w:val="30"/>
        </w:rPr>
        <w:t>日</w:t>
      </w:r>
    </w:p>
    <w:p>
      <w:pPr>
        <w:pStyle w:val="4"/>
        <w:spacing w:line="360" w:lineRule="exact"/>
        <w:rPr>
          <w:rFonts w:hAnsi="宋体" w:cs="宋体"/>
        </w:rPr>
      </w:pPr>
      <w:r>
        <w:rPr>
          <w:rFonts w:hint="eastAsia" w:hAnsi="宋体" w:cs="宋体"/>
        </w:rPr>
        <w:br w:type="page"/>
      </w:r>
    </w:p>
    <w:p>
      <w:pPr>
        <w:pStyle w:val="4"/>
        <w:spacing w:line="360" w:lineRule="auto"/>
        <w:jc w:val="center"/>
        <w:rPr>
          <w:rFonts w:hAnsi="宋体" w:cs="宋体"/>
          <w:b/>
          <w:sz w:val="44"/>
          <w:szCs w:val="44"/>
        </w:rPr>
      </w:pPr>
      <w:r>
        <w:rPr>
          <w:rFonts w:hint="eastAsia" w:hAnsi="宋体" w:cs="宋体"/>
          <w:b/>
          <w:sz w:val="44"/>
          <w:szCs w:val="44"/>
        </w:rPr>
        <w:t>目  录</w:t>
      </w:r>
    </w:p>
    <w:p>
      <w:pPr>
        <w:pStyle w:val="4"/>
        <w:spacing w:line="360" w:lineRule="auto"/>
        <w:jc w:val="center"/>
        <w:outlineLvl w:val="1"/>
        <w:rPr>
          <w:rFonts w:hAnsi="宋体" w:cs="宋体"/>
          <w:b/>
          <w:sz w:val="24"/>
          <w:szCs w:val="24"/>
        </w:rPr>
      </w:pPr>
      <w:bookmarkStart w:id="60" w:name="_Toc27620"/>
      <w:r>
        <w:rPr>
          <w:rFonts w:hint="eastAsia" w:hAnsi="宋体" w:cs="宋体"/>
          <w:b/>
          <w:sz w:val="24"/>
          <w:szCs w:val="24"/>
        </w:rPr>
        <w:t>（格式自拟）</w:t>
      </w:r>
      <w:bookmarkEnd w:id="60"/>
    </w:p>
    <w:p>
      <w:pPr>
        <w:pStyle w:val="4"/>
        <w:ind w:left="315" w:leftChars="150" w:firstLine="420" w:firstLineChars="150"/>
        <w:rPr>
          <w:rFonts w:hAnsi="宋体" w:cs="宋体"/>
          <w:sz w:val="28"/>
          <w:szCs w:val="28"/>
        </w:rPr>
      </w:pPr>
    </w:p>
    <w:p>
      <w:pPr>
        <w:pStyle w:val="4"/>
        <w:spacing w:line="360" w:lineRule="auto"/>
        <w:jc w:val="left"/>
        <w:rPr>
          <w:rFonts w:hAnsi="宋体" w:cs="宋体"/>
          <w:sz w:val="28"/>
          <w:szCs w:val="28"/>
        </w:rPr>
      </w:pPr>
    </w:p>
    <w:p>
      <w:pPr>
        <w:pStyle w:val="3"/>
        <w:jc w:val="center"/>
        <w:rPr>
          <w:rFonts w:ascii="宋体" w:hAnsi="宋体" w:cs="宋体"/>
          <w:sz w:val="28"/>
          <w:szCs w:val="28"/>
        </w:rPr>
      </w:pPr>
      <w:r>
        <w:rPr>
          <w:rFonts w:hint="eastAsia" w:ascii="宋体" w:hAnsi="宋体" w:cs="宋体"/>
          <w:sz w:val="28"/>
          <w:szCs w:val="28"/>
        </w:rPr>
        <w:br w:type="page"/>
      </w:r>
      <w:bookmarkStart w:id="61" w:name="_Toc18510"/>
      <w:bookmarkStart w:id="62" w:name="_Toc329096195"/>
      <w:bookmarkStart w:id="63" w:name="_Toc12323"/>
      <w:r>
        <w:rPr>
          <w:rFonts w:hint="eastAsia" w:ascii="宋体" w:hAnsi="宋体" w:cs="宋体"/>
          <w:sz w:val="44"/>
          <w:szCs w:val="44"/>
        </w:rPr>
        <w:t>第一部分  报价部分</w:t>
      </w:r>
      <w:bookmarkEnd w:id="61"/>
      <w:bookmarkEnd w:id="62"/>
      <w:bookmarkEnd w:id="63"/>
    </w:p>
    <w:p>
      <w:pPr>
        <w:rPr>
          <w:rFonts w:ascii="宋体" w:hAnsi="宋体" w:cs="宋体"/>
        </w:rPr>
      </w:pPr>
      <w:r>
        <w:rPr>
          <w:rFonts w:hint="eastAsia" w:ascii="宋体" w:hAnsi="宋体" w:cs="宋体"/>
        </w:rPr>
        <w:t xml:space="preserve"> </w:t>
      </w:r>
    </w:p>
    <w:p>
      <w:pPr>
        <w:pStyle w:val="4"/>
        <w:jc w:val="center"/>
        <w:rPr>
          <w:rFonts w:hAnsi="宋体" w:cs="宋体"/>
          <w:b/>
          <w:sz w:val="32"/>
        </w:rPr>
      </w:pPr>
      <w:r>
        <w:rPr>
          <w:rFonts w:hint="eastAsia" w:hAnsi="宋体" w:cs="宋体"/>
          <w:b/>
          <w:sz w:val="32"/>
        </w:rPr>
        <w:t>一、开标一览表 (格式)</w:t>
      </w:r>
    </w:p>
    <w:p>
      <w:pPr>
        <w:spacing w:line="243" w:lineRule="auto"/>
        <w:rPr>
          <w:rFonts w:ascii="宋体" w:hAnsi="宋体" w:cs="宋体"/>
        </w:rPr>
      </w:pPr>
    </w:p>
    <w:p>
      <w:pPr>
        <w:spacing w:line="244" w:lineRule="auto"/>
        <w:rPr>
          <w:rFonts w:ascii="宋体" w:hAnsi="宋体" w:cs="宋体"/>
        </w:rPr>
      </w:pPr>
    </w:p>
    <w:p>
      <w:pPr>
        <w:spacing w:before="65" w:line="229" w:lineRule="auto"/>
        <w:ind w:left="526"/>
        <w:rPr>
          <w:rFonts w:ascii="宋体" w:hAnsi="宋体" w:cs="宋体"/>
          <w:szCs w:val="21"/>
        </w:rPr>
      </w:pPr>
      <w:r>
        <w:rPr>
          <w:rFonts w:hint="eastAsia" w:ascii="宋体" w:hAnsi="宋体" w:cs="宋体"/>
          <w:spacing w:val="7"/>
          <w:szCs w:val="21"/>
        </w:rPr>
        <w:t>项</w:t>
      </w:r>
      <w:r>
        <w:rPr>
          <w:rFonts w:hint="eastAsia" w:ascii="宋体" w:hAnsi="宋体" w:cs="宋体"/>
          <w:spacing w:val="4"/>
          <w:szCs w:val="21"/>
        </w:rPr>
        <w:t>目名称：</w:t>
      </w:r>
      <w:r>
        <w:rPr>
          <w:rFonts w:hint="eastAsia" w:ascii="宋体" w:hAnsi="宋体" w:cs="宋体"/>
          <w:szCs w:val="21"/>
          <w:u w:val="single"/>
        </w:rPr>
        <w:t xml:space="preserve">                                     </w:t>
      </w:r>
    </w:p>
    <w:p>
      <w:pPr>
        <w:spacing w:before="220" w:line="232" w:lineRule="auto"/>
        <w:ind w:left="526"/>
        <w:rPr>
          <w:rFonts w:ascii="宋体" w:hAnsi="宋体" w:cs="宋体"/>
          <w:szCs w:val="21"/>
        </w:rPr>
      </w:pPr>
      <w:r>
        <w:rPr>
          <w:rFonts w:hint="eastAsia" w:ascii="宋体" w:hAnsi="宋体" w:cs="宋体"/>
          <w:spacing w:val="7"/>
          <w:szCs w:val="21"/>
        </w:rPr>
        <w:t>项</w:t>
      </w:r>
      <w:r>
        <w:rPr>
          <w:rFonts w:hint="eastAsia" w:ascii="宋体" w:hAnsi="宋体" w:cs="宋体"/>
          <w:spacing w:val="4"/>
          <w:szCs w:val="21"/>
        </w:rPr>
        <w:t>目编号：</w:t>
      </w:r>
      <w:r>
        <w:rPr>
          <w:rFonts w:hint="eastAsia" w:ascii="宋体" w:hAnsi="宋体" w:cs="宋体"/>
          <w:szCs w:val="21"/>
          <w:u w:val="single"/>
        </w:rPr>
        <w:t xml:space="preserve">                                     </w:t>
      </w:r>
    </w:p>
    <w:p>
      <w:pPr>
        <w:spacing w:line="86" w:lineRule="exact"/>
        <w:rPr>
          <w:rFonts w:ascii="宋体" w:hAnsi="宋体" w:cs="宋体"/>
          <w:sz w:val="20"/>
          <w:szCs w:val="20"/>
        </w:rPr>
      </w:pPr>
    </w:p>
    <w:tbl>
      <w:tblPr>
        <w:tblStyle w:val="8"/>
        <w:tblW w:w="92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729"/>
        <w:gridCol w:w="4427"/>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832" w:type="dxa"/>
          </w:tcPr>
          <w:p>
            <w:pPr>
              <w:spacing w:before="181" w:line="231" w:lineRule="auto"/>
              <w:ind w:left="124"/>
              <w:jc w:val="center"/>
              <w:rPr>
                <w:rFonts w:ascii="宋体" w:hAnsi="宋体" w:cs="宋体"/>
                <w:b/>
                <w:bCs/>
                <w:sz w:val="24"/>
              </w:rPr>
            </w:pPr>
            <w:r>
              <w:rPr>
                <w:rFonts w:hint="eastAsia" w:ascii="宋体" w:hAnsi="宋体" w:cs="宋体"/>
                <w:b/>
                <w:bCs/>
                <w:spacing w:val="2"/>
                <w:sz w:val="24"/>
              </w:rPr>
              <w:t>序号</w:t>
            </w:r>
          </w:p>
        </w:tc>
        <w:tc>
          <w:tcPr>
            <w:tcW w:w="2729" w:type="dxa"/>
          </w:tcPr>
          <w:p>
            <w:pPr>
              <w:spacing w:before="182" w:line="232" w:lineRule="auto"/>
              <w:ind w:left="1146"/>
              <w:jc w:val="center"/>
              <w:rPr>
                <w:rFonts w:ascii="宋体" w:hAnsi="宋体" w:cs="宋体"/>
                <w:b/>
                <w:bCs/>
                <w:sz w:val="24"/>
              </w:rPr>
            </w:pPr>
            <w:r>
              <w:rPr>
                <w:rFonts w:hint="eastAsia" w:ascii="宋体" w:hAnsi="宋体" w:cs="宋体"/>
                <w:b/>
                <w:bCs/>
                <w:spacing w:val="16"/>
                <w:sz w:val="24"/>
              </w:rPr>
              <w:t>项</w:t>
            </w:r>
            <w:r>
              <w:rPr>
                <w:rFonts w:hint="eastAsia" w:ascii="宋体" w:hAnsi="宋体" w:cs="宋体"/>
                <w:b/>
                <w:bCs/>
                <w:spacing w:val="15"/>
                <w:sz w:val="24"/>
              </w:rPr>
              <w:t xml:space="preserve">  目</w:t>
            </w:r>
          </w:p>
        </w:tc>
        <w:tc>
          <w:tcPr>
            <w:tcW w:w="4427" w:type="dxa"/>
          </w:tcPr>
          <w:p>
            <w:pPr>
              <w:spacing w:before="181" w:line="231" w:lineRule="auto"/>
              <w:ind w:left="1896"/>
              <w:jc w:val="center"/>
              <w:rPr>
                <w:rFonts w:ascii="宋体" w:hAnsi="宋体" w:cs="宋体"/>
                <w:b/>
                <w:bCs/>
                <w:sz w:val="24"/>
              </w:rPr>
            </w:pPr>
            <w:r>
              <w:rPr>
                <w:rFonts w:hint="eastAsia" w:ascii="宋体" w:hAnsi="宋体" w:cs="宋体"/>
                <w:b/>
                <w:bCs/>
                <w:spacing w:val="-2"/>
                <w:sz w:val="24"/>
              </w:rPr>
              <w:t xml:space="preserve">内  </w:t>
            </w:r>
            <w:r>
              <w:rPr>
                <w:rFonts w:hint="eastAsia" w:ascii="宋体" w:hAnsi="宋体" w:cs="宋体"/>
                <w:b/>
                <w:bCs/>
                <w:spacing w:val="-1"/>
                <w:sz w:val="24"/>
              </w:rPr>
              <w:t>容</w:t>
            </w:r>
          </w:p>
        </w:tc>
        <w:tc>
          <w:tcPr>
            <w:tcW w:w="1264" w:type="dxa"/>
          </w:tcPr>
          <w:p>
            <w:pPr>
              <w:spacing w:before="182" w:line="233" w:lineRule="auto"/>
              <w:ind w:left="286"/>
              <w:jc w:val="center"/>
              <w:rPr>
                <w:rFonts w:ascii="宋体" w:hAnsi="宋体" w:cs="宋体"/>
                <w:b/>
                <w:bCs/>
                <w:sz w:val="24"/>
              </w:rPr>
            </w:pPr>
            <w:r>
              <w:rPr>
                <w:rFonts w:hint="eastAsia" w:ascii="宋体" w:hAnsi="宋体" w:cs="宋体"/>
                <w:b/>
                <w:bCs/>
                <w:spacing w:val="6"/>
                <w:sz w:val="24"/>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832" w:type="dxa"/>
            <w:vMerge w:val="restart"/>
            <w:tcBorders>
              <w:bottom w:val="nil"/>
            </w:tcBorders>
            <w:vAlign w:val="center"/>
          </w:tcPr>
          <w:p>
            <w:pPr>
              <w:spacing w:before="75" w:line="186" w:lineRule="auto"/>
              <w:ind w:left="364"/>
              <w:jc w:val="center"/>
              <w:rPr>
                <w:rFonts w:ascii="宋体" w:hAnsi="宋体" w:cs="宋体"/>
                <w:b/>
                <w:bCs/>
                <w:sz w:val="24"/>
              </w:rPr>
            </w:pPr>
            <w:r>
              <w:rPr>
                <w:rFonts w:hint="eastAsia" w:ascii="宋体" w:hAnsi="宋体" w:cs="宋体"/>
                <w:b/>
                <w:bCs/>
                <w:sz w:val="24"/>
              </w:rPr>
              <w:t>1</w:t>
            </w:r>
          </w:p>
        </w:tc>
        <w:tc>
          <w:tcPr>
            <w:tcW w:w="2729" w:type="dxa"/>
            <w:vMerge w:val="restart"/>
            <w:tcBorders>
              <w:bottom w:val="nil"/>
            </w:tcBorders>
            <w:vAlign w:val="center"/>
          </w:tcPr>
          <w:p>
            <w:pPr>
              <w:spacing w:before="75" w:line="231" w:lineRule="auto"/>
              <w:ind w:left="119"/>
              <w:jc w:val="center"/>
              <w:rPr>
                <w:rFonts w:ascii="宋体" w:hAnsi="宋体" w:cs="宋体"/>
                <w:b/>
                <w:bCs/>
                <w:sz w:val="24"/>
              </w:rPr>
            </w:pPr>
            <w:r>
              <w:rPr>
                <w:rFonts w:hint="eastAsia" w:ascii="宋体" w:hAnsi="宋体" w:cs="宋体"/>
                <w:b/>
                <w:bCs/>
                <w:spacing w:val="6"/>
                <w:sz w:val="24"/>
              </w:rPr>
              <w:t>磋商总报价 (元)</w:t>
            </w:r>
          </w:p>
        </w:tc>
        <w:tc>
          <w:tcPr>
            <w:tcW w:w="4427" w:type="dxa"/>
          </w:tcPr>
          <w:p>
            <w:pPr>
              <w:spacing w:before="190" w:line="232" w:lineRule="auto"/>
              <w:ind w:left="127"/>
              <w:jc w:val="center"/>
              <w:rPr>
                <w:rFonts w:ascii="宋体" w:hAnsi="宋体" w:cs="宋体"/>
                <w:sz w:val="24"/>
              </w:rPr>
            </w:pPr>
            <w:r>
              <w:rPr>
                <w:rFonts w:hint="eastAsia" w:ascii="宋体" w:hAnsi="宋体" w:cs="宋体"/>
                <w:spacing w:val="33"/>
                <w:sz w:val="24"/>
              </w:rPr>
              <w:t>(</w:t>
            </w:r>
            <w:r>
              <w:rPr>
                <w:rFonts w:hint="eastAsia" w:ascii="宋体" w:hAnsi="宋体" w:cs="宋体"/>
                <w:spacing w:val="31"/>
                <w:sz w:val="24"/>
              </w:rPr>
              <w:t>大写)</w:t>
            </w:r>
          </w:p>
        </w:tc>
        <w:tc>
          <w:tcPr>
            <w:tcW w:w="1264" w:type="dxa"/>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832" w:type="dxa"/>
            <w:vMerge w:val="continue"/>
            <w:tcBorders>
              <w:top w:val="nil"/>
            </w:tcBorders>
            <w:vAlign w:val="center"/>
          </w:tcPr>
          <w:p>
            <w:pPr>
              <w:jc w:val="center"/>
              <w:rPr>
                <w:rFonts w:ascii="宋体" w:hAnsi="宋体" w:cs="宋体"/>
                <w:b/>
                <w:bCs/>
                <w:sz w:val="24"/>
              </w:rPr>
            </w:pPr>
          </w:p>
        </w:tc>
        <w:tc>
          <w:tcPr>
            <w:tcW w:w="2729" w:type="dxa"/>
            <w:vMerge w:val="continue"/>
            <w:tcBorders>
              <w:top w:val="nil"/>
            </w:tcBorders>
            <w:vAlign w:val="center"/>
          </w:tcPr>
          <w:p>
            <w:pPr>
              <w:jc w:val="center"/>
              <w:rPr>
                <w:rFonts w:ascii="宋体" w:hAnsi="宋体" w:cs="宋体"/>
                <w:b/>
                <w:bCs/>
                <w:sz w:val="24"/>
              </w:rPr>
            </w:pPr>
          </w:p>
        </w:tc>
        <w:tc>
          <w:tcPr>
            <w:tcW w:w="4427" w:type="dxa"/>
          </w:tcPr>
          <w:p>
            <w:pPr>
              <w:spacing w:before="190" w:line="232" w:lineRule="auto"/>
              <w:ind w:left="127"/>
              <w:jc w:val="center"/>
              <w:rPr>
                <w:rFonts w:ascii="宋体" w:hAnsi="宋体" w:cs="宋体"/>
                <w:sz w:val="24"/>
              </w:rPr>
            </w:pPr>
            <w:r>
              <w:rPr>
                <w:rFonts w:hint="eastAsia" w:ascii="宋体" w:hAnsi="宋体" w:cs="宋体"/>
                <w:spacing w:val="6"/>
                <w:sz w:val="24"/>
              </w:rPr>
              <w:t>(</w:t>
            </w:r>
            <w:r>
              <w:rPr>
                <w:rFonts w:hint="eastAsia" w:ascii="宋体" w:hAnsi="宋体" w:cs="宋体"/>
                <w:spacing w:val="5"/>
                <w:sz w:val="24"/>
              </w:rPr>
              <w:t>¥</w:t>
            </w:r>
            <w:r>
              <w:rPr>
                <w:rFonts w:hint="eastAsia" w:ascii="宋体" w:hAnsi="宋体" w:cs="宋体"/>
                <w:spacing w:val="3"/>
                <w:sz w:val="24"/>
                <w:u w:val="single"/>
              </w:rPr>
              <w:t xml:space="preserve">                          </w:t>
            </w:r>
            <w:r>
              <w:rPr>
                <w:rFonts w:hint="eastAsia" w:ascii="宋体" w:hAnsi="宋体" w:cs="宋体"/>
                <w:spacing w:val="3"/>
                <w:sz w:val="24"/>
              </w:rPr>
              <w:t xml:space="preserve"> )</w:t>
            </w:r>
          </w:p>
        </w:tc>
        <w:tc>
          <w:tcPr>
            <w:tcW w:w="1264" w:type="dxa"/>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832" w:type="dxa"/>
            <w:vAlign w:val="center"/>
          </w:tcPr>
          <w:p>
            <w:pPr>
              <w:spacing w:before="239" w:line="186" w:lineRule="auto"/>
              <w:ind w:left="366"/>
              <w:jc w:val="center"/>
              <w:rPr>
                <w:rFonts w:ascii="宋体" w:hAnsi="宋体" w:cs="宋体"/>
                <w:b/>
                <w:bCs/>
                <w:sz w:val="24"/>
              </w:rPr>
            </w:pPr>
            <w:r>
              <w:rPr>
                <w:rFonts w:hint="eastAsia" w:ascii="宋体" w:hAnsi="宋体" w:cs="宋体"/>
                <w:b/>
                <w:bCs/>
                <w:sz w:val="24"/>
              </w:rPr>
              <w:t>2</w:t>
            </w:r>
          </w:p>
        </w:tc>
        <w:tc>
          <w:tcPr>
            <w:tcW w:w="2729" w:type="dxa"/>
            <w:vAlign w:val="center"/>
          </w:tcPr>
          <w:p>
            <w:pPr>
              <w:spacing w:before="197" w:line="231" w:lineRule="auto"/>
              <w:ind w:left="126"/>
              <w:jc w:val="center"/>
              <w:rPr>
                <w:rFonts w:ascii="宋体" w:hAnsi="宋体" w:cs="宋体"/>
                <w:b/>
                <w:bCs/>
                <w:sz w:val="24"/>
              </w:rPr>
            </w:pPr>
            <w:r>
              <w:rPr>
                <w:rFonts w:hint="eastAsia" w:ascii="宋体" w:hAnsi="宋体" w:cs="宋体"/>
                <w:b/>
                <w:bCs/>
                <w:spacing w:val="9"/>
                <w:sz w:val="24"/>
              </w:rPr>
              <w:t>合</w:t>
            </w:r>
            <w:r>
              <w:rPr>
                <w:rFonts w:hint="eastAsia" w:ascii="宋体" w:hAnsi="宋体" w:cs="宋体"/>
                <w:b/>
                <w:bCs/>
                <w:spacing w:val="6"/>
                <w:sz w:val="24"/>
              </w:rPr>
              <w:t>同履约期限</w:t>
            </w:r>
          </w:p>
        </w:tc>
        <w:tc>
          <w:tcPr>
            <w:tcW w:w="4427" w:type="dxa"/>
          </w:tcPr>
          <w:p>
            <w:pPr>
              <w:spacing w:before="218" w:line="233" w:lineRule="auto"/>
              <w:ind w:left="987"/>
              <w:jc w:val="center"/>
              <w:rPr>
                <w:rFonts w:ascii="宋体" w:hAnsi="宋体" w:cs="宋体"/>
                <w:sz w:val="24"/>
              </w:rPr>
            </w:pPr>
          </w:p>
        </w:tc>
        <w:tc>
          <w:tcPr>
            <w:tcW w:w="1264" w:type="dxa"/>
          </w:tcPr>
          <w:p>
            <w:pPr>
              <w:jc w:val="center"/>
              <w:rPr>
                <w:rFonts w:ascii="宋体" w:hAnsi="宋体" w:cs="宋体"/>
                <w:sz w:val="24"/>
              </w:rPr>
            </w:pPr>
          </w:p>
        </w:tc>
      </w:tr>
    </w:tbl>
    <w:p>
      <w:pPr>
        <w:spacing w:line="303" w:lineRule="auto"/>
        <w:rPr>
          <w:rFonts w:ascii="宋体" w:hAnsi="宋体" w:cs="宋体"/>
          <w:sz w:val="20"/>
          <w:szCs w:val="20"/>
        </w:rPr>
      </w:pPr>
    </w:p>
    <w:p>
      <w:pPr>
        <w:spacing w:line="304" w:lineRule="auto"/>
        <w:rPr>
          <w:rFonts w:ascii="宋体" w:hAnsi="宋体" w:cs="宋体"/>
          <w:sz w:val="20"/>
          <w:szCs w:val="20"/>
        </w:rPr>
      </w:pPr>
    </w:p>
    <w:p>
      <w:pPr>
        <w:pStyle w:val="4"/>
        <w:spacing w:line="360" w:lineRule="exact"/>
        <w:rPr>
          <w:rFonts w:hAnsi="宋体" w:cs="宋体"/>
        </w:rPr>
      </w:pPr>
      <w:r>
        <w:rPr>
          <w:rFonts w:hint="eastAsia" w:hAnsi="宋体" w:cs="宋体"/>
        </w:rPr>
        <w:t>供应商（公章）</w:t>
      </w:r>
      <w:r>
        <w:rPr>
          <w:rFonts w:hint="eastAsia" w:hAnsi="宋体" w:cs="宋体"/>
          <w:u w:val="single"/>
        </w:rPr>
        <w:t xml:space="preserve">                                </w:t>
      </w:r>
    </w:p>
    <w:p>
      <w:pPr>
        <w:pStyle w:val="4"/>
        <w:spacing w:line="360" w:lineRule="exact"/>
        <w:rPr>
          <w:rFonts w:hAnsi="宋体" w:cs="宋体"/>
        </w:rPr>
      </w:pPr>
    </w:p>
    <w:p>
      <w:pPr>
        <w:pStyle w:val="4"/>
        <w:spacing w:line="360" w:lineRule="exact"/>
        <w:rPr>
          <w:rFonts w:hAnsi="宋体" w:cs="宋体"/>
        </w:rPr>
      </w:pPr>
      <w:r>
        <w:rPr>
          <w:rFonts w:hint="eastAsia" w:hAnsi="宋体" w:cs="宋体"/>
        </w:rPr>
        <w:t>法定代表人或委托代理人（签字或盖章）：</w:t>
      </w:r>
      <w:r>
        <w:rPr>
          <w:rFonts w:hint="eastAsia" w:hAnsi="宋体" w:cs="宋体"/>
          <w:u w:val="single"/>
        </w:rPr>
        <w:t xml:space="preserve">             </w:t>
      </w:r>
      <w:r>
        <w:rPr>
          <w:rFonts w:hint="eastAsia" w:hAnsi="宋体" w:cs="宋体"/>
        </w:rPr>
        <w:t xml:space="preserve">                  </w:t>
      </w:r>
    </w:p>
    <w:p>
      <w:pPr>
        <w:pStyle w:val="4"/>
        <w:spacing w:line="360" w:lineRule="exact"/>
        <w:rPr>
          <w:rFonts w:hAnsi="宋体" w:cs="宋体"/>
          <w:b/>
          <w:sz w:val="44"/>
        </w:rPr>
      </w:pPr>
    </w:p>
    <w:p>
      <w:pPr>
        <w:pStyle w:val="4"/>
        <w:spacing w:line="360" w:lineRule="exact"/>
        <w:rPr>
          <w:rFonts w:hAnsi="宋体" w:cs="宋体"/>
          <w:szCs w:val="21"/>
        </w:rPr>
      </w:pPr>
      <w:r>
        <w:rPr>
          <w:rFonts w:hint="eastAsia" w:hAnsi="宋体" w:cs="宋体"/>
          <w:szCs w:val="21"/>
        </w:rPr>
        <w:t>日  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spacing w:line="352" w:lineRule="auto"/>
        <w:rPr>
          <w:rFonts w:ascii="宋体" w:hAnsi="宋体" w:cs="宋体"/>
        </w:rPr>
      </w:pPr>
    </w:p>
    <w:p>
      <w:pPr>
        <w:spacing w:line="353" w:lineRule="auto"/>
        <w:rPr>
          <w:rFonts w:ascii="宋体" w:hAnsi="宋体" w:cs="宋体"/>
        </w:rPr>
      </w:pPr>
    </w:p>
    <w:p>
      <w:pPr>
        <w:spacing w:before="65" w:line="369" w:lineRule="auto"/>
        <w:ind w:left="107" w:right="25" w:firstLine="424"/>
        <w:rPr>
          <w:rFonts w:ascii="宋体" w:hAnsi="宋体" w:cs="宋体"/>
          <w:sz w:val="20"/>
          <w:szCs w:val="20"/>
        </w:rPr>
      </w:pPr>
      <w:r>
        <w:rPr>
          <w:rFonts w:hint="eastAsia" w:ascii="宋体" w:hAnsi="宋体" w:cs="宋体"/>
          <w:spacing w:val="7"/>
          <w:sz w:val="20"/>
          <w:szCs w:val="20"/>
        </w:rPr>
        <w:t>注：1.</w:t>
      </w:r>
      <w:r>
        <w:rPr>
          <w:rFonts w:hint="eastAsia" w:ascii="宋体" w:hAnsi="宋体" w:cs="宋体"/>
          <w:spacing w:val="6"/>
          <w:sz w:val="20"/>
          <w:szCs w:val="20"/>
        </w:rPr>
        <w:t>磋商总报价</w:t>
      </w:r>
      <w:r>
        <w:rPr>
          <w:rFonts w:hint="eastAsia" w:ascii="宋体" w:hAnsi="宋体" w:cs="宋体"/>
          <w:spacing w:val="7"/>
          <w:sz w:val="20"/>
          <w:szCs w:val="20"/>
        </w:rPr>
        <w:t>是履行合同的最终价格，应包括货款、标准附件、备品备件、专用工具、包装</w:t>
      </w:r>
      <w:r>
        <w:rPr>
          <w:rFonts w:hint="eastAsia" w:ascii="宋体" w:hAnsi="宋体" w:cs="宋体"/>
          <w:spacing w:val="6"/>
          <w:sz w:val="20"/>
          <w:szCs w:val="20"/>
        </w:rPr>
        <w:t>、</w:t>
      </w:r>
      <w:r>
        <w:rPr>
          <w:rFonts w:hint="eastAsia" w:ascii="宋体" w:hAnsi="宋体" w:cs="宋体"/>
          <w:sz w:val="20"/>
          <w:szCs w:val="20"/>
        </w:rPr>
        <w:t xml:space="preserve"> </w:t>
      </w:r>
      <w:r>
        <w:rPr>
          <w:rFonts w:hint="eastAsia" w:ascii="宋体" w:hAnsi="宋体" w:cs="宋体"/>
          <w:spacing w:val="18"/>
          <w:sz w:val="20"/>
          <w:szCs w:val="20"/>
        </w:rPr>
        <w:t>运</w:t>
      </w:r>
      <w:r>
        <w:rPr>
          <w:rFonts w:hint="eastAsia" w:ascii="宋体" w:hAnsi="宋体" w:cs="宋体"/>
          <w:spacing w:val="11"/>
          <w:sz w:val="20"/>
          <w:szCs w:val="20"/>
        </w:rPr>
        <w:t>输</w:t>
      </w:r>
      <w:r>
        <w:rPr>
          <w:rFonts w:hint="eastAsia" w:ascii="宋体" w:hAnsi="宋体" w:cs="宋体"/>
          <w:spacing w:val="9"/>
          <w:sz w:val="20"/>
          <w:szCs w:val="20"/>
        </w:rPr>
        <w:t>、装卸、保险、税金、货到就位以及安装、调试、培训、保修等一切税金和费用。</w:t>
      </w:r>
    </w:p>
    <w:p>
      <w:pPr>
        <w:spacing w:before="2" w:line="368" w:lineRule="auto"/>
        <w:ind w:left="110" w:right="35" w:firstLine="411"/>
        <w:rPr>
          <w:rFonts w:ascii="宋体" w:hAnsi="宋体" w:cs="宋体"/>
          <w:sz w:val="20"/>
          <w:szCs w:val="20"/>
        </w:rPr>
      </w:pPr>
      <w:r>
        <w:rPr>
          <w:rFonts w:hint="eastAsia" w:ascii="宋体" w:hAnsi="宋体" w:cs="宋体"/>
          <w:spacing w:val="7"/>
          <w:sz w:val="20"/>
          <w:szCs w:val="20"/>
        </w:rPr>
        <w:t>2.开标一览表一经涂改，应在涂改处加盖单位公章或者由法定代表人或授权委托人签字或盖章</w:t>
      </w:r>
      <w:r>
        <w:rPr>
          <w:rFonts w:hint="eastAsia" w:ascii="宋体" w:hAnsi="宋体" w:cs="宋体"/>
          <w:spacing w:val="6"/>
          <w:sz w:val="20"/>
          <w:szCs w:val="20"/>
        </w:rPr>
        <w:t>，</w:t>
      </w:r>
      <w:r>
        <w:rPr>
          <w:rFonts w:hint="eastAsia" w:ascii="宋体" w:hAnsi="宋体" w:cs="宋体"/>
          <w:sz w:val="20"/>
          <w:szCs w:val="20"/>
        </w:rPr>
        <w:t xml:space="preserve"> </w:t>
      </w:r>
      <w:r>
        <w:rPr>
          <w:rFonts w:hint="eastAsia" w:ascii="宋体" w:hAnsi="宋体" w:cs="宋体"/>
          <w:spacing w:val="13"/>
          <w:sz w:val="20"/>
          <w:szCs w:val="20"/>
        </w:rPr>
        <w:t>否</w:t>
      </w:r>
      <w:r>
        <w:rPr>
          <w:rFonts w:hint="eastAsia" w:ascii="宋体" w:hAnsi="宋体" w:cs="宋体"/>
          <w:spacing w:val="7"/>
          <w:sz w:val="20"/>
          <w:szCs w:val="20"/>
        </w:rPr>
        <w:t>则其竞标作无效标处理。</w:t>
      </w:r>
    </w:p>
    <w:p>
      <w:pPr>
        <w:spacing w:line="270" w:lineRule="exact"/>
        <w:ind w:left="523"/>
        <w:rPr>
          <w:rFonts w:ascii="宋体" w:hAnsi="宋体" w:cs="宋体"/>
          <w:sz w:val="20"/>
          <w:szCs w:val="20"/>
        </w:rPr>
      </w:pPr>
      <w:r>
        <w:rPr>
          <w:rFonts w:hint="eastAsia" w:ascii="宋体" w:hAnsi="宋体" w:cs="宋体"/>
          <w:spacing w:val="11"/>
          <w:position w:val="1"/>
          <w:sz w:val="20"/>
          <w:szCs w:val="20"/>
        </w:rPr>
        <w:t>3</w:t>
      </w:r>
      <w:r>
        <w:rPr>
          <w:rFonts w:hint="eastAsia" w:ascii="宋体" w:hAnsi="宋体" w:cs="宋体"/>
          <w:spacing w:val="9"/>
          <w:position w:val="1"/>
          <w:sz w:val="20"/>
          <w:szCs w:val="20"/>
        </w:rPr>
        <w:t>.开标一览表报价应与“报价明细表”中的“总报价”相一致。</w:t>
      </w: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outlineLvl w:val="2"/>
        <w:rPr>
          <w:rFonts w:hAnsi="宋体" w:cs="宋体"/>
          <w:b/>
          <w:sz w:val="32"/>
        </w:rPr>
      </w:pPr>
      <w:r>
        <w:rPr>
          <w:rFonts w:hint="eastAsia" w:hAnsi="宋体" w:cs="宋体"/>
          <w:b/>
          <w:sz w:val="32"/>
        </w:rPr>
        <w:t>二、报价明细表（格式）</w:t>
      </w:r>
    </w:p>
    <w:p>
      <w:pPr>
        <w:pStyle w:val="4"/>
        <w:spacing w:line="360" w:lineRule="exact"/>
        <w:jc w:val="center"/>
        <w:rPr>
          <w:rFonts w:hAnsi="宋体" w:cs="宋体"/>
          <w:b/>
          <w:sz w:val="32"/>
        </w:rPr>
      </w:pPr>
    </w:p>
    <w:tbl>
      <w:tblPr>
        <w:tblStyle w:val="8"/>
        <w:tblW w:w="10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1762"/>
        <w:gridCol w:w="2538"/>
        <w:gridCol w:w="654"/>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pPr>
              <w:pStyle w:val="4"/>
              <w:spacing w:line="360" w:lineRule="exact"/>
              <w:jc w:val="center"/>
              <w:rPr>
                <w:rFonts w:hAnsi="宋体" w:cs="宋体"/>
                <w:b/>
                <w:bCs/>
                <w:spacing w:val="-20"/>
                <w:szCs w:val="24"/>
              </w:rPr>
            </w:pPr>
            <w:r>
              <w:rPr>
                <w:rFonts w:hint="eastAsia" w:hAnsi="宋体" w:cs="宋体"/>
                <w:b/>
                <w:bCs/>
                <w:spacing w:val="-20"/>
                <w:szCs w:val="24"/>
              </w:rPr>
              <w:t>项号</w:t>
            </w:r>
          </w:p>
        </w:tc>
        <w:tc>
          <w:tcPr>
            <w:tcW w:w="1608" w:type="dxa"/>
            <w:tcBorders>
              <w:bottom w:val="single" w:color="auto" w:sz="4" w:space="0"/>
            </w:tcBorders>
            <w:vAlign w:val="center"/>
          </w:tcPr>
          <w:p>
            <w:pPr>
              <w:pStyle w:val="4"/>
              <w:spacing w:line="360" w:lineRule="exact"/>
              <w:jc w:val="center"/>
              <w:rPr>
                <w:rFonts w:hAnsi="宋体" w:cs="宋体"/>
                <w:b/>
                <w:bCs/>
                <w:spacing w:val="-20"/>
                <w:szCs w:val="24"/>
              </w:rPr>
            </w:pPr>
            <w:r>
              <w:rPr>
                <w:rFonts w:hint="eastAsia" w:hAnsi="宋体" w:cs="宋体"/>
                <w:b/>
                <w:bCs/>
                <w:spacing w:val="-20"/>
                <w:szCs w:val="24"/>
              </w:rPr>
              <w:t>货物名称</w:t>
            </w:r>
          </w:p>
        </w:tc>
        <w:tc>
          <w:tcPr>
            <w:tcW w:w="1762" w:type="dxa"/>
            <w:tcBorders>
              <w:bottom w:val="single" w:color="auto" w:sz="4" w:space="0"/>
            </w:tcBorders>
            <w:vAlign w:val="center"/>
          </w:tcPr>
          <w:p>
            <w:pPr>
              <w:pStyle w:val="4"/>
              <w:spacing w:line="360" w:lineRule="exact"/>
              <w:jc w:val="center"/>
              <w:rPr>
                <w:rFonts w:hAnsi="宋体" w:cs="宋体"/>
                <w:b/>
                <w:bCs/>
                <w:spacing w:val="-20"/>
                <w:szCs w:val="24"/>
              </w:rPr>
            </w:pPr>
            <w:r>
              <w:rPr>
                <w:rFonts w:hint="eastAsia" w:hAnsi="宋体" w:cs="宋体"/>
                <w:b/>
                <w:bCs/>
                <w:szCs w:val="24"/>
              </w:rPr>
              <w:t>生产厂家及国别</w:t>
            </w:r>
          </w:p>
        </w:tc>
        <w:tc>
          <w:tcPr>
            <w:tcW w:w="2538"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技术参数</w:t>
            </w:r>
          </w:p>
        </w:tc>
        <w:tc>
          <w:tcPr>
            <w:tcW w:w="654"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pacing w:val="-20"/>
                <w:szCs w:val="24"/>
              </w:rPr>
              <w:t>数量①</w:t>
            </w:r>
          </w:p>
        </w:tc>
        <w:tc>
          <w:tcPr>
            <w:tcW w:w="866"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单价(元)②</w:t>
            </w:r>
          </w:p>
        </w:tc>
        <w:tc>
          <w:tcPr>
            <w:tcW w:w="1419"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单项合价（元）</w:t>
            </w:r>
          </w:p>
          <w:p>
            <w:pPr>
              <w:pStyle w:val="4"/>
              <w:spacing w:line="360" w:lineRule="exact"/>
              <w:jc w:val="center"/>
              <w:rPr>
                <w:rFonts w:hAnsi="宋体" w:cs="宋体"/>
                <w:b/>
                <w:bCs/>
                <w:szCs w:val="24"/>
              </w:rPr>
            </w:pPr>
            <w:r>
              <w:rPr>
                <w:rFonts w:hint="eastAsia" w:hAnsi="宋体" w:cs="宋体"/>
                <w:b/>
                <w:bCs/>
                <w:szCs w:val="24"/>
              </w:rPr>
              <w:t>③=①×②</w:t>
            </w:r>
          </w:p>
        </w:tc>
        <w:tc>
          <w:tcPr>
            <w:tcW w:w="996"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宋体" w:hAnsi="宋体" w:cs="宋体"/>
                <w:sz w:val="24"/>
              </w:rPr>
            </w:pPr>
            <w:r>
              <w:rPr>
                <w:rFonts w:hint="eastAsia" w:ascii="宋体" w:hAnsi="宋体" w:cs="宋体"/>
                <w:sz w:val="24"/>
              </w:rPr>
              <w:t>1</w:t>
            </w:r>
          </w:p>
        </w:tc>
        <w:tc>
          <w:tcPr>
            <w:tcW w:w="1608" w:type="dxa"/>
            <w:vAlign w:val="center"/>
          </w:tcPr>
          <w:p>
            <w:pPr>
              <w:spacing w:line="360" w:lineRule="exact"/>
              <w:jc w:val="center"/>
              <w:rPr>
                <w:rFonts w:ascii="宋体" w:hAnsi="宋体" w:cs="宋体"/>
              </w:rPr>
            </w:pPr>
          </w:p>
        </w:tc>
        <w:tc>
          <w:tcPr>
            <w:tcW w:w="1762" w:type="dxa"/>
            <w:vAlign w:val="center"/>
          </w:tcPr>
          <w:p>
            <w:pPr>
              <w:spacing w:line="360" w:lineRule="exact"/>
              <w:jc w:val="center"/>
              <w:rPr>
                <w:rFonts w:ascii="宋体" w:hAnsi="宋体" w:cs="宋体"/>
              </w:rPr>
            </w:pPr>
          </w:p>
        </w:tc>
        <w:tc>
          <w:tcPr>
            <w:tcW w:w="2538" w:type="dxa"/>
            <w:vAlign w:val="center"/>
          </w:tcPr>
          <w:p>
            <w:pPr>
              <w:pStyle w:val="4"/>
              <w:spacing w:line="360" w:lineRule="exact"/>
              <w:rPr>
                <w:rFonts w:hAnsi="宋体" w:cs="宋体"/>
                <w:szCs w:val="24"/>
              </w:rPr>
            </w:pPr>
          </w:p>
        </w:tc>
        <w:tc>
          <w:tcPr>
            <w:tcW w:w="654" w:type="dxa"/>
            <w:vAlign w:val="center"/>
          </w:tcPr>
          <w:p>
            <w:pPr>
              <w:pStyle w:val="4"/>
              <w:spacing w:line="360" w:lineRule="exact"/>
              <w:rPr>
                <w:rFonts w:hAnsi="宋体" w:cs="宋体"/>
                <w:szCs w:val="24"/>
              </w:rPr>
            </w:pPr>
          </w:p>
        </w:tc>
        <w:tc>
          <w:tcPr>
            <w:tcW w:w="866" w:type="dxa"/>
            <w:vAlign w:val="center"/>
          </w:tcPr>
          <w:p>
            <w:pPr>
              <w:pStyle w:val="4"/>
              <w:spacing w:line="360" w:lineRule="exact"/>
              <w:rPr>
                <w:rFonts w:hAnsi="宋体" w:cs="宋体"/>
                <w:szCs w:val="24"/>
              </w:rPr>
            </w:pPr>
          </w:p>
        </w:tc>
        <w:tc>
          <w:tcPr>
            <w:tcW w:w="1419" w:type="dxa"/>
            <w:vAlign w:val="center"/>
          </w:tcPr>
          <w:p>
            <w:pPr>
              <w:pStyle w:val="4"/>
              <w:spacing w:line="360" w:lineRule="exact"/>
              <w:rPr>
                <w:rFonts w:hAnsi="宋体" w:cs="宋体"/>
                <w:szCs w:val="24"/>
              </w:rPr>
            </w:pPr>
          </w:p>
        </w:tc>
        <w:tc>
          <w:tcPr>
            <w:tcW w:w="996" w:type="dxa"/>
            <w:vAlign w:val="center"/>
          </w:tcPr>
          <w:p>
            <w:pPr>
              <w:pStyle w:val="4"/>
              <w:spacing w:line="360" w:lineRule="exact"/>
              <w:rPr>
                <w:rFonts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宋体" w:hAnsi="宋体" w:cs="宋体"/>
                <w:sz w:val="24"/>
              </w:rPr>
            </w:pPr>
            <w:r>
              <w:rPr>
                <w:rFonts w:hint="eastAsia" w:ascii="宋体" w:hAnsi="宋体" w:cs="宋体"/>
                <w:sz w:val="24"/>
              </w:rPr>
              <w:t>…</w:t>
            </w:r>
          </w:p>
        </w:tc>
        <w:tc>
          <w:tcPr>
            <w:tcW w:w="1608" w:type="dxa"/>
            <w:vAlign w:val="center"/>
          </w:tcPr>
          <w:p>
            <w:pPr>
              <w:spacing w:line="360" w:lineRule="exact"/>
              <w:jc w:val="center"/>
              <w:rPr>
                <w:rFonts w:ascii="宋体" w:hAnsi="宋体" w:cs="宋体"/>
              </w:rPr>
            </w:pPr>
          </w:p>
        </w:tc>
        <w:tc>
          <w:tcPr>
            <w:tcW w:w="1762" w:type="dxa"/>
            <w:vAlign w:val="center"/>
          </w:tcPr>
          <w:p>
            <w:pPr>
              <w:spacing w:line="360" w:lineRule="exact"/>
              <w:jc w:val="center"/>
              <w:rPr>
                <w:rFonts w:ascii="宋体" w:hAnsi="宋体" w:cs="宋体"/>
              </w:rPr>
            </w:pPr>
          </w:p>
        </w:tc>
        <w:tc>
          <w:tcPr>
            <w:tcW w:w="2538" w:type="dxa"/>
            <w:vAlign w:val="center"/>
          </w:tcPr>
          <w:p>
            <w:pPr>
              <w:pStyle w:val="4"/>
              <w:spacing w:line="360" w:lineRule="exact"/>
              <w:rPr>
                <w:rFonts w:hAnsi="宋体" w:cs="宋体"/>
                <w:szCs w:val="24"/>
              </w:rPr>
            </w:pPr>
          </w:p>
        </w:tc>
        <w:tc>
          <w:tcPr>
            <w:tcW w:w="654" w:type="dxa"/>
            <w:vAlign w:val="center"/>
          </w:tcPr>
          <w:p>
            <w:pPr>
              <w:pStyle w:val="4"/>
              <w:spacing w:line="360" w:lineRule="exact"/>
              <w:rPr>
                <w:rFonts w:hAnsi="宋体" w:cs="宋体"/>
                <w:szCs w:val="24"/>
              </w:rPr>
            </w:pPr>
          </w:p>
        </w:tc>
        <w:tc>
          <w:tcPr>
            <w:tcW w:w="866" w:type="dxa"/>
            <w:vAlign w:val="center"/>
          </w:tcPr>
          <w:p>
            <w:pPr>
              <w:pStyle w:val="4"/>
              <w:spacing w:line="360" w:lineRule="exact"/>
              <w:rPr>
                <w:rFonts w:hAnsi="宋体" w:cs="宋体"/>
                <w:szCs w:val="24"/>
              </w:rPr>
            </w:pPr>
          </w:p>
        </w:tc>
        <w:tc>
          <w:tcPr>
            <w:tcW w:w="1419" w:type="dxa"/>
            <w:vAlign w:val="center"/>
          </w:tcPr>
          <w:p>
            <w:pPr>
              <w:pStyle w:val="4"/>
              <w:spacing w:line="360" w:lineRule="exact"/>
              <w:rPr>
                <w:rFonts w:hAnsi="宋体" w:cs="宋体"/>
                <w:szCs w:val="24"/>
              </w:rPr>
            </w:pPr>
          </w:p>
        </w:tc>
        <w:tc>
          <w:tcPr>
            <w:tcW w:w="996" w:type="dxa"/>
            <w:vAlign w:val="center"/>
          </w:tcPr>
          <w:p>
            <w:pPr>
              <w:pStyle w:val="4"/>
              <w:spacing w:line="360" w:lineRule="exact"/>
              <w:rPr>
                <w:rFonts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宋体" w:hAnsi="宋体" w:cs="宋体"/>
                <w:sz w:val="24"/>
              </w:rPr>
            </w:pPr>
            <w:r>
              <w:rPr>
                <w:rFonts w:hint="eastAsia" w:ascii="宋体" w:hAnsi="宋体" w:cs="宋体"/>
                <w:sz w:val="24"/>
              </w:rPr>
              <w:t>N</w:t>
            </w:r>
          </w:p>
        </w:tc>
        <w:tc>
          <w:tcPr>
            <w:tcW w:w="1608" w:type="dxa"/>
            <w:vAlign w:val="center"/>
          </w:tcPr>
          <w:p>
            <w:pPr>
              <w:spacing w:line="360" w:lineRule="exact"/>
              <w:jc w:val="center"/>
              <w:rPr>
                <w:rFonts w:ascii="宋体" w:hAnsi="宋体" w:cs="宋体"/>
              </w:rPr>
            </w:pPr>
          </w:p>
        </w:tc>
        <w:tc>
          <w:tcPr>
            <w:tcW w:w="1762" w:type="dxa"/>
            <w:vAlign w:val="center"/>
          </w:tcPr>
          <w:p>
            <w:pPr>
              <w:spacing w:line="360" w:lineRule="exact"/>
              <w:jc w:val="center"/>
              <w:rPr>
                <w:rFonts w:ascii="宋体" w:hAnsi="宋体" w:cs="宋体"/>
              </w:rPr>
            </w:pPr>
          </w:p>
        </w:tc>
        <w:tc>
          <w:tcPr>
            <w:tcW w:w="2538" w:type="dxa"/>
            <w:vAlign w:val="center"/>
          </w:tcPr>
          <w:p>
            <w:pPr>
              <w:pStyle w:val="4"/>
              <w:spacing w:line="360" w:lineRule="exact"/>
              <w:rPr>
                <w:rFonts w:hAnsi="宋体" w:cs="宋体"/>
                <w:szCs w:val="24"/>
              </w:rPr>
            </w:pPr>
          </w:p>
        </w:tc>
        <w:tc>
          <w:tcPr>
            <w:tcW w:w="654" w:type="dxa"/>
            <w:vAlign w:val="center"/>
          </w:tcPr>
          <w:p>
            <w:pPr>
              <w:pStyle w:val="4"/>
              <w:spacing w:line="360" w:lineRule="exact"/>
              <w:rPr>
                <w:rFonts w:hAnsi="宋体" w:cs="宋体"/>
                <w:szCs w:val="24"/>
              </w:rPr>
            </w:pPr>
          </w:p>
        </w:tc>
        <w:tc>
          <w:tcPr>
            <w:tcW w:w="866" w:type="dxa"/>
            <w:vAlign w:val="center"/>
          </w:tcPr>
          <w:p>
            <w:pPr>
              <w:pStyle w:val="4"/>
              <w:spacing w:line="360" w:lineRule="exact"/>
              <w:rPr>
                <w:rFonts w:hAnsi="宋体" w:cs="宋体"/>
                <w:szCs w:val="24"/>
              </w:rPr>
            </w:pPr>
          </w:p>
        </w:tc>
        <w:tc>
          <w:tcPr>
            <w:tcW w:w="1419" w:type="dxa"/>
            <w:vAlign w:val="center"/>
          </w:tcPr>
          <w:p>
            <w:pPr>
              <w:pStyle w:val="4"/>
              <w:spacing w:line="360" w:lineRule="exact"/>
              <w:rPr>
                <w:rFonts w:hAnsi="宋体" w:cs="宋体"/>
                <w:szCs w:val="24"/>
              </w:rPr>
            </w:pPr>
          </w:p>
        </w:tc>
        <w:tc>
          <w:tcPr>
            <w:tcW w:w="996" w:type="dxa"/>
            <w:vAlign w:val="center"/>
          </w:tcPr>
          <w:p>
            <w:pPr>
              <w:pStyle w:val="4"/>
              <w:spacing w:line="360" w:lineRule="exact"/>
              <w:rPr>
                <w:rFonts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0288" w:type="dxa"/>
            <w:gridSpan w:val="8"/>
            <w:vAlign w:val="center"/>
          </w:tcPr>
          <w:p>
            <w:pPr>
              <w:pStyle w:val="4"/>
              <w:spacing w:line="360" w:lineRule="exact"/>
              <w:rPr>
                <w:rFonts w:hAnsi="宋体" w:cs="宋体"/>
                <w:spacing w:val="-6"/>
                <w:szCs w:val="24"/>
              </w:rPr>
            </w:pPr>
            <w:r>
              <w:rPr>
                <w:rFonts w:hint="eastAsia" w:hAnsi="宋体" w:cs="宋体"/>
                <w:spacing w:val="-6"/>
                <w:szCs w:val="24"/>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0288" w:type="dxa"/>
            <w:gridSpan w:val="8"/>
            <w:vAlign w:val="center"/>
          </w:tcPr>
          <w:p>
            <w:pPr>
              <w:pStyle w:val="4"/>
              <w:spacing w:line="360" w:lineRule="exact"/>
              <w:rPr>
                <w:rFonts w:hAnsi="宋体" w:cs="宋体"/>
                <w:spacing w:val="-6"/>
                <w:szCs w:val="24"/>
              </w:rPr>
            </w:pPr>
            <w:r>
              <w:rPr>
                <w:rFonts w:hint="eastAsia" w:hAnsi="宋体" w:cs="宋体"/>
                <w:bCs/>
                <w:kern w:val="0"/>
                <w:szCs w:val="21"/>
              </w:rPr>
              <w:t>合同履行期限：</w:t>
            </w:r>
            <w:r>
              <w:rPr>
                <w:rFonts w:hint="eastAsia" w:hAnsi="宋体" w:cs="宋体"/>
              </w:rPr>
              <w:t>合同签订之日起</w:t>
            </w:r>
            <w:r>
              <w:rPr>
                <w:rFonts w:hint="eastAsia" w:hAnsi="宋体" w:cs="宋体"/>
                <w:u w:val="single"/>
              </w:rPr>
              <w:t xml:space="preserve">     </w:t>
            </w:r>
            <w:r>
              <w:rPr>
                <w:rFonts w:hint="eastAsia" w:hAnsi="宋体" w:cs="宋体"/>
              </w:rPr>
              <w:t>个工作日内安装完毕并交付使用。</w:t>
            </w:r>
            <w:r>
              <w:rPr>
                <w:rFonts w:hint="eastAsia" w:hAnsi="宋体" w:cs="宋体"/>
                <w:szCs w:val="21"/>
              </w:rPr>
              <w:t xml:space="preserve"> </w:t>
            </w:r>
          </w:p>
        </w:tc>
      </w:tr>
    </w:tbl>
    <w:p>
      <w:pPr>
        <w:pStyle w:val="4"/>
        <w:spacing w:line="360" w:lineRule="exact"/>
        <w:rPr>
          <w:rFonts w:hAnsi="宋体" w:cs="宋体"/>
        </w:rPr>
      </w:pPr>
    </w:p>
    <w:p>
      <w:pPr>
        <w:pStyle w:val="4"/>
        <w:spacing w:line="360" w:lineRule="exact"/>
        <w:rPr>
          <w:rFonts w:hAnsi="宋体" w:cs="宋体"/>
        </w:rPr>
      </w:pPr>
    </w:p>
    <w:p>
      <w:pPr>
        <w:pStyle w:val="4"/>
        <w:spacing w:line="360" w:lineRule="exact"/>
        <w:rPr>
          <w:rFonts w:hAnsi="宋体" w:cs="宋体"/>
        </w:rPr>
      </w:pPr>
      <w:r>
        <w:rPr>
          <w:rFonts w:hint="eastAsia" w:hAnsi="宋体" w:cs="宋体"/>
        </w:rPr>
        <w:t>供应商（公章）</w:t>
      </w:r>
      <w:r>
        <w:rPr>
          <w:rFonts w:hint="eastAsia" w:hAnsi="宋体" w:cs="宋体"/>
          <w:u w:val="single"/>
        </w:rPr>
        <w:t xml:space="preserve">                                </w:t>
      </w:r>
    </w:p>
    <w:p>
      <w:pPr>
        <w:pStyle w:val="4"/>
        <w:spacing w:line="360" w:lineRule="exact"/>
        <w:rPr>
          <w:rFonts w:hAnsi="宋体" w:cs="宋体"/>
        </w:rPr>
      </w:pPr>
    </w:p>
    <w:p>
      <w:pPr>
        <w:pStyle w:val="4"/>
        <w:spacing w:line="360" w:lineRule="exact"/>
        <w:rPr>
          <w:rFonts w:hAnsi="宋体" w:cs="宋体"/>
        </w:rPr>
      </w:pPr>
      <w:r>
        <w:rPr>
          <w:rFonts w:hint="eastAsia" w:hAnsi="宋体" w:cs="宋体"/>
        </w:rPr>
        <w:t>法定代表人或委托代理人（签字或盖章）：</w:t>
      </w:r>
      <w:r>
        <w:rPr>
          <w:rFonts w:hint="eastAsia" w:hAnsi="宋体" w:cs="宋体"/>
          <w:u w:val="single"/>
        </w:rPr>
        <w:t xml:space="preserve">             </w:t>
      </w:r>
      <w:r>
        <w:rPr>
          <w:rFonts w:hint="eastAsia" w:hAnsi="宋体" w:cs="宋体"/>
        </w:rPr>
        <w:t xml:space="preserve">                  </w:t>
      </w:r>
    </w:p>
    <w:p>
      <w:pPr>
        <w:pStyle w:val="4"/>
        <w:spacing w:line="360" w:lineRule="exact"/>
        <w:rPr>
          <w:rFonts w:hAnsi="宋体" w:cs="宋体"/>
          <w:b/>
          <w:sz w:val="44"/>
        </w:rPr>
      </w:pPr>
    </w:p>
    <w:p>
      <w:pPr>
        <w:pStyle w:val="4"/>
        <w:spacing w:line="360" w:lineRule="exact"/>
        <w:rPr>
          <w:rFonts w:hAnsi="宋体" w:cs="宋体"/>
          <w:szCs w:val="21"/>
        </w:rPr>
      </w:pPr>
      <w:r>
        <w:rPr>
          <w:rFonts w:hint="eastAsia" w:hAnsi="宋体" w:cs="宋体"/>
          <w:szCs w:val="21"/>
        </w:rPr>
        <w:t>日  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4"/>
        <w:spacing w:line="360" w:lineRule="exact"/>
        <w:rPr>
          <w:rFonts w:hAnsi="宋体" w:cs="宋体"/>
          <w:szCs w:val="21"/>
        </w:rPr>
      </w:pPr>
    </w:p>
    <w:p>
      <w:pPr>
        <w:pStyle w:val="4"/>
        <w:spacing w:line="360" w:lineRule="exact"/>
        <w:rPr>
          <w:rFonts w:hAnsi="宋体" w:cs="宋体"/>
          <w:b/>
        </w:rPr>
      </w:pPr>
      <w:r>
        <w:rPr>
          <w:rFonts w:hint="eastAsia" w:hAnsi="宋体" w:cs="宋体"/>
          <w:b/>
        </w:rPr>
        <w:t>竞标说明：</w:t>
      </w:r>
    </w:p>
    <w:p>
      <w:pPr>
        <w:pStyle w:val="4"/>
        <w:spacing w:line="360" w:lineRule="exact"/>
        <w:ind w:left="420"/>
        <w:rPr>
          <w:rFonts w:hAnsi="宋体" w:cs="宋体"/>
          <w:b/>
        </w:rPr>
      </w:pPr>
      <w:r>
        <w:rPr>
          <w:rFonts w:hint="eastAsia" w:hAnsi="宋体" w:cs="宋体"/>
          <w:b/>
        </w:rPr>
        <w:t>1.报价明细表的每一页都必须加盖公章或签字，否则响应文件作无效处理。</w:t>
      </w:r>
    </w:p>
    <w:p>
      <w:pPr>
        <w:pStyle w:val="4"/>
        <w:spacing w:line="360" w:lineRule="exact"/>
        <w:ind w:left="420"/>
        <w:rPr>
          <w:rFonts w:hAnsi="宋体" w:cs="宋体"/>
          <w:b/>
        </w:rPr>
      </w:pPr>
      <w:r>
        <w:rPr>
          <w:rFonts w:hint="eastAsia" w:hAnsi="宋体" w:cs="宋体"/>
          <w:b/>
        </w:rPr>
        <w:t>2.</w:t>
      </w:r>
      <w:r>
        <w:rPr>
          <w:rFonts w:hint="eastAsia" w:hAnsi="宋体" w:cs="宋体"/>
          <w:b/>
          <w:bCs/>
        </w:rPr>
        <w:t>供应商须将竞标产品的技术参数、性能配置详细列明或附表列明（每页加盖公章，并在报价明细表中备注），</w:t>
      </w:r>
      <w:r>
        <w:rPr>
          <w:rFonts w:hint="eastAsia" w:hAnsi="宋体" w:cs="宋体"/>
          <w:b/>
        </w:rPr>
        <w:t>否则响应文件作无效处理。</w:t>
      </w:r>
    </w:p>
    <w:p>
      <w:pPr>
        <w:rPr>
          <w:rFonts w:ascii="宋体" w:hAnsi="宋体" w:cs="宋体"/>
          <w:sz w:val="28"/>
          <w:szCs w:val="28"/>
        </w:rPr>
      </w:pPr>
    </w:p>
    <w:p>
      <w:pPr>
        <w:pStyle w:val="3"/>
        <w:rPr>
          <w:rFonts w:ascii="宋体" w:hAnsi="宋体" w:cs="宋体"/>
          <w:sz w:val="28"/>
          <w:szCs w:val="28"/>
        </w:rPr>
      </w:pPr>
    </w:p>
    <w:p>
      <w:pPr>
        <w:rPr>
          <w:rFonts w:ascii="宋体" w:hAnsi="宋体" w:cs="宋体"/>
          <w:sz w:val="28"/>
          <w:szCs w:val="28"/>
        </w:rPr>
      </w:pPr>
    </w:p>
    <w:p>
      <w:pPr>
        <w:pStyle w:val="3"/>
        <w:rPr>
          <w:rFonts w:ascii="宋体" w:hAnsi="宋体" w:cs="宋体"/>
          <w:sz w:val="28"/>
          <w:szCs w:val="28"/>
        </w:rPr>
      </w:pPr>
    </w:p>
    <w:p>
      <w:pPr>
        <w:rPr>
          <w:rFonts w:ascii="宋体" w:hAnsi="宋体" w:cs="宋体"/>
          <w:sz w:val="28"/>
          <w:szCs w:val="28"/>
        </w:rPr>
      </w:pPr>
    </w:p>
    <w:p>
      <w:pPr>
        <w:pStyle w:val="3"/>
        <w:jc w:val="center"/>
        <w:rPr>
          <w:rFonts w:ascii="宋体" w:hAnsi="宋体" w:cs="宋体"/>
          <w:sz w:val="28"/>
          <w:szCs w:val="28"/>
        </w:rPr>
      </w:pPr>
      <w:r>
        <w:rPr>
          <w:rFonts w:hint="eastAsia" w:ascii="宋体" w:hAnsi="宋体" w:cs="宋体"/>
          <w:sz w:val="44"/>
          <w:szCs w:val="44"/>
        </w:rPr>
        <w:t>第二部分  商务及技术部分</w:t>
      </w:r>
    </w:p>
    <w:p>
      <w:pPr>
        <w:rPr>
          <w:rFonts w:ascii="宋体" w:hAnsi="宋体" w:cs="宋体"/>
        </w:rPr>
      </w:pPr>
      <w:r>
        <w:rPr>
          <w:rFonts w:hint="eastAsia" w:ascii="宋体" w:hAnsi="宋体" w:cs="宋体"/>
        </w:rPr>
        <w:t xml:space="preserve"> </w:t>
      </w:r>
    </w:p>
    <w:p>
      <w:pPr>
        <w:pStyle w:val="4"/>
        <w:spacing w:line="360" w:lineRule="exact"/>
        <w:jc w:val="center"/>
        <w:outlineLvl w:val="2"/>
        <w:rPr>
          <w:rFonts w:hAnsi="宋体" w:cs="宋体"/>
        </w:rPr>
      </w:pPr>
      <w:bookmarkStart w:id="64" w:name="_Toc1840"/>
      <w:bookmarkStart w:id="65" w:name="_Toc18998"/>
      <w:bookmarkStart w:id="66" w:name="_Toc329096196"/>
      <w:r>
        <w:rPr>
          <w:rFonts w:hint="eastAsia" w:hAnsi="宋体" w:cs="宋体"/>
          <w:b/>
          <w:sz w:val="32"/>
        </w:rPr>
        <w:t>一、竞标函（格式）</w:t>
      </w:r>
      <w:bookmarkEnd w:id="64"/>
      <w:bookmarkEnd w:id="65"/>
      <w:bookmarkEnd w:id="66"/>
    </w:p>
    <w:p>
      <w:pPr>
        <w:pStyle w:val="4"/>
        <w:spacing w:line="360" w:lineRule="exact"/>
        <w:rPr>
          <w:rFonts w:hAnsi="宋体" w:cs="宋体"/>
        </w:rPr>
      </w:pPr>
    </w:p>
    <w:p>
      <w:pPr>
        <w:pStyle w:val="4"/>
        <w:spacing w:line="360" w:lineRule="auto"/>
        <w:ind w:firstLine="420"/>
        <w:rPr>
          <w:rFonts w:hAnsi="宋体" w:cs="宋体"/>
          <w:u w:val="single"/>
        </w:rPr>
      </w:pPr>
      <w:r>
        <w:rPr>
          <w:rFonts w:hint="eastAsia" w:hAnsi="宋体" w:cs="宋体"/>
        </w:rPr>
        <w:t>致：</w:t>
      </w:r>
      <w:r>
        <w:rPr>
          <w:rFonts w:hint="eastAsia" w:hAnsi="宋体" w:cs="宋体"/>
          <w:u w:val="single"/>
        </w:rPr>
        <w:t>（采购人名称）　</w:t>
      </w:r>
    </w:p>
    <w:p>
      <w:pPr>
        <w:pStyle w:val="4"/>
        <w:spacing w:line="360" w:lineRule="auto"/>
        <w:ind w:firstLine="420"/>
        <w:rPr>
          <w:rFonts w:hAnsi="宋体" w:cs="宋体"/>
        </w:rPr>
      </w:pPr>
    </w:p>
    <w:p>
      <w:pPr>
        <w:pStyle w:val="4"/>
        <w:spacing w:line="360" w:lineRule="auto"/>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项目磋商文件，项目编号</w:t>
      </w:r>
      <w:r>
        <w:rPr>
          <w:rFonts w:hint="eastAsia" w:hAnsi="宋体" w:cs="宋体"/>
          <w:u w:val="single"/>
        </w:rPr>
        <w:t xml:space="preserve">           </w:t>
      </w:r>
      <w:r>
        <w:rPr>
          <w:rFonts w:hint="eastAsia" w:hAnsi="宋体" w:cs="宋体"/>
        </w:rPr>
        <w:t>，</w:t>
      </w:r>
      <w:r>
        <w:rPr>
          <w:rFonts w:hint="eastAsia" w:hAnsi="宋体" w:cs="宋体"/>
          <w:szCs w:val="21"/>
        </w:rPr>
        <w:t>我方</w:t>
      </w:r>
      <w:r>
        <w:rPr>
          <w:rFonts w:hint="eastAsia" w:hAnsi="宋体" w:cs="宋体"/>
          <w:szCs w:val="21"/>
          <w:u w:val="single"/>
        </w:rPr>
        <w:t xml:space="preserve">    （供应商名称）   </w:t>
      </w:r>
      <w:r>
        <w:rPr>
          <w:rFonts w:hint="eastAsia" w:hAnsi="宋体" w:cs="宋体"/>
          <w:szCs w:val="21"/>
        </w:rPr>
        <w:t>提交</w:t>
      </w:r>
      <w:r>
        <w:rPr>
          <w:rFonts w:hint="eastAsia" w:hAnsi="宋体" w:cs="宋体"/>
        </w:rPr>
        <w:t>下述文件：</w:t>
      </w:r>
    </w:p>
    <w:p>
      <w:pPr>
        <w:pStyle w:val="4"/>
        <w:spacing w:line="360" w:lineRule="auto"/>
        <w:ind w:firstLine="420" w:firstLineChars="200"/>
        <w:rPr>
          <w:rFonts w:hAnsi="宋体" w:cs="宋体"/>
        </w:rPr>
      </w:pPr>
      <w:r>
        <w:rPr>
          <w:rFonts w:hint="eastAsia" w:hAnsi="宋体" w:cs="宋体"/>
        </w:rPr>
        <w:t>一、开标一览表及报价明细表；</w:t>
      </w:r>
    </w:p>
    <w:p>
      <w:pPr>
        <w:pStyle w:val="4"/>
        <w:spacing w:line="360" w:lineRule="auto"/>
        <w:ind w:firstLine="420" w:firstLineChars="200"/>
        <w:rPr>
          <w:rFonts w:hAnsi="宋体" w:cs="宋体"/>
        </w:rPr>
      </w:pPr>
      <w:r>
        <w:rPr>
          <w:rFonts w:hint="eastAsia" w:hAnsi="宋体" w:cs="宋体"/>
        </w:rPr>
        <w:t>二、磋商保证金交纳证明；</w:t>
      </w:r>
    </w:p>
    <w:p>
      <w:pPr>
        <w:pStyle w:val="4"/>
        <w:spacing w:line="360" w:lineRule="auto"/>
        <w:ind w:firstLine="420" w:firstLineChars="200"/>
        <w:rPr>
          <w:rFonts w:hAnsi="宋体" w:cs="宋体"/>
        </w:rPr>
      </w:pPr>
      <w:r>
        <w:rPr>
          <w:rFonts w:hint="eastAsia" w:hAnsi="宋体" w:cs="宋体"/>
        </w:rPr>
        <w:t>三、磋商供应商基本情况登记表；</w:t>
      </w:r>
    </w:p>
    <w:p>
      <w:pPr>
        <w:pStyle w:val="4"/>
        <w:spacing w:line="360" w:lineRule="auto"/>
        <w:ind w:firstLine="420" w:firstLineChars="200"/>
        <w:rPr>
          <w:rFonts w:hAnsi="宋体" w:cs="宋体"/>
        </w:rPr>
      </w:pPr>
      <w:r>
        <w:rPr>
          <w:rFonts w:hint="eastAsia" w:hAnsi="宋体" w:cs="宋体"/>
        </w:rPr>
        <w:t>四、资格证明文件；</w:t>
      </w:r>
    </w:p>
    <w:p>
      <w:pPr>
        <w:pStyle w:val="4"/>
        <w:spacing w:line="360" w:lineRule="auto"/>
        <w:ind w:firstLine="420" w:firstLineChars="200"/>
        <w:rPr>
          <w:rFonts w:hAnsi="宋体" w:cs="宋体"/>
        </w:rPr>
      </w:pPr>
      <w:r>
        <w:rPr>
          <w:rFonts w:hint="eastAsia" w:hAnsi="宋体" w:cs="宋体"/>
        </w:rPr>
        <w:t>五、货物合格证明文件；</w:t>
      </w:r>
    </w:p>
    <w:p>
      <w:pPr>
        <w:pStyle w:val="4"/>
        <w:spacing w:line="360" w:lineRule="auto"/>
        <w:ind w:firstLine="420" w:firstLineChars="200"/>
        <w:rPr>
          <w:rFonts w:hAnsi="宋体" w:cs="宋体"/>
        </w:rPr>
      </w:pPr>
      <w:r>
        <w:rPr>
          <w:rFonts w:hint="eastAsia" w:hAnsi="宋体" w:cs="宋体"/>
        </w:rPr>
        <w:t>六、技术规格偏离表；</w:t>
      </w:r>
    </w:p>
    <w:p>
      <w:pPr>
        <w:pStyle w:val="4"/>
        <w:spacing w:line="360" w:lineRule="auto"/>
        <w:ind w:firstLine="420" w:firstLineChars="200"/>
        <w:rPr>
          <w:rFonts w:hAnsi="宋体" w:cs="宋体"/>
        </w:rPr>
      </w:pPr>
      <w:r>
        <w:rPr>
          <w:rFonts w:hint="eastAsia" w:hAnsi="宋体" w:cs="宋体"/>
        </w:rPr>
        <w:t>七、项目组织实施方案；</w:t>
      </w:r>
    </w:p>
    <w:p>
      <w:pPr>
        <w:pStyle w:val="4"/>
        <w:spacing w:line="360" w:lineRule="auto"/>
        <w:ind w:firstLine="420" w:firstLineChars="200"/>
        <w:rPr>
          <w:rFonts w:hAnsi="宋体" w:cs="宋体"/>
        </w:rPr>
      </w:pPr>
      <w:r>
        <w:rPr>
          <w:rFonts w:hint="eastAsia" w:hAnsi="宋体" w:cs="宋体"/>
        </w:rPr>
        <w:t>八、售后服务方案。</w:t>
      </w:r>
    </w:p>
    <w:p>
      <w:pPr>
        <w:pStyle w:val="4"/>
        <w:spacing w:line="360" w:lineRule="auto"/>
        <w:ind w:firstLine="420"/>
        <w:rPr>
          <w:rFonts w:hAnsi="宋体" w:cs="宋体"/>
        </w:rPr>
      </w:pPr>
      <w:r>
        <w:rPr>
          <w:rFonts w:hint="eastAsia" w:hAnsi="宋体" w:cs="宋体"/>
        </w:rPr>
        <w:t>以及在本次采购活动中必须提供的其他文件。</w:t>
      </w:r>
    </w:p>
    <w:p>
      <w:pPr>
        <w:pStyle w:val="4"/>
        <w:spacing w:line="360" w:lineRule="auto"/>
        <w:ind w:firstLine="420"/>
        <w:rPr>
          <w:rFonts w:hAnsi="宋体" w:cs="宋体"/>
        </w:rPr>
      </w:pPr>
      <w:r>
        <w:rPr>
          <w:rFonts w:hint="eastAsia" w:hAnsi="宋体" w:cs="宋体"/>
        </w:rPr>
        <w:t>据此函，我方宣布同意如下：</w:t>
      </w:r>
    </w:p>
    <w:p>
      <w:pPr>
        <w:pStyle w:val="4"/>
        <w:spacing w:line="360" w:lineRule="auto"/>
        <w:ind w:firstLine="420"/>
        <w:rPr>
          <w:rFonts w:hAnsi="宋体" w:cs="宋体"/>
        </w:rPr>
      </w:pPr>
      <w:r>
        <w:rPr>
          <w:rFonts w:hint="eastAsia" w:hAnsi="宋体" w:cs="宋体"/>
        </w:rPr>
        <w:t>按磋商文件《项目需求及说明》和报价明细表，磋商总报价</w:t>
      </w:r>
      <w:r>
        <w:rPr>
          <w:rFonts w:hint="eastAsia" w:hAnsi="宋体" w:cs="宋体"/>
          <w:u w:val="single"/>
        </w:rPr>
        <w:t xml:space="preserve">（大写）                        </w:t>
      </w:r>
      <w:r>
        <w:rPr>
          <w:rFonts w:hint="eastAsia" w:hAnsi="宋体" w:cs="宋体"/>
        </w:rPr>
        <w:t>，人民币</w:t>
      </w:r>
      <w:r>
        <w:rPr>
          <w:rFonts w:hint="eastAsia" w:hAnsi="宋体" w:cs="宋体"/>
          <w:u w:val="single"/>
        </w:rPr>
        <w:t>（¥                            ）</w:t>
      </w:r>
      <w:r>
        <w:rPr>
          <w:rFonts w:hint="eastAsia" w:hAnsi="宋体" w:cs="宋体"/>
        </w:rPr>
        <w:t>，合同履行期限：</w:t>
      </w:r>
      <w:r>
        <w:rPr>
          <w:rFonts w:hint="eastAsia" w:hAnsi="宋体" w:cs="宋体"/>
          <w:u w:val="single"/>
        </w:rPr>
        <w:t xml:space="preserve">                        </w:t>
      </w:r>
      <w:r>
        <w:rPr>
          <w:rFonts w:hint="eastAsia" w:hAnsi="宋体" w:cs="宋体"/>
        </w:rPr>
        <w:t>。</w:t>
      </w:r>
    </w:p>
    <w:p>
      <w:pPr>
        <w:pStyle w:val="4"/>
        <w:spacing w:line="360" w:lineRule="auto"/>
        <w:ind w:firstLine="420"/>
        <w:rPr>
          <w:rFonts w:hAnsi="宋体" w:cs="宋体"/>
        </w:rPr>
      </w:pPr>
      <w:r>
        <w:rPr>
          <w:rFonts w:hint="eastAsia" w:hAnsi="宋体" w:cs="宋体"/>
        </w:rPr>
        <w:t>1.我方同意在</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日（供应商须知规定的开标日期）起遵循本响应文件，并在磋商有效期满之前均具有约束力。</w:t>
      </w:r>
    </w:p>
    <w:p>
      <w:pPr>
        <w:pStyle w:val="4"/>
        <w:spacing w:line="360" w:lineRule="auto"/>
        <w:ind w:firstLine="420"/>
        <w:rPr>
          <w:rFonts w:hAnsi="宋体" w:cs="宋体"/>
        </w:rPr>
      </w:pPr>
      <w:r>
        <w:rPr>
          <w:rFonts w:hint="eastAsia" w:hAnsi="宋体" w:cs="宋体"/>
        </w:rPr>
        <w:t>2.我方承诺已经具备《中华人民共和国政府采购法》中规定的参加政府采购活动的供应商应当具备的条件：</w:t>
      </w:r>
    </w:p>
    <w:p>
      <w:pPr>
        <w:pStyle w:val="4"/>
        <w:spacing w:line="360" w:lineRule="auto"/>
        <w:ind w:firstLine="420" w:firstLineChars="200"/>
        <w:rPr>
          <w:rFonts w:hAnsi="宋体" w:cs="宋体"/>
        </w:rPr>
      </w:pPr>
      <w:r>
        <w:rPr>
          <w:rFonts w:hint="eastAsia" w:hAnsi="宋体" w:cs="宋体"/>
        </w:rPr>
        <w:t>（1）具有独立承担民事责任的能力；</w:t>
      </w:r>
    </w:p>
    <w:p>
      <w:pPr>
        <w:pStyle w:val="4"/>
        <w:spacing w:line="360" w:lineRule="auto"/>
        <w:ind w:firstLine="420"/>
        <w:rPr>
          <w:rFonts w:hAnsi="宋体" w:cs="宋体"/>
        </w:rPr>
      </w:pPr>
      <w:r>
        <w:rPr>
          <w:rFonts w:hint="eastAsia" w:hAnsi="宋体" w:cs="宋体"/>
        </w:rPr>
        <w:t>（2）具有良好的商业信誉和健全的财务会计制度；</w:t>
      </w:r>
    </w:p>
    <w:p>
      <w:pPr>
        <w:pStyle w:val="4"/>
        <w:spacing w:line="360" w:lineRule="auto"/>
        <w:ind w:firstLine="420"/>
        <w:rPr>
          <w:rFonts w:hAnsi="宋体" w:cs="宋体"/>
        </w:rPr>
      </w:pPr>
      <w:r>
        <w:rPr>
          <w:rFonts w:hint="eastAsia" w:hAnsi="宋体" w:cs="宋体"/>
        </w:rPr>
        <w:t>（3）具有履行合同所必需的设备和专业技术能力；</w:t>
      </w:r>
    </w:p>
    <w:p>
      <w:pPr>
        <w:pStyle w:val="4"/>
        <w:spacing w:line="360" w:lineRule="auto"/>
        <w:ind w:firstLine="420"/>
        <w:rPr>
          <w:rFonts w:hAnsi="宋体" w:cs="宋体"/>
        </w:rPr>
      </w:pPr>
      <w:r>
        <w:rPr>
          <w:rFonts w:hint="eastAsia" w:hAnsi="宋体" w:cs="宋体"/>
        </w:rPr>
        <w:t>（4）有依法缴纳税收和社会保障资金的良好记录；</w:t>
      </w:r>
    </w:p>
    <w:p>
      <w:pPr>
        <w:pStyle w:val="4"/>
        <w:spacing w:line="360" w:lineRule="auto"/>
        <w:ind w:firstLine="420"/>
        <w:rPr>
          <w:rFonts w:hAnsi="宋体" w:cs="宋体"/>
        </w:rPr>
      </w:pPr>
      <w:r>
        <w:rPr>
          <w:rFonts w:hint="eastAsia" w:hAnsi="宋体" w:cs="宋体"/>
        </w:rPr>
        <w:t>（5）参加此项采购活动前三年内，在经营活动中没有重大违法记录。</w:t>
      </w:r>
    </w:p>
    <w:p>
      <w:pPr>
        <w:pStyle w:val="4"/>
        <w:spacing w:line="360" w:lineRule="auto"/>
        <w:ind w:firstLine="420"/>
        <w:rPr>
          <w:rFonts w:hAnsi="宋体" w:cs="宋体"/>
        </w:rPr>
      </w:pPr>
      <w:r>
        <w:rPr>
          <w:rFonts w:hint="eastAsia" w:hAnsi="宋体" w:cs="宋体"/>
        </w:rPr>
        <w:t>3.我方根据磋商文件的规定，承担完成合同的责任和义务。</w:t>
      </w:r>
    </w:p>
    <w:p>
      <w:pPr>
        <w:pStyle w:val="4"/>
        <w:spacing w:line="360" w:lineRule="auto"/>
        <w:ind w:firstLine="420"/>
        <w:rPr>
          <w:rFonts w:hAnsi="宋体" w:cs="宋体"/>
        </w:rPr>
      </w:pPr>
      <w:r>
        <w:rPr>
          <w:rFonts w:hint="eastAsia" w:hAnsi="宋体" w:cs="宋体"/>
        </w:rPr>
        <w:t>4.我方已详细审核磋商文件，我方知道必须放弃提出含糊不清或误解问题的权利。</w:t>
      </w:r>
    </w:p>
    <w:p>
      <w:pPr>
        <w:pStyle w:val="4"/>
        <w:spacing w:line="360" w:lineRule="auto"/>
        <w:ind w:firstLine="420"/>
        <w:rPr>
          <w:rFonts w:hAnsi="宋体" w:cs="宋体"/>
        </w:rPr>
      </w:pPr>
      <w:r>
        <w:rPr>
          <w:rFonts w:hint="eastAsia" w:hAnsi="宋体" w:cs="宋体"/>
        </w:rPr>
        <w:t>5.如果在竞标截止时间后的竞标有效期内撤回竞标或者有其他违约行为，贵方可不退还我方的磋商保证金。</w:t>
      </w:r>
    </w:p>
    <w:p>
      <w:pPr>
        <w:pStyle w:val="4"/>
        <w:spacing w:line="360" w:lineRule="auto"/>
        <w:ind w:firstLine="420"/>
        <w:rPr>
          <w:rFonts w:hAnsi="宋体" w:cs="宋体"/>
        </w:rPr>
      </w:pPr>
      <w:r>
        <w:rPr>
          <w:rFonts w:hint="eastAsia" w:hAnsi="宋体" w:cs="宋体"/>
        </w:rPr>
        <w:t>6.同意向贵方提供贵方可能要求的与本竞标有关的任何数据或资料。</w:t>
      </w:r>
    </w:p>
    <w:p>
      <w:pPr>
        <w:pStyle w:val="4"/>
        <w:spacing w:line="360" w:lineRule="auto"/>
        <w:ind w:firstLine="420"/>
        <w:rPr>
          <w:rFonts w:hAnsi="宋体" w:cs="宋体"/>
        </w:rPr>
      </w:pPr>
      <w:r>
        <w:rPr>
          <w:rFonts w:hint="eastAsia" w:hAnsi="宋体" w:cs="宋体"/>
        </w:rPr>
        <w:t>7.我方完全理解贵方不一定接受最低报价的竞标人为成交供应商。</w:t>
      </w:r>
    </w:p>
    <w:p>
      <w:pPr>
        <w:pStyle w:val="4"/>
        <w:spacing w:line="360" w:lineRule="auto"/>
        <w:ind w:firstLine="420"/>
        <w:rPr>
          <w:rFonts w:hAnsi="宋体" w:cs="宋体"/>
        </w:rPr>
      </w:pPr>
      <w:r>
        <w:rPr>
          <w:rFonts w:hint="eastAsia" w:hAnsi="宋体" w:cs="宋体"/>
        </w:rPr>
        <w:t>8.若贵方需要，我方愿意提供我方作出的一切承诺的证明材料。</w:t>
      </w:r>
    </w:p>
    <w:p>
      <w:pPr>
        <w:pStyle w:val="4"/>
        <w:spacing w:line="360" w:lineRule="auto"/>
        <w:ind w:left="420"/>
        <w:rPr>
          <w:rFonts w:hAnsi="宋体" w:cs="宋体"/>
        </w:rPr>
      </w:pPr>
      <w:r>
        <w:rPr>
          <w:rFonts w:hint="eastAsia" w:hAnsi="宋体" w:cs="宋体"/>
        </w:rPr>
        <w:t>9.</w:t>
      </w:r>
      <w:r>
        <w:rPr>
          <w:rFonts w:hint="eastAsia" w:hAnsi="宋体" w:cs="宋体"/>
          <w:spacing w:val="-2"/>
        </w:rPr>
        <w:t>我方将严格遵守《中华人民共和国政府采购法》的规定，知悉作为政府采购供应商应负的法律责任。</w:t>
      </w:r>
    </w:p>
    <w:p>
      <w:pPr>
        <w:pStyle w:val="4"/>
        <w:spacing w:line="360" w:lineRule="auto"/>
        <w:ind w:firstLine="420"/>
        <w:rPr>
          <w:rFonts w:hAnsi="宋体" w:cs="宋体"/>
        </w:rPr>
      </w:pPr>
      <w:r>
        <w:rPr>
          <w:rFonts w:hint="eastAsia" w:hAnsi="宋体" w:cs="宋体"/>
        </w:rPr>
        <w:t>与本竞标有关的正式通讯地址为：</w:t>
      </w:r>
    </w:p>
    <w:p>
      <w:pPr>
        <w:pStyle w:val="4"/>
        <w:spacing w:line="360" w:lineRule="auto"/>
        <w:ind w:firstLine="420"/>
        <w:rPr>
          <w:rFonts w:hAnsi="宋体" w:cs="宋体"/>
        </w:rPr>
      </w:pPr>
      <w:r>
        <w:rPr>
          <w:rFonts w:hint="eastAsia" w:hAnsi="宋体" w:cs="宋体"/>
        </w:rPr>
        <w:t>供应商名称：</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pPr>
        <w:pStyle w:val="4"/>
        <w:spacing w:line="360" w:lineRule="auto"/>
        <w:ind w:firstLine="420"/>
        <w:rPr>
          <w:rFonts w:hAnsi="宋体" w:cs="宋体"/>
          <w:u w:val="single"/>
        </w:rPr>
      </w:pPr>
      <w:r>
        <w:rPr>
          <w:rFonts w:hint="eastAsia" w:hAnsi="宋体" w:cs="宋体"/>
        </w:rPr>
        <w:t>电话、传真：</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开户名称：</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开户银行：</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账号：</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法定代表人或委托代理人（签字或盖章）：</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供应商盖章：</w:t>
      </w:r>
      <w:r>
        <w:rPr>
          <w:rFonts w:hint="eastAsia" w:hAnsi="宋体" w:cs="宋体"/>
          <w:u w:val="single"/>
        </w:rPr>
        <w:t xml:space="preserve">                                                </w:t>
      </w:r>
    </w:p>
    <w:p>
      <w:pPr>
        <w:pStyle w:val="4"/>
        <w:spacing w:line="360" w:lineRule="auto"/>
        <w:ind w:firstLine="420" w:firstLineChars="200"/>
        <w:rPr>
          <w:rFonts w:hAnsi="宋体" w:cs="宋体"/>
          <w:u w:val="single"/>
        </w:rPr>
      </w:pPr>
      <w:r>
        <w:rPr>
          <w:rFonts w:hint="eastAsia" w:hAnsi="宋体" w:cs="宋体"/>
        </w:rPr>
        <w:t>日  期：</w:t>
      </w:r>
      <w:r>
        <w:rPr>
          <w:rFonts w:hint="eastAsia" w:hAnsi="宋体" w:cs="宋体"/>
          <w:u w:val="single"/>
        </w:rPr>
        <w:t xml:space="preserve">                                                    </w:t>
      </w:r>
    </w:p>
    <w:p>
      <w:pPr>
        <w:pStyle w:val="4"/>
        <w:spacing w:line="360" w:lineRule="exact"/>
        <w:ind w:firstLine="420" w:firstLineChars="200"/>
        <w:rPr>
          <w:rFonts w:hAnsi="宋体" w:cs="宋体"/>
          <w:u w:val="single"/>
        </w:rPr>
      </w:pPr>
    </w:p>
    <w:p>
      <w:pPr>
        <w:pStyle w:val="4"/>
        <w:spacing w:line="360" w:lineRule="exact"/>
        <w:ind w:firstLine="420" w:firstLineChars="200"/>
        <w:rPr>
          <w:rFonts w:hAnsi="宋体" w:cs="宋体"/>
          <w:u w:val="single"/>
        </w:rPr>
      </w:pPr>
    </w:p>
    <w:p>
      <w:pPr>
        <w:pStyle w:val="4"/>
        <w:spacing w:line="360" w:lineRule="exact"/>
        <w:rPr>
          <w:rFonts w:hAnsi="宋体" w:cs="宋体"/>
          <w:b/>
          <w:bCs/>
          <w:szCs w:val="21"/>
        </w:rPr>
      </w:pPr>
      <w:r>
        <w:rPr>
          <w:rFonts w:hint="eastAsia" w:hAnsi="宋体" w:cs="宋体"/>
          <w:b/>
          <w:bCs/>
          <w:szCs w:val="21"/>
        </w:rPr>
        <w:t>注：未按照本竞标函要求填报的竞标函将被视为非实质性响应竞标。</w:t>
      </w:r>
    </w:p>
    <w:p>
      <w:pPr>
        <w:pStyle w:val="4"/>
        <w:spacing w:line="360" w:lineRule="exact"/>
        <w:jc w:val="center"/>
        <w:outlineLvl w:val="2"/>
        <w:rPr>
          <w:rFonts w:hAnsi="宋体" w:cs="宋体"/>
          <w:b/>
          <w:sz w:val="32"/>
        </w:rPr>
      </w:pPr>
      <w:r>
        <w:rPr>
          <w:rFonts w:hint="eastAsia" w:hAnsi="宋体" w:cs="宋体"/>
        </w:rPr>
        <w:br w:type="page"/>
      </w:r>
      <w:bookmarkStart w:id="67" w:name="_Toc329096202"/>
      <w:bookmarkStart w:id="68" w:name="_Toc20117"/>
      <w:bookmarkStart w:id="69" w:name="_Toc20539"/>
      <w:r>
        <w:rPr>
          <w:rFonts w:hint="eastAsia" w:hAnsi="宋体" w:cs="宋体"/>
          <w:b/>
          <w:sz w:val="32"/>
        </w:rPr>
        <w:t>二、供应商资格证明文件（格式）</w:t>
      </w:r>
      <w:bookmarkEnd w:id="67"/>
      <w:bookmarkEnd w:id="68"/>
      <w:bookmarkEnd w:id="69"/>
    </w:p>
    <w:p>
      <w:pPr>
        <w:pStyle w:val="4"/>
        <w:spacing w:line="360" w:lineRule="exact"/>
        <w:rPr>
          <w:rFonts w:hAnsi="宋体" w:cs="宋体"/>
          <w:b/>
          <w:sz w:val="32"/>
        </w:rPr>
      </w:pPr>
    </w:p>
    <w:p>
      <w:pPr>
        <w:pStyle w:val="4"/>
        <w:spacing w:line="400" w:lineRule="exact"/>
        <w:jc w:val="center"/>
        <w:rPr>
          <w:rFonts w:hAnsi="宋体" w:cs="宋体"/>
        </w:rPr>
      </w:pPr>
      <w:r>
        <w:rPr>
          <w:rFonts w:hint="eastAsia" w:hAnsi="宋体" w:cs="宋体"/>
        </w:rPr>
        <w:t>（按第二章“供应商须知”第13条要求提供）</w:t>
      </w:r>
    </w:p>
    <w:p>
      <w:pPr>
        <w:pStyle w:val="4"/>
        <w:spacing w:line="400" w:lineRule="exact"/>
        <w:jc w:val="left"/>
        <w:rPr>
          <w:rFonts w:hAnsi="宋体" w:cs="宋体"/>
        </w:rPr>
      </w:pPr>
      <w:bookmarkStart w:id="70" w:name="_Toc12165"/>
    </w:p>
    <w:p>
      <w:pPr>
        <w:pStyle w:val="4"/>
        <w:spacing w:line="400" w:lineRule="exact"/>
        <w:jc w:val="left"/>
        <w:rPr>
          <w:rFonts w:hAnsi="宋体" w:cs="宋体"/>
        </w:rPr>
      </w:pPr>
      <w:r>
        <w:rPr>
          <w:rFonts w:hint="eastAsia" w:hAnsi="宋体" w:cs="宋体"/>
        </w:rPr>
        <w:t>竞标供应商</w:t>
      </w:r>
      <w:r>
        <w:rPr>
          <w:rFonts w:hint="eastAsia" w:hAnsi="宋体" w:cs="宋体"/>
          <w:bCs/>
        </w:rPr>
        <w:t>资格、资信证明文件应包含</w:t>
      </w:r>
      <w:r>
        <w:rPr>
          <w:rFonts w:hint="eastAsia" w:hAnsi="宋体" w:cs="宋体"/>
        </w:rPr>
        <w:t>：</w:t>
      </w:r>
    </w:p>
    <w:bookmarkEnd w:id="70"/>
    <w:p>
      <w:pPr>
        <w:pStyle w:val="10"/>
        <w:spacing w:line="360" w:lineRule="auto"/>
        <w:ind w:left="420" w:firstLine="363"/>
        <w:rPr>
          <w:rFonts w:hAnsi="宋体"/>
          <w:sz w:val="21"/>
          <w:szCs w:val="21"/>
        </w:rPr>
      </w:pPr>
      <w:r>
        <w:rPr>
          <w:rFonts w:hint="eastAsia" w:hAnsi="宋体"/>
          <w:sz w:val="21"/>
          <w:szCs w:val="21"/>
        </w:rPr>
        <w:t>(1)供应商为法人或者其他组织的提供其营业执照等证明文件（如营业执照或者事业单位法人证书或者执业许可证等），供应商为自然人的提供其身份证复印件</w:t>
      </w:r>
      <w:r>
        <w:rPr>
          <w:rFonts w:hint="eastAsia" w:hAnsi="宋体"/>
          <w:b/>
          <w:bCs/>
          <w:sz w:val="21"/>
          <w:szCs w:val="21"/>
        </w:rPr>
        <w:t>（必须提供，同时加盖竞标单位公章）；</w:t>
      </w:r>
    </w:p>
    <w:p>
      <w:pPr>
        <w:pStyle w:val="10"/>
        <w:spacing w:line="360" w:lineRule="auto"/>
        <w:ind w:left="420" w:firstLine="363"/>
        <w:rPr>
          <w:rFonts w:hAnsi="宋体"/>
          <w:sz w:val="21"/>
          <w:szCs w:val="21"/>
        </w:rPr>
      </w:pPr>
      <w:r>
        <w:rPr>
          <w:rFonts w:hint="eastAsia" w:hAnsi="宋体"/>
          <w:sz w:val="21"/>
          <w:szCs w:val="21"/>
        </w:rPr>
        <w:t>(2)法定代表人身份证明书原件、第二代身份证复印件（必须提供，同时要加盖竞标单位公章）；</w:t>
      </w:r>
    </w:p>
    <w:p>
      <w:pPr>
        <w:pStyle w:val="10"/>
        <w:spacing w:line="360" w:lineRule="auto"/>
        <w:ind w:left="420" w:firstLine="363"/>
        <w:rPr>
          <w:rFonts w:hAnsi="宋体"/>
          <w:b/>
          <w:bCs/>
          <w:sz w:val="21"/>
          <w:szCs w:val="21"/>
        </w:rPr>
      </w:pPr>
      <w:r>
        <w:rPr>
          <w:rFonts w:hint="eastAsia" w:hAnsi="宋体"/>
          <w:sz w:val="21"/>
          <w:szCs w:val="21"/>
        </w:rPr>
        <w:t>(</w:t>
      </w:r>
      <w:r>
        <w:rPr>
          <w:rFonts w:hAnsi="宋体"/>
          <w:sz w:val="21"/>
          <w:szCs w:val="21"/>
        </w:rPr>
        <w:t>3</w:t>
      </w:r>
      <w:r>
        <w:rPr>
          <w:rFonts w:hint="eastAsia" w:hAnsi="宋体"/>
          <w:sz w:val="21"/>
          <w:szCs w:val="21"/>
        </w:rPr>
        <w:t>)法定代表人授权委托书原件和委托代理人第二代身份证复印件</w:t>
      </w:r>
      <w:r>
        <w:rPr>
          <w:rFonts w:hint="eastAsia" w:hAnsi="宋体"/>
          <w:b/>
          <w:bCs/>
          <w:sz w:val="21"/>
          <w:szCs w:val="21"/>
        </w:rPr>
        <w:t>（委托代理时必须提供，同时加盖竞标单位公章）；</w:t>
      </w:r>
    </w:p>
    <w:p>
      <w:pPr>
        <w:pStyle w:val="10"/>
        <w:spacing w:line="360" w:lineRule="auto"/>
        <w:ind w:left="420" w:firstLine="363"/>
        <w:rPr>
          <w:rFonts w:hAnsi="宋体"/>
          <w:sz w:val="21"/>
          <w:szCs w:val="21"/>
        </w:rPr>
      </w:pPr>
      <w:r>
        <w:rPr>
          <w:rFonts w:hint="eastAsia" w:hAnsi="宋体"/>
          <w:sz w:val="21"/>
          <w:szCs w:val="21"/>
        </w:rPr>
        <w:t>(4)磋商保证金底单及基本账户开户许可证或《基本存款账户信息》凭证复印件；</w:t>
      </w:r>
      <w:r>
        <w:rPr>
          <w:rFonts w:hint="eastAsia" w:hAnsi="宋体"/>
          <w:b/>
          <w:bCs/>
          <w:sz w:val="21"/>
          <w:szCs w:val="21"/>
        </w:rPr>
        <w:t>（必须提供）</w:t>
      </w:r>
    </w:p>
    <w:p>
      <w:pPr>
        <w:pStyle w:val="10"/>
        <w:spacing w:line="360" w:lineRule="auto"/>
        <w:ind w:left="420" w:firstLine="363"/>
        <w:rPr>
          <w:rFonts w:hAnsi="宋体"/>
          <w:sz w:val="21"/>
          <w:szCs w:val="21"/>
        </w:rPr>
      </w:pPr>
      <w:r>
        <w:rPr>
          <w:rFonts w:hint="eastAsia" w:hAnsi="宋体"/>
          <w:sz w:val="21"/>
          <w:szCs w:val="21"/>
        </w:rPr>
        <w:t>(5)磋商供应商认为必要提供的声明及文件资料。</w:t>
      </w:r>
    </w:p>
    <w:p>
      <w:pPr>
        <w:pStyle w:val="4"/>
        <w:spacing w:line="400" w:lineRule="exact"/>
        <w:jc w:val="left"/>
        <w:rPr>
          <w:rFonts w:hAnsi="宋体" w:cs="宋体"/>
          <w:b/>
          <w:bCs/>
          <w:szCs w:val="24"/>
        </w:rPr>
      </w:pPr>
      <w:r>
        <w:rPr>
          <w:rFonts w:hint="eastAsia" w:hAnsi="宋体" w:cs="宋体"/>
          <w:b/>
          <w:bCs/>
          <w:szCs w:val="24"/>
        </w:rPr>
        <w:t>注：以上资格证明文件必须提供，并加盖竞标单位公章否则竞标无效。</w:t>
      </w:r>
    </w:p>
    <w:p>
      <w:pPr>
        <w:pStyle w:val="4"/>
        <w:spacing w:line="360" w:lineRule="exact"/>
        <w:rPr>
          <w:rFonts w:hAnsi="宋体" w:cs="宋体"/>
          <w:b/>
          <w:sz w:val="32"/>
        </w:rPr>
      </w:pPr>
    </w:p>
    <w:p>
      <w:pPr>
        <w:pStyle w:val="4"/>
        <w:spacing w:line="360" w:lineRule="exact"/>
        <w:rPr>
          <w:rFonts w:hAnsi="宋体" w:cs="宋体"/>
          <w:b/>
          <w:sz w:val="32"/>
        </w:rPr>
      </w:pPr>
    </w:p>
    <w:p>
      <w:pPr>
        <w:rPr>
          <w:rFonts w:ascii="宋体" w:hAnsi="宋体" w:cs="宋体"/>
          <w:b/>
          <w:sz w:val="32"/>
        </w:rPr>
      </w:pPr>
    </w:p>
    <w:p>
      <w:pPr>
        <w:pStyle w:val="2"/>
        <w:rPr>
          <w:rFonts w:ascii="宋体" w:hAnsi="宋体" w:cs="宋体"/>
          <w:b/>
          <w:sz w:val="32"/>
        </w:rPr>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rPr>
          <w:rFonts w:ascii="宋体" w:hAnsi="宋体" w:cs="宋体"/>
          <w:b/>
          <w:sz w:val="32"/>
        </w:rPr>
      </w:pPr>
    </w:p>
    <w:p>
      <w:pPr>
        <w:pStyle w:val="4"/>
        <w:spacing w:line="360" w:lineRule="exact"/>
        <w:jc w:val="center"/>
        <w:outlineLvl w:val="3"/>
        <w:rPr>
          <w:rFonts w:hAnsi="宋体" w:cs="宋体"/>
          <w:b/>
          <w:sz w:val="32"/>
        </w:rPr>
      </w:pPr>
    </w:p>
    <w:p>
      <w:pPr>
        <w:pStyle w:val="4"/>
        <w:spacing w:line="360" w:lineRule="exact"/>
        <w:jc w:val="center"/>
        <w:outlineLvl w:val="3"/>
        <w:rPr>
          <w:rFonts w:hAnsi="宋体" w:cs="宋体"/>
          <w:b/>
          <w:sz w:val="32"/>
        </w:rPr>
      </w:pPr>
      <w:r>
        <w:rPr>
          <w:rFonts w:hint="eastAsia" w:hAnsi="宋体" w:cs="宋体"/>
          <w:b/>
          <w:sz w:val="32"/>
        </w:rPr>
        <w:t>附件1：法定代表人身份证明书（格式）</w:t>
      </w:r>
    </w:p>
    <w:p>
      <w:pPr>
        <w:pStyle w:val="4"/>
        <w:spacing w:line="400" w:lineRule="exact"/>
        <w:rPr>
          <w:rFonts w:hAnsi="宋体" w:cs="宋体"/>
        </w:rPr>
      </w:pPr>
    </w:p>
    <w:p>
      <w:pPr>
        <w:pStyle w:val="4"/>
        <w:spacing w:line="400" w:lineRule="exact"/>
        <w:ind w:left="420" w:leftChars="200"/>
        <w:rPr>
          <w:rFonts w:hAnsi="宋体" w:cs="宋体"/>
          <w:u w:val="single"/>
        </w:rPr>
      </w:pPr>
      <w:r>
        <w:rPr>
          <w:rFonts w:hint="eastAsia" w:hAnsi="宋体" w:cs="宋体"/>
        </w:rPr>
        <w:t>单位性质：</w:t>
      </w:r>
      <w:r>
        <w:rPr>
          <w:rFonts w:hint="eastAsia" w:hAnsi="宋体" w:cs="宋体"/>
          <w:u w:val="single"/>
        </w:rPr>
        <w:t xml:space="preserve">                       </w:t>
      </w:r>
    </w:p>
    <w:p>
      <w:pPr>
        <w:pStyle w:val="4"/>
        <w:spacing w:line="400" w:lineRule="exact"/>
        <w:ind w:left="420" w:leftChars="200"/>
        <w:rPr>
          <w:rFonts w:hAnsi="宋体" w:cs="宋体"/>
        </w:rPr>
      </w:pPr>
    </w:p>
    <w:p>
      <w:pPr>
        <w:pStyle w:val="4"/>
        <w:spacing w:line="400" w:lineRule="exact"/>
        <w:ind w:left="420" w:leftChars="200"/>
        <w:rPr>
          <w:rFonts w:hAnsi="宋体" w:cs="宋体"/>
          <w:u w:val="single"/>
        </w:rPr>
      </w:pPr>
      <w:r>
        <w:rPr>
          <w:rFonts w:hint="eastAsia" w:hAnsi="宋体" w:cs="宋体"/>
        </w:rPr>
        <w:t>地址：</w:t>
      </w:r>
      <w:r>
        <w:rPr>
          <w:rFonts w:hint="eastAsia" w:hAnsi="宋体" w:cs="宋体"/>
          <w:u w:val="single"/>
        </w:rPr>
        <w:t xml:space="preserve">                       </w:t>
      </w:r>
    </w:p>
    <w:p>
      <w:pPr>
        <w:pStyle w:val="10"/>
        <w:ind w:left="420" w:leftChars="200"/>
        <w:rPr>
          <w:rFonts w:hAnsi="宋体"/>
          <w:color w:val="auto"/>
          <w:u w:val="single"/>
        </w:rPr>
      </w:pPr>
    </w:p>
    <w:p>
      <w:pPr>
        <w:pStyle w:val="13"/>
        <w:ind w:left="420" w:leftChars="200"/>
        <w:rPr>
          <w:rFonts w:ascii="宋体" w:hAnsi="宋体" w:cs="宋体"/>
        </w:rPr>
      </w:pPr>
    </w:p>
    <w:p>
      <w:pPr>
        <w:pStyle w:val="4"/>
        <w:spacing w:line="400" w:lineRule="exact"/>
        <w:ind w:left="420" w:leftChars="200"/>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w:t>
      </w:r>
    </w:p>
    <w:p>
      <w:pPr>
        <w:pStyle w:val="4"/>
        <w:spacing w:line="400" w:lineRule="exact"/>
        <w:ind w:left="420" w:leftChars="200"/>
        <w:rPr>
          <w:rFonts w:hAnsi="宋体" w:cs="宋体"/>
        </w:rPr>
      </w:pPr>
    </w:p>
    <w:p>
      <w:pPr>
        <w:pStyle w:val="4"/>
        <w:spacing w:line="400" w:lineRule="exact"/>
        <w:ind w:left="420" w:leftChars="200"/>
        <w:rPr>
          <w:rFonts w:hAnsi="宋体" w:cs="宋体"/>
        </w:rPr>
      </w:pPr>
      <w:r>
        <w:rPr>
          <w:rFonts w:hint="eastAsia" w:hAnsi="宋体" w:cs="宋体"/>
        </w:rPr>
        <w:t>经营期限：</w:t>
      </w:r>
      <w:r>
        <w:rPr>
          <w:rFonts w:hint="eastAsia" w:hAnsi="宋体" w:cs="宋体"/>
          <w:u w:val="single"/>
        </w:rPr>
        <w:t xml:space="preserve">                       </w:t>
      </w:r>
    </w:p>
    <w:p>
      <w:pPr>
        <w:pStyle w:val="4"/>
        <w:spacing w:line="400" w:lineRule="exact"/>
        <w:ind w:left="420" w:leftChars="200"/>
        <w:rPr>
          <w:rFonts w:hAnsi="宋体" w:cs="宋体"/>
        </w:rPr>
      </w:pPr>
    </w:p>
    <w:p>
      <w:pPr>
        <w:pStyle w:val="4"/>
        <w:spacing w:line="400" w:lineRule="exact"/>
        <w:ind w:left="420" w:leftChars="200"/>
        <w:rPr>
          <w:rFonts w:hAnsi="宋体" w:cs="宋体"/>
          <w:u w:val="single"/>
        </w:rPr>
      </w:pPr>
      <w:r>
        <w:rPr>
          <w:rFonts w:hint="eastAsia" w:hAnsi="宋体" w:cs="宋体"/>
        </w:rPr>
        <w:t>姓名：</w:t>
      </w:r>
      <w:r>
        <w:rPr>
          <w:rFonts w:hint="eastAsia" w:hAnsi="宋体" w:cs="宋体"/>
          <w:u w:val="single"/>
        </w:rPr>
        <w:t xml:space="preserve">           </w:t>
      </w:r>
      <w:r>
        <w:rPr>
          <w:rFonts w:hint="eastAsia" w:hAnsi="宋体" w:cs="宋体"/>
        </w:rPr>
        <w:t xml:space="preserve">      性别：</w:t>
      </w:r>
      <w:r>
        <w:rPr>
          <w:rFonts w:hint="eastAsia" w:hAnsi="宋体" w:cs="宋体"/>
          <w:u w:val="single"/>
        </w:rPr>
        <w:t xml:space="preserve">           </w:t>
      </w:r>
      <w:r>
        <w:rPr>
          <w:rFonts w:hint="eastAsia" w:hAnsi="宋体" w:cs="宋体"/>
        </w:rPr>
        <w:t xml:space="preserve">      年龄：</w:t>
      </w:r>
      <w:r>
        <w:rPr>
          <w:rFonts w:hint="eastAsia" w:hAnsi="宋体" w:cs="宋体"/>
          <w:u w:val="single"/>
        </w:rPr>
        <w:t xml:space="preserve">           </w:t>
      </w:r>
      <w:r>
        <w:rPr>
          <w:rFonts w:hint="eastAsia" w:hAnsi="宋体" w:cs="宋体"/>
        </w:rPr>
        <w:t xml:space="preserve">      职务：</w:t>
      </w:r>
      <w:r>
        <w:rPr>
          <w:rFonts w:hint="eastAsia" w:hAnsi="宋体" w:cs="宋体"/>
          <w:u w:val="single"/>
        </w:rPr>
        <w:t xml:space="preserve">           </w:t>
      </w:r>
    </w:p>
    <w:p>
      <w:pPr>
        <w:pStyle w:val="4"/>
        <w:spacing w:line="400" w:lineRule="exact"/>
        <w:ind w:left="420" w:leftChars="200"/>
        <w:rPr>
          <w:rFonts w:hAnsi="宋体" w:cs="宋体"/>
        </w:rPr>
      </w:pPr>
    </w:p>
    <w:p>
      <w:pPr>
        <w:pStyle w:val="4"/>
        <w:spacing w:line="400" w:lineRule="exact"/>
        <w:ind w:left="420" w:leftChars="200"/>
        <w:rPr>
          <w:rFonts w:hAnsi="宋体" w:cs="宋体"/>
        </w:rPr>
      </w:pPr>
      <w:r>
        <w:rPr>
          <w:rFonts w:hint="eastAsia" w:hAnsi="宋体" w:cs="宋体"/>
        </w:rPr>
        <w:t>系</w:t>
      </w:r>
      <w:r>
        <w:rPr>
          <w:rFonts w:hint="eastAsia" w:hAnsi="宋体" w:cs="宋体"/>
          <w:u w:val="single"/>
        </w:rPr>
        <w:t xml:space="preserve">     （竞标人名称）     </w:t>
      </w:r>
      <w:r>
        <w:rPr>
          <w:rFonts w:hint="eastAsia" w:hAnsi="宋体" w:cs="宋体"/>
        </w:rPr>
        <w:t>的法定代表人。</w:t>
      </w:r>
    </w:p>
    <w:p>
      <w:pPr>
        <w:pStyle w:val="4"/>
        <w:spacing w:line="400" w:lineRule="exact"/>
        <w:ind w:left="420" w:leftChars="200"/>
        <w:rPr>
          <w:rFonts w:hAnsi="宋体" w:cs="宋体"/>
        </w:rPr>
      </w:pPr>
    </w:p>
    <w:p>
      <w:pPr>
        <w:pStyle w:val="4"/>
        <w:spacing w:line="400" w:lineRule="exact"/>
        <w:ind w:left="420" w:leftChars="200"/>
        <w:rPr>
          <w:rFonts w:hAnsi="宋体" w:cs="宋体"/>
        </w:rPr>
      </w:pPr>
    </w:p>
    <w:p>
      <w:pPr>
        <w:pStyle w:val="4"/>
        <w:spacing w:line="400" w:lineRule="exact"/>
        <w:ind w:left="420" w:leftChars="200"/>
        <w:rPr>
          <w:rFonts w:hAnsi="宋体" w:cs="宋体"/>
        </w:rPr>
      </w:pPr>
      <w:r>
        <w:rPr>
          <w:rFonts w:hint="eastAsia" w:hAnsi="宋体" w:cs="宋体"/>
        </w:rPr>
        <w:t>特此证明。</w:t>
      </w:r>
    </w:p>
    <w:p>
      <w:pPr>
        <w:pStyle w:val="4"/>
        <w:spacing w:line="400" w:lineRule="exact"/>
        <w:jc w:val="center"/>
        <w:rPr>
          <w:rFonts w:hAnsi="宋体" w:cs="宋体"/>
        </w:rPr>
      </w:pPr>
    </w:p>
    <w:p>
      <w:pPr>
        <w:pStyle w:val="4"/>
        <w:spacing w:line="400" w:lineRule="exact"/>
        <w:ind w:firstLine="2520" w:firstLineChars="1200"/>
        <w:rPr>
          <w:rFonts w:hAnsi="宋体" w:cs="宋体"/>
        </w:rPr>
      </w:pPr>
      <w:r>
        <w:rPr>
          <w:rFonts w:hint="eastAsia" w:hAnsi="宋体" w:cs="宋体"/>
        </w:rPr>
        <w:t>供应商（公章）</w:t>
      </w:r>
      <w:r>
        <w:rPr>
          <w:rFonts w:hint="eastAsia" w:hAnsi="宋体" w:cs="宋体"/>
          <w:u w:val="single"/>
        </w:rPr>
        <w:t xml:space="preserve">                              </w:t>
      </w:r>
    </w:p>
    <w:p>
      <w:pPr>
        <w:pStyle w:val="4"/>
        <w:spacing w:line="400" w:lineRule="exact"/>
        <w:jc w:val="center"/>
        <w:rPr>
          <w:rFonts w:hAnsi="宋体" w:cs="宋体"/>
        </w:rPr>
      </w:pPr>
    </w:p>
    <w:p>
      <w:pPr>
        <w:pStyle w:val="4"/>
        <w:spacing w:line="400" w:lineRule="exact"/>
        <w:ind w:firstLine="2415" w:firstLineChars="1150"/>
        <w:rPr>
          <w:rFonts w:hAnsi="宋体" w:cs="宋体"/>
        </w:rPr>
      </w:pPr>
      <w:r>
        <w:rPr>
          <w:rFonts w:hint="eastAsia" w:hAnsi="宋体" w:cs="宋体"/>
        </w:rPr>
        <w:t>日期：</w:t>
      </w:r>
      <w:r>
        <w:rPr>
          <w:rFonts w:hint="eastAsia" w:hAnsi="宋体" w:cs="宋体"/>
          <w:u w:val="single"/>
        </w:rPr>
        <w:t xml:space="preserve">           </w:t>
      </w:r>
      <w:r>
        <w:rPr>
          <w:rFonts w:hint="eastAsia" w:hAnsi="宋体" w:cs="宋体"/>
        </w:rPr>
        <w:t xml:space="preserve">年 </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w:t>
      </w:r>
    </w:p>
    <w:p>
      <w:pPr>
        <w:pStyle w:val="4"/>
        <w:spacing w:line="400" w:lineRule="exact"/>
        <w:ind w:firstLine="2415" w:firstLineChars="1150"/>
        <w:rPr>
          <w:rFonts w:hAnsi="宋体" w:cs="宋体"/>
        </w:rPr>
      </w:pPr>
    </w:p>
    <w:p>
      <w:pPr>
        <w:pStyle w:val="4"/>
        <w:spacing w:line="400" w:lineRule="exact"/>
        <w:ind w:firstLine="2415" w:firstLineChars="1150"/>
        <w:rPr>
          <w:rFonts w:hAnsi="宋体" w:cs="宋体"/>
        </w:rPr>
      </w:pPr>
    </w:p>
    <w:p>
      <w:pPr>
        <w:pStyle w:val="4"/>
        <w:rPr>
          <w:rFonts w:hAnsi="宋体" w:cs="宋体"/>
        </w:rPr>
      </w:pPr>
      <w:r>
        <w:rPr>
          <w:rFonts w:hint="eastAsia" w:hAnsi="宋体" w:cs="宋体"/>
          <w:b/>
          <w:u w:val="double"/>
        </w:rPr>
        <w:t>附法定代表人身份证正、反两面复印件。</w:t>
      </w:r>
    </w:p>
    <w:p>
      <w:pPr>
        <w:pStyle w:val="4"/>
        <w:spacing w:line="400" w:lineRule="exact"/>
        <w:rPr>
          <w:rFonts w:hAnsi="宋体" w:cs="宋体"/>
          <w:b/>
        </w:rPr>
      </w:pPr>
    </w:p>
    <w:p>
      <w:pPr>
        <w:pStyle w:val="4"/>
        <w:spacing w:line="400" w:lineRule="exact"/>
        <w:rPr>
          <w:rFonts w:hAnsi="宋体" w:cs="宋体"/>
          <w:b/>
          <w:sz w:val="32"/>
        </w:rPr>
      </w:pPr>
      <w:r>
        <w:rPr>
          <w:rFonts w:hint="eastAsia" w:hAnsi="宋体" w:cs="宋体"/>
          <w:b/>
          <w:sz w:val="32"/>
        </w:rPr>
        <w:br w:type="page"/>
      </w:r>
    </w:p>
    <w:p>
      <w:pPr>
        <w:pStyle w:val="4"/>
        <w:spacing w:line="360" w:lineRule="exact"/>
        <w:jc w:val="center"/>
        <w:outlineLvl w:val="3"/>
        <w:rPr>
          <w:rFonts w:hAnsi="宋体" w:eastAsia="宋体" w:cs="宋体"/>
          <w:b/>
          <w:sz w:val="32"/>
        </w:rPr>
      </w:pPr>
      <w:r>
        <w:rPr>
          <w:rFonts w:hint="eastAsia" w:hAnsi="宋体" w:eastAsia="宋体" w:cs="宋体"/>
          <w:b/>
          <w:sz w:val="32"/>
        </w:rPr>
        <w:t>附件2：法定代表人授权委托书（格式）</w:t>
      </w:r>
    </w:p>
    <w:p>
      <w:pPr>
        <w:pStyle w:val="4"/>
        <w:spacing w:line="360" w:lineRule="exact"/>
        <w:jc w:val="center"/>
        <w:rPr>
          <w:rFonts w:hAnsi="宋体" w:eastAsia="宋体" w:cs="宋体"/>
          <w:b/>
          <w:sz w:val="24"/>
        </w:rPr>
      </w:pPr>
    </w:p>
    <w:p>
      <w:pPr>
        <w:pStyle w:val="4"/>
        <w:spacing w:line="360" w:lineRule="exact"/>
        <w:jc w:val="center"/>
        <w:rPr>
          <w:rFonts w:hAnsi="宋体" w:eastAsia="宋体" w:cs="宋体"/>
          <w:b/>
          <w:sz w:val="24"/>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（竞标人名称）的法定代表人，现授权委托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姓名）为我方代理人。代理人根据授权，以我方名义签署、澄清、说明、补正、提交、撤回、修改</w:t>
      </w:r>
      <w:r>
        <w:rPr>
          <w:rFonts w:hint="eastAsia" w:ascii="宋体" w:hAnsi="宋体" w:eastAsia="宋体" w:cs="宋体"/>
          <w:szCs w:val="21"/>
          <w:u w:val="single"/>
        </w:rPr>
        <w:t xml:space="preserve">                （项目名称及项目编号）　　　　　　</w:t>
      </w:r>
      <w:r>
        <w:rPr>
          <w:rFonts w:hint="eastAsia" w:ascii="宋体" w:hAnsi="宋体" w:eastAsia="宋体" w:cs="宋体"/>
          <w:szCs w:val="21"/>
        </w:rPr>
        <w:t>响应文件、签订合同和处理有关事宜，其法律后果由我方承担。</w:t>
      </w:r>
    </w:p>
    <w:p>
      <w:pPr>
        <w:spacing w:line="480" w:lineRule="auto"/>
        <w:ind w:firstLine="360"/>
        <w:rPr>
          <w:rFonts w:ascii="宋体" w:hAnsi="宋体" w:eastAsia="宋体" w:cs="宋体"/>
          <w:szCs w:val="21"/>
        </w:rPr>
      </w:pPr>
      <w:r>
        <w:rPr>
          <w:rFonts w:hint="eastAsia" w:ascii="宋体" w:hAnsi="宋体" w:eastAsia="宋体" w:cs="宋体"/>
          <w:szCs w:val="21"/>
        </w:rPr>
        <w:t>委托期限：</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80" w:lineRule="auto"/>
        <w:ind w:firstLine="315" w:firstLineChars="150"/>
        <w:rPr>
          <w:rFonts w:ascii="宋体" w:hAnsi="宋体" w:eastAsia="宋体" w:cs="宋体"/>
          <w:szCs w:val="21"/>
        </w:rPr>
      </w:pPr>
      <w:r>
        <w:rPr>
          <w:rFonts w:hint="eastAsia" w:ascii="宋体" w:hAnsi="宋体" w:eastAsia="宋体" w:cs="宋体"/>
          <w:szCs w:val="21"/>
        </w:rPr>
        <w:t>代理人无转委托权，特此委托。</w:t>
      </w:r>
    </w:p>
    <w:p>
      <w:pPr>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szCs w:val="21"/>
        </w:rPr>
      </w:pPr>
    </w:p>
    <w:p>
      <w:pPr>
        <w:ind w:left="1260"/>
        <w:rPr>
          <w:rFonts w:ascii="宋体" w:hAnsi="宋体" w:eastAsia="宋体" w:cs="宋体"/>
          <w:szCs w:val="21"/>
        </w:rPr>
      </w:pPr>
    </w:p>
    <w:p>
      <w:pPr>
        <w:ind w:left="1260"/>
        <w:rPr>
          <w:rFonts w:ascii="宋体" w:hAnsi="宋体" w:eastAsia="宋体" w:cs="宋体"/>
          <w:szCs w:val="21"/>
        </w:rPr>
      </w:pPr>
    </w:p>
    <w:p>
      <w:pPr>
        <w:ind w:left="1260"/>
        <w:rPr>
          <w:rFonts w:ascii="宋体" w:hAnsi="宋体" w:eastAsia="宋体" w:cs="宋体"/>
          <w:szCs w:val="21"/>
        </w:rPr>
      </w:pPr>
    </w:p>
    <w:p>
      <w:pPr>
        <w:wordWrap w:val="0"/>
        <w:ind w:left="3780" w:leftChars="1800"/>
        <w:jc w:val="left"/>
        <w:rPr>
          <w:rFonts w:ascii="宋体" w:hAnsi="宋体" w:eastAsia="宋体" w:cs="宋体"/>
          <w:szCs w:val="21"/>
        </w:rPr>
      </w:pPr>
      <w:r>
        <w:rPr>
          <w:rFonts w:hint="eastAsia" w:ascii="宋体" w:hAnsi="宋体" w:eastAsia="宋体" w:cs="宋体"/>
        </w:rPr>
        <w:t>供应商（公章）</w:t>
      </w:r>
      <w:r>
        <w:rPr>
          <w:rFonts w:hint="eastAsia" w:ascii="宋体" w:hAnsi="宋体" w:eastAsia="宋体" w:cs="宋体"/>
          <w:szCs w:val="21"/>
        </w:rPr>
        <w:t>：</w:t>
      </w:r>
      <w:r>
        <w:rPr>
          <w:rFonts w:hint="eastAsia" w:ascii="宋体" w:hAnsi="宋体" w:eastAsia="宋体" w:cs="宋体"/>
          <w:szCs w:val="21"/>
          <w:u w:val="single"/>
        </w:rPr>
        <w:t xml:space="preserve">                        </w:t>
      </w:r>
    </w:p>
    <w:p>
      <w:pPr>
        <w:ind w:left="3780" w:leftChars="1800"/>
        <w:jc w:val="left"/>
        <w:rPr>
          <w:rFonts w:ascii="宋体" w:hAnsi="宋体" w:eastAsia="宋体" w:cs="宋体"/>
          <w:szCs w:val="21"/>
        </w:rPr>
      </w:pPr>
    </w:p>
    <w:p>
      <w:pPr>
        <w:ind w:left="3780" w:leftChars="1800"/>
        <w:jc w:val="left"/>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wordWrap w:val="0"/>
        <w:ind w:left="3780" w:leftChars="1800"/>
        <w:jc w:val="left"/>
        <w:rPr>
          <w:rFonts w:ascii="宋体" w:hAnsi="宋体" w:eastAsia="宋体" w:cs="宋体"/>
          <w:szCs w:val="21"/>
        </w:rPr>
      </w:pPr>
    </w:p>
    <w:p>
      <w:pPr>
        <w:wordWrap w:val="0"/>
        <w:ind w:left="3780" w:leftChars="1800"/>
        <w:jc w:val="left"/>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wordWrap w:val="0"/>
        <w:ind w:left="3780" w:leftChars="1800"/>
        <w:jc w:val="left"/>
        <w:rPr>
          <w:rFonts w:ascii="宋体" w:hAnsi="宋体" w:eastAsia="宋体" w:cs="宋体"/>
          <w:szCs w:val="21"/>
        </w:rPr>
      </w:pPr>
    </w:p>
    <w:p>
      <w:pPr>
        <w:ind w:left="3780" w:leftChars="1800"/>
        <w:jc w:val="left"/>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wordWrap w:val="0"/>
        <w:ind w:left="3780" w:leftChars="1800"/>
        <w:jc w:val="left"/>
        <w:rPr>
          <w:rFonts w:ascii="宋体" w:hAnsi="宋体" w:eastAsia="宋体" w:cs="宋体"/>
          <w:szCs w:val="21"/>
        </w:rPr>
      </w:pPr>
    </w:p>
    <w:p>
      <w:pPr>
        <w:wordWrap w:val="0"/>
        <w:ind w:left="3780" w:leftChars="1800"/>
        <w:jc w:val="left"/>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ind w:left="3780" w:leftChars="1800"/>
        <w:jc w:val="left"/>
        <w:rPr>
          <w:rFonts w:ascii="宋体" w:hAnsi="宋体" w:eastAsia="宋体" w:cs="宋体"/>
          <w:szCs w:val="21"/>
          <w:u w:val="single"/>
        </w:rPr>
      </w:pPr>
    </w:p>
    <w:p>
      <w:pPr>
        <w:ind w:left="3780" w:leftChars="18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4"/>
        <w:spacing w:line="400" w:lineRule="exact"/>
        <w:ind w:firstLine="630" w:firstLineChars="300"/>
        <w:rPr>
          <w:rFonts w:hAnsi="宋体" w:eastAsia="宋体" w:cs="宋体"/>
          <w:szCs w:val="21"/>
        </w:rPr>
      </w:pPr>
    </w:p>
    <w:p>
      <w:pPr>
        <w:pStyle w:val="4"/>
        <w:spacing w:line="400" w:lineRule="exact"/>
        <w:ind w:firstLine="720" w:firstLineChars="300"/>
        <w:rPr>
          <w:rFonts w:hAnsi="宋体" w:eastAsia="宋体" w:cs="宋体"/>
          <w:sz w:val="24"/>
        </w:rPr>
      </w:pPr>
    </w:p>
    <w:p>
      <w:pPr>
        <w:pStyle w:val="4"/>
        <w:spacing w:line="400" w:lineRule="exact"/>
        <w:ind w:firstLine="720" w:firstLineChars="300"/>
        <w:rPr>
          <w:rFonts w:hAnsi="宋体" w:eastAsia="宋体" w:cs="宋体"/>
          <w:sz w:val="24"/>
        </w:rPr>
      </w:pPr>
    </w:p>
    <w:p>
      <w:pPr>
        <w:pStyle w:val="4"/>
        <w:spacing w:line="400" w:lineRule="exact"/>
        <w:rPr>
          <w:rFonts w:hAnsi="宋体" w:eastAsia="宋体" w:cs="宋体"/>
          <w:szCs w:val="21"/>
        </w:rPr>
      </w:pPr>
      <w:r>
        <w:rPr>
          <w:rFonts w:hint="eastAsia" w:hAnsi="宋体" w:eastAsia="宋体" w:cs="宋体"/>
          <w:b/>
          <w:u w:val="double"/>
        </w:rPr>
        <w:t>注：附代理人身份证正、反两面复印件。</w:t>
      </w:r>
    </w:p>
    <w:p>
      <w:pPr>
        <w:pStyle w:val="4"/>
        <w:spacing w:line="360" w:lineRule="exact"/>
        <w:jc w:val="center"/>
        <w:outlineLvl w:val="2"/>
        <w:rPr>
          <w:rFonts w:hAnsi="宋体" w:cs="宋体"/>
          <w:b/>
          <w:sz w:val="32"/>
        </w:rPr>
      </w:pPr>
      <w:r>
        <w:rPr>
          <w:rFonts w:hint="eastAsia" w:hAnsi="宋体" w:eastAsia="宋体" w:cs="宋体"/>
          <w:szCs w:val="21"/>
        </w:rPr>
        <w:br w:type="page"/>
      </w:r>
      <w:bookmarkStart w:id="71" w:name="_Toc370977756"/>
      <w:bookmarkStart w:id="72" w:name="_Toc2514"/>
      <w:bookmarkStart w:id="73" w:name="_Toc329096203"/>
      <w:bookmarkStart w:id="74" w:name="_Toc4999"/>
      <w:r>
        <w:rPr>
          <w:rFonts w:hint="eastAsia" w:hAnsi="宋体" w:eastAsia="宋体" w:cs="宋体"/>
          <w:b/>
          <w:sz w:val="32"/>
        </w:rPr>
        <w:t>三</w:t>
      </w:r>
      <w:r>
        <w:rPr>
          <w:rFonts w:hint="eastAsia" w:hAnsi="宋体" w:cs="宋体"/>
          <w:b/>
          <w:sz w:val="32"/>
        </w:rPr>
        <w:t>、货物合格证明文件（格式）</w:t>
      </w:r>
      <w:bookmarkEnd w:id="71"/>
      <w:bookmarkEnd w:id="72"/>
      <w:bookmarkEnd w:id="73"/>
      <w:bookmarkEnd w:id="74"/>
    </w:p>
    <w:p>
      <w:pPr>
        <w:pStyle w:val="4"/>
        <w:spacing w:line="400" w:lineRule="exact"/>
        <w:jc w:val="center"/>
        <w:rPr>
          <w:rFonts w:hAnsi="宋体" w:cs="宋体"/>
        </w:rPr>
      </w:pPr>
      <w:r>
        <w:rPr>
          <w:rFonts w:hint="eastAsia" w:hAnsi="宋体" w:cs="宋体"/>
        </w:rPr>
        <w:t>（按第二章“供应商须知”第14条要求提供）</w:t>
      </w:r>
    </w:p>
    <w:p>
      <w:pPr>
        <w:pStyle w:val="4"/>
        <w:spacing w:line="360" w:lineRule="exact"/>
        <w:ind w:firstLine="420"/>
        <w:rPr>
          <w:rFonts w:hAnsi="宋体" w:cs="宋体"/>
        </w:rPr>
      </w:pPr>
    </w:p>
    <w:p>
      <w:pPr>
        <w:pStyle w:val="10"/>
        <w:rPr>
          <w:rFonts w:hAnsi="宋体"/>
          <w:color w:val="auto"/>
        </w:rPr>
      </w:pPr>
    </w:p>
    <w:p>
      <w:pPr>
        <w:pStyle w:val="13"/>
        <w:spacing w:line="360" w:lineRule="auto"/>
        <w:ind w:left="0"/>
        <w:rPr>
          <w:rFonts w:ascii="宋体" w:hAnsi="宋体" w:cs="宋体"/>
        </w:rPr>
      </w:pPr>
      <w:r>
        <w:rPr>
          <w:rFonts w:hint="eastAsia" w:ascii="宋体" w:hAnsi="宋体" w:cs="宋体"/>
        </w:rPr>
        <w:t>磋商供应商还应提交根据本项目要求提供证明货物和手续合格性的文件及资料。它们可以是：</w:t>
      </w:r>
    </w:p>
    <w:p>
      <w:pPr>
        <w:pStyle w:val="4"/>
        <w:spacing w:line="360" w:lineRule="auto"/>
        <w:ind w:left="420"/>
        <w:rPr>
          <w:rFonts w:hAnsi="宋体" w:cs="宋体"/>
        </w:rPr>
      </w:pPr>
      <w:r>
        <w:rPr>
          <w:rFonts w:hint="eastAsia" w:hAnsi="宋体" w:cs="宋体"/>
        </w:rPr>
        <w:t>（1）生产厂家的有关资格和生产许可证、产品实行强制标准认证的证书、产品质量检验证（如有，请提供复印件)；</w:t>
      </w:r>
    </w:p>
    <w:p>
      <w:pPr>
        <w:pStyle w:val="4"/>
        <w:spacing w:line="360" w:lineRule="auto"/>
        <w:ind w:left="420"/>
        <w:rPr>
          <w:rFonts w:hAnsi="宋体" w:cs="宋体"/>
          <w:b/>
        </w:rPr>
      </w:pPr>
      <w:r>
        <w:rPr>
          <w:rFonts w:hint="eastAsia" w:hAnsi="宋体" w:cs="宋体"/>
        </w:rPr>
        <w:t>（2）竞标产品说明书或产品彩页（如有，请提供复印件）；</w:t>
      </w:r>
    </w:p>
    <w:p>
      <w:pPr>
        <w:pStyle w:val="4"/>
        <w:spacing w:line="360" w:lineRule="auto"/>
        <w:ind w:left="420"/>
        <w:rPr>
          <w:rFonts w:hAnsi="宋体" w:cs="宋体"/>
        </w:rPr>
      </w:pPr>
      <w:r>
        <w:rPr>
          <w:rFonts w:hint="eastAsia" w:hAnsi="宋体" w:cs="宋体"/>
        </w:rPr>
        <w:t>（3）货物保证供货有效证明（如有，请提供复印件）；</w:t>
      </w:r>
    </w:p>
    <w:p>
      <w:pPr>
        <w:pStyle w:val="4"/>
        <w:spacing w:line="360" w:lineRule="auto"/>
        <w:ind w:left="420"/>
        <w:rPr>
          <w:rFonts w:hAnsi="宋体" w:cs="宋体"/>
        </w:rPr>
      </w:pPr>
      <w:r>
        <w:rPr>
          <w:rFonts w:hint="eastAsia" w:hAnsi="宋体" w:cs="宋体"/>
        </w:rPr>
        <w:t>（4）节能、环保方面的证明材料要求（如有，请提供复印件）；</w:t>
      </w:r>
    </w:p>
    <w:p>
      <w:pPr>
        <w:pStyle w:val="4"/>
        <w:spacing w:line="360" w:lineRule="auto"/>
        <w:ind w:left="420"/>
        <w:rPr>
          <w:rFonts w:hAnsi="宋体" w:cs="宋体"/>
        </w:rPr>
      </w:pPr>
      <w:r>
        <w:rPr>
          <w:rFonts w:hint="eastAsia" w:hAnsi="宋体" w:cs="宋体"/>
        </w:rPr>
        <w:t>（5）纳入自主创新产品的证明材料（如有，请提供复印件）；</w:t>
      </w:r>
    </w:p>
    <w:p>
      <w:pPr>
        <w:pStyle w:val="4"/>
        <w:spacing w:line="360" w:lineRule="auto"/>
        <w:ind w:left="420"/>
        <w:rPr>
          <w:rFonts w:hAnsi="宋体" w:cs="宋体"/>
        </w:rPr>
      </w:pPr>
      <w:r>
        <w:rPr>
          <w:rFonts w:hint="eastAsia" w:hAnsi="宋体" w:cs="宋体"/>
        </w:rPr>
        <w:t>（6）进口产品合法手续有效证明（如有，请提供复印件）；</w:t>
      </w:r>
    </w:p>
    <w:p>
      <w:pPr>
        <w:pStyle w:val="4"/>
        <w:spacing w:line="360" w:lineRule="auto"/>
        <w:ind w:left="420"/>
        <w:rPr>
          <w:rFonts w:hAnsi="宋体" w:cs="宋体"/>
        </w:rPr>
      </w:pPr>
      <w:r>
        <w:rPr>
          <w:rFonts w:hint="eastAsia" w:hAnsi="宋体" w:cs="宋体"/>
        </w:rPr>
        <w:t>（7）第三章《采购需求和说明》中明确要求的其他竞标产品合格证明文件</w:t>
      </w:r>
      <w:r>
        <w:rPr>
          <w:rFonts w:hint="eastAsia" w:hAnsi="宋体" w:cs="宋体"/>
          <w:b/>
        </w:rPr>
        <w:t>（如有要求则必须提供，同时加盖竞标单位公章）。</w:t>
      </w:r>
    </w:p>
    <w:p>
      <w:pPr>
        <w:pStyle w:val="3"/>
        <w:rPr>
          <w:rFonts w:ascii="宋体" w:hAnsi="宋体" w:cs="宋体"/>
        </w:rPr>
      </w:pPr>
    </w:p>
    <w:p>
      <w:pPr>
        <w:rPr>
          <w:rFonts w:ascii="宋体" w:hAnsi="宋体" w:cs="宋体"/>
        </w:rPr>
      </w:pPr>
    </w:p>
    <w:p>
      <w:pPr>
        <w:pStyle w:val="3"/>
        <w:rPr>
          <w:rFonts w:ascii="宋体" w:hAnsi="宋体" w:cs="宋体"/>
        </w:rPr>
      </w:pPr>
    </w:p>
    <w:p>
      <w:pPr>
        <w:pStyle w:val="3"/>
        <w:rPr>
          <w:rFonts w:ascii="宋体" w:hAnsi="宋体" w:cs="宋体"/>
        </w:rPr>
      </w:pPr>
    </w:p>
    <w:p>
      <w:pPr>
        <w:pStyle w:val="3"/>
        <w:rPr>
          <w:rFonts w:ascii="宋体" w:hAnsi="宋体" w:cs="宋体"/>
        </w:rPr>
      </w:pPr>
    </w:p>
    <w:p>
      <w:pPr>
        <w:rPr>
          <w:rFonts w:ascii="宋体" w:hAnsi="宋体" w:cs="宋体"/>
        </w:rPr>
      </w:pPr>
    </w:p>
    <w:p>
      <w:pPr>
        <w:pStyle w:val="3"/>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13"/>
        <w:ind w:left="0"/>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p>
      <w:pPr>
        <w:pStyle w:val="4"/>
        <w:spacing w:line="360" w:lineRule="exact"/>
        <w:jc w:val="center"/>
        <w:outlineLvl w:val="2"/>
        <w:rPr>
          <w:rFonts w:hAnsi="宋体" w:cs="宋体"/>
          <w:b/>
          <w:sz w:val="32"/>
        </w:rPr>
      </w:pPr>
      <w:bookmarkStart w:id="75" w:name="_Toc13336"/>
      <w:bookmarkStart w:id="76" w:name="_Toc30948"/>
      <w:bookmarkStart w:id="77" w:name="_Toc319493289"/>
      <w:bookmarkStart w:id="78" w:name="_Toc370977758"/>
      <w:bookmarkStart w:id="79" w:name="_Toc309395165"/>
      <w:r>
        <w:rPr>
          <w:rFonts w:hint="eastAsia" w:hAnsi="宋体" w:cs="宋体"/>
          <w:b/>
          <w:sz w:val="32"/>
        </w:rPr>
        <w:t>四、服务方案</w:t>
      </w:r>
      <w:bookmarkEnd w:id="75"/>
      <w:bookmarkEnd w:id="76"/>
    </w:p>
    <w:p>
      <w:pPr>
        <w:pStyle w:val="4"/>
        <w:spacing w:line="360" w:lineRule="exact"/>
        <w:ind w:firstLine="4337" w:firstLineChars="2400"/>
        <w:rPr>
          <w:rFonts w:hAnsi="宋体" w:cs="宋体"/>
          <w:b/>
          <w:sz w:val="18"/>
          <w:szCs w:val="18"/>
        </w:rPr>
      </w:pPr>
      <w:r>
        <w:rPr>
          <w:rFonts w:hint="eastAsia" w:hAnsi="宋体" w:cs="宋体"/>
          <w:b/>
          <w:sz w:val="18"/>
          <w:szCs w:val="18"/>
        </w:rPr>
        <w:t>（格式自拟）</w:t>
      </w:r>
    </w:p>
    <w:p>
      <w:pPr>
        <w:pStyle w:val="10"/>
        <w:rPr>
          <w:rFonts w:hAnsi="宋体"/>
          <w:b/>
          <w:color w:val="auto"/>
          <w:sz w:val="18"/>
          <w:szCs w:val="18"/>
        </w:rPr>
      </w:pPr>
    </w:p>
    <w:p>
      <w:pPr>
        <w:pStyle w:val="13"/>
        <w:rPr>
          <w:rFonts w:ascii="宋体" w:hAnsi="宋体" w:cs="宋体"/>
          <w:b/>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pStyle w:val="3"/>
        <w:rPr>
          <w:rFonts w:ascii="宋体" w:hAnsi="宋体" w:cs="宋体"/>
        </w:rPr>
      </w:pPr>
    </w:p>
    <w:p>
      <w:pPr>
        <w:rPr>
          <w:rFonts w:ascii="宋体" w:hAnsi="宋体" w:cs="宋体"/>
          <w:b/>
          <w:sz w:val="18"/>
          <w:szCs w:val="18"/>
        </w:rPr>
      </w:pPr>
    </w:p>
    <w:bookmarkEnd w:id="77"/>
    <w:bookmarkEnd w:id="78"/>
    <w:bookmarkEnd w:id="79"/>
    <w:p>
      <w:pPr>
        <w:pStyle w:val="4"/>
        <w:spacing w:line="360" w:lineRule="exact"/>
        <w:rPr>
          <w:rFonts w:hAnsi="宋体" w:cs="宋体"/>
          <w:b/>
          <w:sz w:val="32"/>
        </w:rPr>
      </w:pPr>
    </w:p>
    <w:p>
      <w:pPr>
        <w:pStyle w:val="4"/>
        <w:spacing w:line="360" w:lineRule="auto"/>
        <w:jc w:val="center"/>
        <w:outlineLvl w:val="1"/>
        <w:rPr>
          <w:rFonts w:hAnsi="宋体" w:cs="宋体"/>
          <w:b/>
          <w:sz w:val="44"/>
          <w:szCs w:val="44"/>
        </w:rPr>
      </w:pPr>
      <w:bookmarkStart w:id="80" w:name="_Toc23176"/>
      <w:bookmarkStart w:id="81" w:name="_Toc10829"/>
      <w:r>
        <w:rPr>
          <w:rFonts w:hint="eastAsia" w:hAnsi="宋体" w:cs="宋体"/>
          <w:b/>
          <w:sz w:val="44"/>
          <w:szCs w:val="44"/>
        </w:rPr>
        <w:t>第三部分  其他资料</w:t>
      </w:r>
      <w:bookmarkEnd w:id="80"/>
      <w:bookmarkEnd w:id="81"/>
    </w:p>
    <w:p>
      <w:pPr>
        <w:pStyle w:val="7"/>
        <w:jc w:val="center"/>
        <w:rPr>
          <w:rFonts w:cs="宋体"/>
        </w:rPr>
      </w:pPr>
      <w:r>
        <w:rPr>
          <w:rFonts w:hint="eastAsia" w:cs="宋体"/>
        </w:rPr>
        <w:t>（竞标人认为有必要提供的其它资料）</w:t>
      </w:r>
    </w:p>
    <w:p>
      <w:pPr>
        <w:pStyle w:val="4"/>
        <w:spacing w:line="360" w:lineRule="exact"/>
        <w:rPr>
          <w:rFonts w:hAnsi="宋体" w:cs="宋体"/>
          <w:b/>
          <w:sz w:val="32"/>
        </w:rPr>
      </w:pPr>
    </w:p>
    <w:p>
      <w:pPr>
        <w:pStyle w:val="4"/>
        <w:spacing w:line="360" w:lineRule="auto"/>
        <w:outlineLvl w:val="2"/>
        <w:rPr>
          <w:rFonts w:hAnsi="宋体" w:cs="宋体"/>
          <w:b/>
          <w:sz w:val="32"/>
        </w:rPr>
      </w:pPr>
      <w:bookmarkStart w:id="82" w:name="_Toc31965"/>
      <w:bookmarkStart w:id="83" w:name="_Toc19251"/>
      <w:r>
        <w:rPr>
          <w:rFonts w:hint="eastAsia" w:hAnsi="宋体" w:cs="宋体"/>
          <w:b/>
          <w:sz w:val="24"/>
          <w:szCs w:val="24"/>
        </w:rPr>
        <w:t>一、采购需求中要求提供的其他文件</w:t>
      </w:r>
      <w:bookmarkEnd w:id="82"/>
      <w:bookmarkEnd w:id="83"/>
    </w:p>
    <w:p>
      <w:pPr>
        <w:pStyle w:val="4"/>
        <w:spacing w:line="360" w:lineRule="auto"/>
        <w:outlineLvl w:val="2"/>
        <w:rPr>
          <w:rFonts w:hAnsi="宋体" w:cs="宋体"/>
          <w:b/>
          <w:sz w:val="24"/>
          <w:szCs w:val="24"/>
        </w:rPr>
      </w:pPr>
      <w:bookmarkStart w:id="84" w:name="_Toc30383"/>
      <w:bookmarkStart w:id="85" w:name="_Toc19579"/>
      <w:r>
        <w:rPr>
          <w:rFonts w:hint="eastAsia" w:hAnsi="宋体" w:cs="宋体"/>
          <w:b/>
          <w:sz w:val="24"/>
          <w:szCs w:val="24"/>
        </w:rPr>
        <w:t>二、供应商需要说明的其他文件</w:t>
      </w:r>
      <w:bookmarkEnd w:id="84"/>
      <w:bookmarkEnd w:id="85"/>
    </w:p>
    <w:p/>
    <w:p>
      <w:pPr>
        <w:pStyle w:val="11"/>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0000000F"/>
    <w:multiLevelType w:val="multilevel"/>
    <w:tmpl w:val="0000000F"/>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78D850F"/>
    <w:multiLevelType w:val="singleLevel"/>
    <w:tmpl w:val="378D850F"/>
    <w:lvl w:ilvl="0" w:tentative="0">
      <w:start w:val="3"/>
      <w:numFmt w:val="chineseCounting"/>
      <w:suff w:val="space"/>
      <w:lvlText w:val="第%1部分"/>
      <w:lvlJc w:val="left"/>
      <w:rPr>
        <w:rFonts w:hint="eastAsia"/>
      </w:rPr>
    </w:lvl>
  </w:abstractNum>
  <w:abstractNum w:abstractNumId="7">
    <w:nsid w:val="59C88923"/>
    <w:multiLevelType w:val="singleLevel"/>
    <w:tmpl w:val="59C88923"/>
    <w:lvl w:ilvl="0" w:tentative="0">
      <w:start w:val="1"/>
      <w:numFmt w:val="chineseCounting"/>
      <w:suff w:val="space"/>
      <w:lvlText w:val="第%1部分"/>
      <w:lvlJc w:val="left"/>
      <w:rPr>
        <w:rFonts w:hint="eastAsia"/>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MGE3YjIyODMxMDI0ZWUzNmIwNzQ4NTVkMmIxNzAifQ=="/>
  </w:docVars>
  <w:rsids>
    <w:rsidRoot w:val="38EE0E18"/>
    <w:rsid w:val="000C3926"/>
    <w:rsid w:val="004871C9"/>
    <w:rsid w:val="006511F2"/>
    <w:rsid w:val="00D822F4"/>
    <w:rsid w:val="00E743F8"/>
    <w:rsid w:val="10CC7922"/>
    <w:rsid w:val="13171FD9"/>
    <w:rsid w:val="194B4A95"/>
    <w:rsid w:val="1B0A07E9"/>
    <w:rsid w:val="1B3D472A"/>
    <w:rsid w:val="1E633CFB"/>
    <w:rsid w:val="26785093"/>
    <w:rsid w:val="29181D25"/>
    <w:rsid w:val="2A25163E"/>
    <w:rsid w:val="2A5A124B"/>
    <w:rsid w:val="308F1E5B"/>
    <w:rsid w:val="365B625D"/>
    <w:rsid w:val="36E8776F"/>
    <w:rsid w:val="38EE0E18"/>
    <w:rsid w:val="3AE66F5B"/>
    <w:rsid w:val="3B6F0398"/>
    <w:rsid w:val="3D596ED7"/>
    <w:rsid w:val="49FF201A"/>
    <w:rsid w:val="52160A44"/>
    <w:rsid w:val="555D0C6B"/>
    <w:rsid w:val="5BFF79AC"/>
    <w:rsid w:val="6A8E0CA7"/>
    <w:rsid w:val="6B387D43"/>
    <w:rsid w:val="6B9637FE"/>
    <w:rsid w:val="6BC91B02"/>
    <w:rsid w:val="7EBF7307"/>
    <w:rsid w:val="7FE7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Plain Text"/>
    <w:basedOn w:val="1"/>
    <w:next w:val="1"/>
    <w:qFormat/>
    <w:uiPriority w:val="0"/>
    <w:rPr>
      <w:rFonts w:ascii="宋体" w:hAnsi="Courier New"/>
      <w:szCs w:val="20"/>
    </w:rPr>
  </w:style>
  <w:style w:type="paragraph" w:styleId="5">
    <w:name w:val="toc 1"/>
    <w:basedOn w:val="1"/>
    <w:next w:val="1"/>
    <w:qFormat/>
    <w:uiPriority w:val="39"/>
  </w:style>
  <w:style w:type="paragraph" w:styleId="6">
    <w:name w:val="Normal (Web)"/>
    <w:basedOn w:val="1"/>
    <w:uiPriority w:val="0"/>
    <w:pPr>
      <w:spacing w:before="100" w:beforeAutospacing="1" w:after="100" w:afterAutospacing="1"/>
      <w:jc w:val="left"/>
    </w:pPr>
    <w:rPr>
      <w:rFonts w:cs="Times New Roman"/>
      <w:kern w:val="0"/>
      <w:sz w:val="24"/>
    </w:rPr>
  </w:style>
  <w:style w:type="paragraph" w:styleId="7">
    <w:name w:val="index 1"/>
    <w:basedOn w:val="1"/>
    <w:next w:val="1"/>
    <w:qFormat/>
    <w:uiPriority w:val="0"/>
    <w:pPr>
      <w:spacing w:line="240" w:lineRule="exact"/>
      <w:ind w:firstLine="420" w:firstLineChars="200"/>
    </w:pPr>
    <w:rPr>
      <w:rFonts w:ascii="宋体" w:hAnsi="宋体"/>
      <w:bCs/>
      <w:szCs w:val="21"/>
    </w:rPr>
  </w:style>
  <w:style w:type="paragraph" w:customStyle="1" w:styleId="10">
    <w:name w:val="Default"/>
    <w:next w:val="1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2">
    <w:name w:val="1"/>
    <w:basedOn w:val="1"/>
    <w:next w:val="4"/>
    <w:qFormat/>
    <w:uiPriority w:val="0"/>
    <w:rPr>
      <w:rFonts w:ascii="宋体" w:hAnsi="Courier New"/>
      <w:szCs w:val="20"/>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1851</Words>
  <Characters>10554</Characters>
  <Lines>87</Lines>
  <Paragraphs>24</Paragraphs>
  <TotalTime>0</TotalTime>
  <ScaleCrop>false</ScaleCrop>
  <LinksUpToDate>false</LinksUpToDate>
  <CharactersWithSpaces>12381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2023-03-27T10:07:00Z</dcterms:created>
  <dc:creator>小阿姨</dc:creator>
  <cp:lastModifiedBy>日月星辰</cp:lastModifiedBy>
  <dcterms:modified xsi:type="dcterms:W3CDTF">2023-04-19T03:51:44Z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FDE2D22F777E4BD58EB80498572D9D19</vt:lpwstr>
  </property>
</Properties>
</file>