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Chars="0"/>
        <w:jc w:val="center"/>
        <w:rPr>
          <w:rFonts w:asciiTheme="minorEastAsia" w:hAnsiTheme="minorEastAsia"/>
          <w:b/>
          <w:bCs/>
          <w:color w:val="000000"/>
          <w:sz w:val="44"/>
          <w:szCs w:val="44"/>
        </w:rPr>
      </w:pPr>
      <w:r>
        <w:rPr>
          <w:rFonts w:hint="eastAsia" w:asciiTheme="minorEastAsia" w:hAnsiTheme="minorEastAsia"/>
          <w:b/>
          <w:bCs/>
          <w:color w:val="000000"/>
          <w:sz w:val="44"/>
          <w:szCs w:val="44"/>
        </w:rPr>
        <w:t>广西壮族自治区桂东人民医院</w:t>
      </w:r>
    </w:p>
    <w:p>
      <w:pPr>
        <w:pStyle w:val="5"/>
        <w:ind w:leftChars="0"/>
        <w:jc w:val="center"/>
        <w:rPr>
          <w:rFonts w:hint="eastAsia" w:asciiTheme="minorEastAsia" w:hAnsiTheme="minorEastAsia"/>
          <w:b/>
          <w:bCs/>
          <w:color w:val="000000"/>
          <w:sz w:val="44"/>
          <w:szCs w:val="44"/>
        </w:rPr>
      </w:pPr>
      <w:r>
        <w:rPr>
          <w:rFonts w:hint="eastAsia" w:asciiTheme="minorEastAsia" w:hAnsiTheme="minorEastAsia"/>
          <w:b/>
          <w:bCs/>
          <w:color w:val="000000"/>
          <w:sz w:val="44"/>
          <w:szCs w:val="44"/>
          <w:lang w:eastAsia="zh-CN"/>
        </w:rPr>
        <w:t>陪人探视管理系统二期</w:t>
      </w:r>
      <w:r>
        <w:rPr>
          <w:rFonts w:hint="eastAsia" w:asciiTheme="minorEastAsia" w:hAnsiTheme="minorEastAsia"/>
          <w:b/>
          <w:bCs/>
          <w:color w:val="000000"/>
          <w:sz w:val="44"/>
          <w:szCs w:val="44"/>
        </w:rPr>
        <w:t>合同</w:t>
      </w:r>
    </w:p>
    <w:p>
      <w:pPr>
        <w:pStyle w:val="5"/>
        <w:ind w:left="0" w:leftChars="0" w:firstLine="2530" w:firstLineChars="900"/>
        <w:rPr>
          <w:b/>
          <w:bCs/>
          <w:color w:val="000000"/>
          <w:sz w:val="28"/>
          <w:szCs w:val="28"/>
        </w:rPr>
      </w:pPr>
    </w:p>
    <w:p>
      <w:pPr>
        <w:pStyle w:val="5"/>
        <w:ind w:left="0" w:leftChars="0" w:firstLine="2530" w:firstLineChars="900"/>
        <w:rPr>
          <w:b/>
          <w:bCs/>
          <w:color w:val="000000"/>
          <w:sz w:val="28"/>
          <w:szCs w:val="28"/>
        </w:rPr>
      </w:pPr>
    </w:p>
    <w:p>
      <w:pPr>
        <w:pStyle w:val="5"/>
        <w:ind w:left="0" w:leftChars="0" w:firstLine="2530" w:firstLineChars="900"/>
        <w:rPr>
          <w:b/>
          <w:bCs/>
          <w:color w:val="000000"/>
          <w:sz w:val="28"/>
          <w:szCs w:val="28"/>
        </w:rPr>
      </w:pPr>
    </w:p>
    <w:p>
      <w:pPr>
        <w:pStyle w:val="5"/>
        <w:ind w:left="0" w:leftChars="0" w:firstLine="2530" w:firstLineChars="900"/>
        <w:rPr>
          <w:b/>
          <w:bCs/>
          <w:color w:val="000000"/>
          <w:sz w:val="28"/>
          <w:szCs w:val="28"/>
        </w:rPr>
      </w:pPr>
    </w:p>
    <w:p>
      <w:pPr>
        <w:pStyle w:val="5"/>
        <w:ind w:left="0" w:leftChars="0" w:firstLine="2530" w:firstLineChars="900"/>
        <w:rPr>
          <w:b/>
          <w:bCs/>
          <w:color w:val="000000"/>
          <w:sz w:val="28"/>
          <w:szCs w:val="28"/>
        </w:rPr>
      </w:pPr>
    </w:p>
    <w:p>
      <w:pPr>
        <w:pStyle w:val="5"/>
        <w:ind w:left="0" w:leftChars="0" w:firstLine="2530" w:firstLineChars="900"/>
        <w:rPr>
          <w:b/>
          <w:bCs/>
          <w:color w:val="000000"/>
          <w:sz w:val="28"/>
          <w:szCs w:val="28"/>
        </w:rPr>
      </w:pPr>
      <w:r>
        <w:rPr>
          <w:rFonts w:hint="eastAsia"/>
          <w:b/>
          <w:bCs/>
          <w:color w:val="000000"/>
          <w:sz w:val="28"/>
          <w:szCs w:val="28"/>
        </w:rPr>
        <w:t>甲方：广西壮族自治区桂东人民医院</w:t>
      </w:r>
    </w:p>
    <w:p>
      <w:pPr>
        <w:pStyle w:val="5"/>
        <w:ind w:left="0" w:leftChars="0" w:firstLine="2502" w:firstLineChars="890"/>
        <w:rPr>
          <w:b/>
          <w:bCs/>
          <w:sz w:val="28"/>
          <w:szCs w:val="28"/>
        </w:rPr>
      </w:pPr>
      <w:r>
        <w:rPr>
          <w:rFonts w:hint="eastAsia"/>
          <w:b/>
          <w:sz w:val="28"/>
          <w:szCs w:val="28"/>
        </w:rPr>
        <w:t>乙方：</w:t>
      </w:r>
    </w:p>
    <w:p>
      <w:pPr>
        <w:rPr>
          <w:rFonts w:ascii="宋体" w:hAnsi="宋体"/>
          <w:sz w:val="28"/>
          <w:szCs w:val="28"/>
        </w:rPr>
      </w:pPr>
      <w:r>
        <w:rPr>
          <w:rFonts w:hint="eastAsia" w:ascii="宋体" w:hAnsi="宋体"/>
          <w:sz w:val="28"/>
          <w:szCs w:val="28"/>
        </w:rPr>
        <w:t xml:space="preserve">                </w:t>
      </w:r>
    </w:p>
    <w:p>
      <w:pPr>
        <w:rPr>
          <w:sz w:val="28"/>
          <w:szCs w:val="28"/>
        </w:rPr>
      </w:pPr>
    </w:p>
    <w:p>
      <w:pPr>
        <w:pStyle w:val="5"/>
        <w:ind w:left="0" w:leftChars="0"/>
        <w:jc w:val="center"/>
        <w:rPr>
          <w:b/>
          <w:bCs/>
          <w:color w:val="000000"/>
          <w:sz w:val="28"/>
          <w:szCs w:val="28"/>
        </w:rPr>
      </w:pPr>
    </w:p>
    <w:p>
      <w:pPr>
        <w:rPr>
          <w:sz w:val="28"/>
          <w:szCs w:val="28"/>
        </w:rPr>
      </w:pPr>
    </w:p>
    <w:p>
      <w:pPr>
        <w:rPr>
          <w:sz w:val="28"/>
          <w:szCs w:val="28"/>
        </w:rPr>
      </w:pPr>
    </w:p>
    <w:p>
      <w:pPr>
        <w:jc w:val="center"/>
        <w:rPr>
          <w:b/>
          <w:bCs/>
          <w:sz w:val="28"/>
          <w:szCs w:val="28"/>
        </w:rPr>
      </w:pPr>
    </w:p>
    <w:p>
      <w:pPr>
        <w:spacing w:line="500" w:lineRule="exact"/>
        <w:ind w:left="6440" w:hanging="6440" w:hangingChars="2300"/>
        <w:jc w:val="left"/>
        <w:rPr>
          <w:rFonts w:ascii="仿宋" w:hAnsi="仿宋" w:eastAsia="仿宋" w:cs="仿宋"/>
          <w:sz w:val="28"/>
          <w:szCs w:val="28"/>
        </w:rPr>
      </w:pPr>
      <w:r>
        <w:rPr>
          <w:rFonts w:hint="eastAsia" w:ascii="仿宋" w:hAnsi="仿宋" w:eastAsia="仿宋" w:cs="仿宋"/>
          <w:sz w:val="28"/>
          <w:szCs w:val="28"/>
        </w:rPr>
        <w:t xml:space="preserve">甲方：广西壮族自治区桂东人民医院  乙方：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电话：0774-2817703                电话：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w:t>
      </w:r>
    </w:p>
    <w:p>
      <w:pPr>
        <w:spacing w:line="500" w:lineRule="exact"/>
        <w:ind w:left="5880" w:hanging="5880" w:hangingChars="2100"/>
        <w:rPr>
          <w:rFonts w:ascii="仿宋" w:hAnsi="仿宋" w:eastAsia="仿宋" w:cs="仿宋"/>
          <w:sz w:val="28"/>
          <w:szCs w:val="28"/>
        </w:rPr>
      </w:pPr>
      <w:r>
        <w:rPr>
          <w:rFonts w:hint="eastAsia" w:ascii="仿宋" w:hAnsi="仿宋" w:eastAsia="仿宋" w:cs="仿宋"/>
          <w:sz w:val="28"/>
          <w:szCs w:val="28"/>
        </w:rPr>
        <w:t>地址：广西壮族自治区          地址：</w:t>
      </w:r>
    </w:p>
    <w:p>
      <w:pPr>
        <w:spacing w:line="500" w:lineRule="exact"/>
        <w:ind w:left="5880" w:hanging="5880" w:hangingChars="2100"/>
        <w:rPr>
          <w:rFonts w:ascii="仿宋" w:hAnsi="仿宋" w:eastAsia="仿宋" w:cs="仿宋"/>
          <w:sz w:val="28"/>
          <w:szCs w:val="28"/>
        </w:rPr>
      </w:pPr>
      <w:r>
        <w:rPr>
          <w:rFonts w:hint="eastAsia" w:ascii="仿宋" w:hAnsi="仿宋" w:eastAsia="仿宋" w:cs="仿宋"/>
          <w:sz w:val="28"/>
          <w:szCs w:val="28"/>
        </w:rPr>
        <w:t xml:space="preserve">梧州市西江四路金鸡冲1号     </w:t>
      </w:r>
    </w:p>
    <w:p>
      <w:pPr>
        <w:spacing w:line="500" w:lineRule="exact"/>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为了保护甲乙双方合法权益，根据《中华人民共和国政府采购法》、《中华人民共和国合同法》等相关法律、法规的规定，签订本合同，并共同遵守。</w:t>
      </w:r>
    </w:p>
    <w:p>
      <w:pPr>
        <w:pStyle w:val="14"/>
        <w:numPr>
          <w:ilvl w:val="0"/>
          <w:numId w:val="1"/>
        </w:numPr>
        <w:spacing w:line="500" w:lineRule="exact"/>
        <w:ind w:firstLineChars="0"/>
        <w:rPr>
          <w:rFonts w:hint="eastAsia" w:ascii="仿宋" w:hAnsi="仿宋" w:eastAsia="仿宋" w:cs="仿宋"/>
          <w:b/>
          <w:bCs/>
          <w:sz w:val="28"/>
          <w:szCs w:val="28"/>
        </w:rPr>
      </w:pPr>
      <w:r>
        <w:rPr>
          <w:rFonts w:hint="eastAsia" w:ascii="仿宋" w:hAnsi="仿宋" w:eastAsia="仿宋" w:cs="仿宋"/>
          <w:b/>
          <w:bCs/>
          <w:sz w:val="28"/>
          <w:szCs w:val="28"/>
        </w:rPr>
        <w:t>采购内容：</w:t>
      </w:r>
    </w:p>
    <w:tbl>
      <w:tblPr>
        <w:tblStyle w:val="9"/>
        <w:tblW w:w="0" w:type="auto"/>
        <w:tblInd w:w="0" w:type="dxa"/>
        <w:tblLayout w:type="fixed"/>
        <w:tblCellMar>
          <w:top w:w="15" w:type="dxa"/>
          <w:left w:w="108" w:type="dxa"/>
          <w:bottom w:w="15" w:type="dxa"/>
          <w:right w:w="108" w:type="dxa"/>
        </w:tblCellMar>
      </w:tblPr>
      <w:tblGrid>
        <w:gridCol w:w="440"/>
        <w:gridCol w:w="689"/>
        <w:gridCol w:w="447"/>
        <w:gridCol w:w="800"/>
        <w:gridCol w:w="1079"/>
        <w:gridCol w:w="2476"/>
        <w:gridCol w:w="441"/>
        <w:gridCol w:w="442"/>
        <w:gridCol w:w="766"/>
        <w:gridCol w:w="942"/>
      </w:tblGrid>
      <w:tr>
        <w:tblPrEx>
          <w:tblCellMar>
            <w:top w:w="15" w:type="dxa"/>
            <w:left w:w="108" w:type="dxa"/>
            <w:bottom w:w="15" w:type="dxa"/>
            <w:right w:w="108" w:type="dxa"/>
          </w:tblCellMar>
        </w:tblPrEx>
        <w:trPr>
          <w:trHeight w:val="285" w:hRule="atLeast"/>
        </w:trPr>
        <w:tc>
          <w:tcPr>
            <w:tcW w:w="8522" w:type="dxa"/>
            <w:gridSpan w:val="10"/>
            <w:tcBorders>
              <w:top w:val="single" w:color="000000" w:sz="4" w:space="0"/>
              <w:left w:val="single" w:color="000000" w:sz="12" w:space="0"/>
              <w:bottom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一、内科楼门禁设备清单</w:t>
            </w:r>
          </w:p>
        </w:tc>
      </w:tr>
      <w:tr>
        <w:tblPrEx>
          <w:tblCellMar>
            <w:top w:w="15" w:type="dxa"/>
            <w:left w:w="108" w:type="dxa"/>
            <w:bottom w:w="15" w:type="dxa"/>
            <w:right w:w="108" w:type="dxa"/>
          </w:tblCellMar>
        </w:tblPrEx>
        <w:trPr>
          <w:trHeight w:val="285" w:hRule="atLeast"/>
        </w:trPr>
        <w:tc>
          <w:tcPr>
            <w:tcW w:w="1576" w:type="dxa"/>
            <w:gridSpan w:val="3"/>
            <w:tcBorders>
              <w:top w:val="single" w:color="000000" w:sz="4" w:space="0"/>
              <w:left w:val="single" w:color="000000" w:sz="12" w:space="0"/>
              <w:bottom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7、8、9、11楼东边（共4层）</w:t>
            </w:r>
          </w:p>
        </w:tc>
        <w:tc>
          <w:tcPr>
            <w:tcW w:w="800"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3555" w:type="dxa"/>
            <w:gridSpan w:val="2"/>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441"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442"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766"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FF0000"/>
                <w:kern w:val="0"/>
                <w:sz w:val="22"/>
                <w:szCs w:val="22"/>
              </w:rPr>
            </w:pPr>
          </w:p>
        </w:tc>
        <w:tc>
          <w:tcPr>
            <w:tcW w:w="942"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FF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品牌</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招标参数</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15" w:type="dxa"/>
            <w:left w:w="108" w:type="dxa"/>
            <w:bottom w:w="15" w:type="dxa"/>
            <w:right w:w="108" w:type="dxa"/>
          </w:tblCellMar>
        </w:tblPrEx>
        <w:trPr>
          <w:trHeight w:val="229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人脸门禁一体机</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DS-K1T671M-3XF</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1、支持采用 ≥7 英寸LCD 触摸显示屏，屏幕支持多点触控操作，屏幕流明度不低于350cd/㎡，分辨率不小于1024*600，屏幕防暴等级IK04，采用双目宽动态相机，最大分辨率：1920×1080。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2、支持采用嵌入式Linux系统 ；支持人脸、刷卡（包括 M1 卡、CPU 卡、NFC 卡、二代身份证等）、二维码和密码识读，支持外接身份证阅读器模块读取身份证信息。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3、支持视频对讲功能，支持与平台或客户端中心、室内机、管理机、手机APP进行对讲。</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6、本地人脸库存储容量5000张，本地卡存储容量6000张，本地出入记录存储容量50000条。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8、支持测温精度为 0.1℃，测温误差≤±0.3℃，测温范围：30℃～45℃。</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10、支持在没有用户使用时自动切换到屏保或息屏待机状态，支持物体靠近自动唤醒待机设备。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11、设备支持中心下发黑名单信息；支持本地黑名单信息比对；支持本地黑名单报警功能，报警信息可上传平台。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12、设备有蜂鸣器提示，支持比对结果语音提示，支持语音音量调节。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145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双门磁力锁</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EA3324"/>
                <w:kern w:val="0"/>
                <w:sz w:val="22"/>
                <w:szCs w:val="22"/>
              </w:rPr>
            </w:pPr>
            <w:r>
              <w:rPr>
                <w:rFonts w:hint="eastAsia" w:ascii="宋体" w:hAnsi="宋体" w:eastAsia="宋体" w:cs="宋体"/>
                <w:b/>
                <w:bCs/>
                <w:color w:val="EA3324"/>
                <w:kern w:val="0"/>
                <w:sz w:val="22"/>
                <w:szCs w:val="22"/>
              </w:rPr>
              <w:t>DS-K4H250PDC</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1、支持最大静态直线拉力：280kg ± 5%*2；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断电开锁，满足消防要求；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2、具有电锁状态指示灯（红灯为开锁状态， 绿灯为上锁状态）；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3、支持锁状态侦测信号(门磁)输出：NO/NC/COM接点；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4、工作电压：12V/1040mA 或 24V/520mA；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5、使用环境：室内；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6、适用门型：木门、玻璃门、金属门、防火门；</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把</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145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磁力锁支架</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EA3324"/>
                <w:kern w:val="0"/>
                <w:sz w:val="22"/>
                <w:szCs w:val="22"/>
              </w:rPr>
            </w:pPr>
            <w:r>
              <w:rPr>
                <w:rFonts w:hint="eastAsia" w:ascii="宋体" w:hAnsi="宋体" w:eastAsia="宋体" w:cs="宋体"/>
                <w:b/>
                <w:bCs/>
                <w:color w:val="EA3324"/>
                <w:kern w:val="0"/>
                <w:sz w:val="22"/>
                <w:szCs w:val="22"/>
              </w:rPr>
              <w:t>DS-K4H250PDC-LZ</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适用门型：木门、金属门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开门方式：90度内开式门</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115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订制不锈钢门闸</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国产</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订制</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选用材料：304不锈钢。</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适用场景：通道.</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开门方式：90度外开门.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产品重量:护栏整重:19KG.</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尺寸：高1450</w:t>
            </w:r>
            <w:r>
              <w:rPr>
                <w:rFonts w:hint="eastAsia" w:ascii="MS Mincho" w:hAnsi="MS Mincho" w:eastAsia="MS Mincho" w:cs="MS Mincho"/>
                <w:color w:val="000000"/>
                <w:kern w:val="0"/>
                <w:sz w:val="22"/>
                <w:szCs w:val="22"/>
              </w:rPr>
              <w:t>✘</w:t>
            </w:r>
            <w:r>
              <w:rPr>
                <w:rFonts w:hint="eastAsia" w:ascii="宋体" w:hAnsi="宋体" w:eastAsia="宋体" w:cs="宋体"/>
                <w:color w:val="000000"/>
                <w:kern w:val="0"/>
                <w:sz w:val="22"/>
                <w:szCs w:val="22"/>
              </w:rPr>
              <w:t>宽1450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固定方式:用膨胀螺丝</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门锁:电插，承重250KG.</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5</w:t>
            </w:r>
          </w:p>
        </w:tc>
        <w:tc>
          <w:tcPr>
            <w:tcW w:w="7140" w:type="dxa"/>
            <w:gridSpan w:val="8"/>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942"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8522" w:type="dxa"/>
            <w:gridSpan w:val="10"/>
            <w:tcBorders>
              <w:top w:val="single" w:color="000000" w:sz="4" w:space="0"/>
              <w:left w:val="single" w:color="000000" w:sz="12" w:space="0"/>
              <w:bottom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二、外科门禁设备清单</w:t>
            </w:r>
          </w:p>
        </w:tc>
      </w:tr>
      <w:tr>
        <w:tblPrEx>
          <w:tblCellMar>
            <w:top w:w="15" w:type="dxa"/>
            <w:left w:w="108" w:type="dxa"/>
            <w:bottom w:w="15" w:type="dxa"/>
            <w:right w:w="108" w:type="dxa"/>
          </w:tblCellMar>
        </w:tblPrEx>
        <w:trPr>
          <w:trHeight w:val="285" w:hRule="atLeast"/>
        </w:trPr>
        <w:tc>
          <w:tcPr>
            <w:tcW w:w="1576" w:type="dxa"/>
            <w:gridSpan w:val="3"/>
            <w:tcBorders>
              <w:top w:val="single" w:color="000000" w:sz="4" w:space="0"/>
              <w:left w:val="single" w:color="000000" w:sz="12" w:space="0"/>
              <w:bottom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外科楼10-20层</w:t>
            </w:r>
          </w:p>
        </w:tc>
        <w:tc>
          <w:tcPr>
            <w:tcW w:w="800"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3555" w:type="dxa"/>
            <w:gridSpan w:val="2"/>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441"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442"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000000"/>
                <w:kern w:val="0"/>
                <w:sz w:val="22"/>
                <w:szCs w:val="22"/>
              </w:rPr>
            </w:pPr>
          </w:p>
        </w:tc>
        <w:tc>
          <w:tcPr>
            <w:tcW w:w="766"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FF0000"/>
                <w:kern w:val="0"/>
                <w:sz w:val="22"/>
                <w:szCs w:val="22"/>
              </w:rPr>
            </w:pPr>
          </w:p>
        </w:tc>
        <w:tc>
          <w:tcPr>
            <w:tcW w:w="942" w:type="dxa"/>
            <w:tcBorders>
              <w:top w:val="single" w:color="000000" w:sz="4" w:space="0"/>
              <w:bottom w:val="single" w:color="000000" w:sz="4" w:space="0"/>
            </w:tcBorders>
            <w:shd w:val="clear" w:color="auto" w:fill="F2F2F2"/>
            <w:vAlign w:val="center"/>
          </w:tcPr>
          <w:p>
            <w:pPr>
              <w:widowControl/>
              <w:jc w:val="left"/>
              <w:rPr>
                <w:rFonts w:ascii="宋体" w:hAnsi="宋体" w:eastAsia="宋体" w:cs="宋体"/>
                <w:color w:val="FF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品牌</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招标参数</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15" w:type="dxa"/>
            <w:left w:w="108" w:type="dxa"/>
            <w:bottom w:w="15" w:type="dxa"/>
            <w:right w:w="108" w:type="dxa"/>
          </w:tblCellMar>
        </w:tblPrEx>
        <w:trPr>
          <w:trHeight w:val="142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人脸门禁一体机</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DS-K1T671M-3XF</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1、支持采用 ≥7 英寸LCD 触摸显示屏，屏幕支持多点触控操作，屏幕流明度不低于350cd/㎡，分辨率不小于1024*600，屏幕防暴等级IK04，采用双目宽动态相机，最大分辨率：1920×1080。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2、支持采用嵌入式Linux系统 ；支持人脸、刷卡（包括 M1 卡、CPU 卡、NFC 卡、二代身份证等）、二维码和密码识读，支持外接身份证阅读器模块读取身份证信息。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3、支持视频对讲功能，支持与平台或客户端中心、室内机、管理机、手机APP进行对讲。</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6、本地人脸库存储容量5000张，本地卡存储容量6000张，本地出入记录存储容量50000条。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8、支持测温精度为 0.1℃，测温误差≤±0.3℃，测温范围：30℃～45℃。</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10、支持在没有用户使用时自动切换到屏保或息屏待机状态，支持物体靠近自动唤醒待机设备。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11、设备支持中心下发黑名单信息；支持本地黑名单信息比对；支持本地黑名单报警功能，报警信息可上传平台。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12、设备有蜂鸣器提示，支持比对结果语音提示，支持语音音量调节。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1155" w:hRule="atLeast"/>
        </w:trPr>
        <w:tc>
          <w:tcPr>
            <w:tcW w:w="44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门禁开关电源</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EA3324"/>
                <w:kern w:val="0"/>
                <w:sz w:val="22"/>
                <w:szCs w:val="22"/>
              </w:rPr>
            </w:pPr>
            <w:r>
              <w:rPr>
                <w:rFonts w:hint="eastAsia" w:ascii="宋体" w:hAnsi="宋体" w:eastAsia="宋体" w:cs="宋体"/>
                <w:b/>
                <w:bCs/>
                <w:color w:val="EA3324"/>
                <w:kern w:val="0"/>
                <w:sz w:val="22"/>
                <w:szCs w:val="22"/>
              </w:rPr>
              <w:t>DS-K4H250PDC</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1、输入电压：176-264VAC；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2、输出电压：12VDC；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3、输出电流：12.5A；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4、输出功率：150W；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5、纹波与噪声：120mVp-p；</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6、电压调整范围：11.4-13.2V；</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5</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1200"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双门磁力锁</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EA3324"/>
                <w:kern w:val="0"/>
                <w:sz w:val="22"/>
                <w:szCs w:val="22"/>
              </w:rPr>
            </w:pPr>
            <w:r>
              <w:rPr>
                <w:rFonts w:hint="eastAsia" w:ascii="宋体" w:hAnsi="宋体" w:eastAsia="宋体" w:cs="宋体"/>
                <w:b/>
                <w:bCs/>
                <w:color w:val="EA3324"/>
                <w:kern w:val="0"/>
                <w:sz w:val="22"/>
                <w:szCs w:val="22"/>
              </w:rPr>
              <w:t>DS-K4H250PDC-LZ</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1、支持最大静态直线拉力：280kg ± 5%*2；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断电开锁，满足消防要求；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2、具有电锁状态指示灯（红灯为开锁状态， 绿灯为上锁状态）；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3、支持锁状态侦测信号(门磁)输出：NO/NC/COM接点；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4、工作电压：12V/1040mA 或 24V/520mA；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5、使用环境：室内；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6、适用门型：木门、玻璃门、金属门、防火门；</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把</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9</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780"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磁力锁支架</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DS-K4H250EC-LZ</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适用门型：木门、金属门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开门方式：90度内开式门</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9</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5</w:t>
            </w:r>
          </w:p>
        </w:tc>
        <w:tc>
          <w:tcPr>
            <w:tcW w:w="7140" w:type="dxa"/>
            <w:gridSpan w:val="8"/>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942"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8522" w:type="dxa"/>
            <w:gridSpan w:val="10"/>
            <w:tcBorders>
              <w:top w:val="single" w:color="000000" w:sz="4" w:space="0"/>
              <w:left w:val="single" w:color="000000" w:sz="12" w:space="0"/>
              <w:bottom w:val="single" w:color="000000" w:sz="4" w:space="0"/>
              <w:right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三、外科楼21楼污物间</w:t>
            </w: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品牌</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招标参数</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15" w:type="dxa"/>
            <w:left w:w="108" w:type="dxa"/>
            <w:bottom w:w="15" w:type="dxa"/>
            <w:right w:w="108" w:type="dxa"/>
          </w:tblCellMar>
        </w:tblPrEx>
        <w:trPr>
          <w:trHeight w:val="1620"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门禁主机</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DS-K1T105AM</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1、支持不小于2.8寸图文型液晶显示屏用于显示时间、日期、星期，及刷卡时显示卡号、用户名；按键采用蓝光显示触摸式按键；支持语音提示功能。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应具有以下接口类型及相应数量：TCP/IP接口（支持10M/100Mbps，网速自适应）1个；WIFI接口1个；RS485通讯接口1个；Wiegand通讯接口1个；USB2.0接口1个；SD卡接口1个；报警输入接口2个；门磁输入接口1个；开门按钮接口1个；电锁输出接口1个；报警（门铃）输出接口1个。</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主机应能对门的开启方式，卡的各种使用权限进行组合设置，实现不同场景的权限管理：反潜回（防跟随）功能；认证方式：刷卡、刷卡+密码；多重卡认证开门；多重卡+中心远程认证开门；多重卡+超级密码开门；多重卡+超级卡开门；首卡开门；超级权限开门；中心远程开门；单向刷卡和双向刷卡开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5、支持支持防拆报警、门被外力开起报警、胁迫卡和胁迫密码报警。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6、支持Mifare卡（IC卡）、CPU卡、身份证卡序列号识别；支持Mifare卡扇区加密功能，并具有开启/关闭防手机NFC识别。</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1080"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双门磁力锁</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EA3324"/>
                <w:kern w:val="0"/>
                <w:sz w:val="22"/>
                <w:szCs w:val="22"/>
              </w:rPr>
            </w:pPr>
            <w:r>
              <w:rPr>
                <w:rFonts w:hint="eastAsia" w:ascii="宋体" w:hAnsi="宋体" w:eastAsia="宋体" w:cs="宋体"/>
                <w:b/>
                <w:bCs/>
                <w:color w:val="EA3324"/>
                <w:kern w:val="0"/>
                <w:sz w:val="22"/>
                <w:szCs w:val="22"/>
              </w:rPr>
              <w:t>DS-K4H250PDC</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1、支持最大静态直线拉力：280kg ± 5%*2；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断电开锁，满足消防要求；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2、具有电锁状态指示灯（红灯为开锁状态， 绿灯为上锁状态）；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3、支持锁状态侦测信号(门磁)输出：NO/NC/COM接点；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4、工作电压：12V/1040mA 或 24V/520mA；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5、使用环境：室内；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6、适用门型：木门、玻璃门、金属门、防火门；</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把</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112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磁力锁支架</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海康威视</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EA3324"/>
                <w:kern w:val="0"/>
                <w:sz w:val="22"/>
                <w:szCs w:val="22"/>
              </w:rPr>
            </w:pPr>
            <w:r>
              <w:rPr>
                <w:rFonts w:hint="eastAsia" w:ascii="宋体" w:hAnsi="宋体" w:eastAsia="宋体" w:cs="宋体"/>
                <w:b/>
                <w:bCs/>
                <w:color w:val="EA3324"/>
                <w:kern w:val="0"/>
                <w:sz w:val="22"/>
                <w:szCs w:val="22"/>
              </w:rPr>
              <w:t>DS-K4H250PDC-LZ</w:t>
            </w:r>
          </w:p>
        </w:tc>
        <w:tc>
          <w:tcPr>
            <w:tcW w:w="3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适用门型：木门、金属门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开门方式：90度内开式门</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7140" w:type="dxa"/>
            <w:gridSpan w:val="8"/>
            <w:tcBorders>
              <w:top w:val="single" w:color="000000" w:sz="4" w:space="0"/>
              <w:left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942" w:type="dxa"/>
            <w:tcBorders>
              <w:top w:val="single" w:color="000000" w:sz="4" w:space="0"/>
              <w:left w:val="single" w:color="000000" w:sz="4" w:space="0"/>
              <w:right w:val="single" w:color="000000" w:sz="4" w:space="0"/>
            </w:tcBorders>
            <w:shd w:val="clear" w:color="auto" w:fill="DAEEF3"/>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8522" w:type="dxa"/>
            <w:gridSpan w:val="10"/>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2-11内科楼西边、外科楼9-21层</w:t>
            </w: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品牌</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24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招标参数</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15" w:type="dxa"/>
            <w:left w:w="108" w:type="dxa"/>
            <w:bottom w:w="15" w:type="dxa"/>
            <w:right w:w="108" w:type="dxa"/>
          </w:tblCellMar>
        </w:tblPrEx>
        <w:trPr>
          <w:trHeight w:val="1320" w:hRule="atLeast"/>
        </w:trPr>
        <w:tc>
          <w:tcPr>
            <w:tcW w:w="440" w:type="dxa"/>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689" w:type="dxa"/>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华视身份证阅读器</w:t>
            </w:r>
          </w:p>
        </w:tc>
        <w:tc>
          <w:tcPr>
            <w:tcW w:w="447" w:type="dxa"/>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华视</w:t>
            </w:r>
          </w:p>
        </w:tc>
        <w:tc>
          <w:tcPr>
            <w:tcW w:w="1879" w:type="dxa"/>
            <w:gridSpan w:val="2"/>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CVR-100UC伦</w:t>
            </w:r>
          </w:p>
        </w:tc>
        <w:tc>
          <w:tcPr>
            <w:tcW w:w="2476" w:type="dxa"/>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1、射频技术:完全兼容ISO-14443 TYPE B标准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2、操作系统:Windows XP/7</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3、读卡距离:0-75px</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4、平均无故障工作时间：≥10000小时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5、产品电源：USB供电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6、产品尺寸：190×125.5×40mm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7、产品重量：＜0.3kg</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8、工作温度：0-50℃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9、其它特点:天线能量输出：天线表面电磁场强度(Hmax)≤7.5A/m rms，天线表面法线方向最大读卡距离处电磁场强度(Hmin)≥1.5A/m rms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可用开发工具：VC/DEPHI/VB/PB等</w:t>
            </w:r>
          </w:p>
        </w:tc>
        <w:tc>
          <w:tcPr>
            <w:tcW w:w="441" w:type="dxa"/>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台</w:t>
            </w:r>
          </w:p>
        </w:tc>
        <w:tc>
          <w:tcPr>
            <w:tcW w:w="442" w:type="dxa"/>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23</w:t>
            </w:r>
          </w:p>
        </w:tc>
        <w:tc>
          <w:tcPr>
            <w:tcW w:w="766" w:type="dxa"/>
            <w:tcBorders>
              <w:top w:val="single" w:color="000000" w:sz="4" w:space="0"/>
              <w:left w:val="single" w:color="000000" w:sz="4" w:space="0"/>
              <w:right w:val="single" w:color="000000" w:sz="4" w:space="0"/>
            </w:tcBorders>
            <w:shd w:val="clear" w:color="auto" w:fill="FFFFFF"/>
            <w:vAlign w:val="center"/>
          </w:tcPr>
          <w:p>
            <w:pPr>
              <w:widowControl/>
              <w:jc w:val="both"/>
              <w:rPr>
                <w:rFonts w:ascii="宋体" w:hAnsi="宋体" w:eastAsia="宋体" w:cs="宋体"/>
                <w:b/>
                <w:bCs/>
                <w:color w:val="000000"/>
                <w:kern w:val="0"/>
                <w:sz w:val="22"/>
                <w:szCs w:val="22"/>
              </w:rPr>
            </w:pPr>
          </w:p>
        </w:tc>
        <w:tc>
          <w:tcPr>
            <w:tcW w:w="942" w:type="dxa"/>
            <w:tcBorders>
              <w:top w:val="single" w:color="000000" w:sz="4" w:space="0"/>
              <w:left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7580" w:type="dxa"/>
            <w:gridSpan w:val="9"/>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942" w:type="dxa"/>
            <w:tcBorders>
              <w:top w:val="single" w:color="000000" w:sz="4" w:space="0"/>
              <w:left w:val="single" w:color="000000" w:sz="4" w:space="0"/>
              <w:right w:val="single" w:color="000000" w:sz="4" w:space="0"/>
            </w:tcBorders>
            <w:shd w:val="clear" w:color="auto" w:fill="DAEEF3"/>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2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
                <w:bCs/>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8522" w:type="dxa"/>
            <w:gridSpan w:val="10"/>
            <w:tcBorders>
              <w:left w:val="single" w:color="000000" w:sz="12" w:space="0"/>
              <w:right w:val="single" w:color="000000" w:sz="4" w:space="0"/>
            </w:tcBorders>
            <w:shd w:val="clear" w:color="auto" w:fill="F2F2F2"/>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四、安装人工及调试费</w:t>
            </w: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设备名称</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品牌</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型号</w:t>
            </w:r>
          </w:p>
        </w:tc>
        <w:tc>
          <w:tcPr>
            <w:tcW w:w="24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招标参数</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安装人工、调试费及辅材</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4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p>
        </w:tc>
        <w:tc>
          <w:tcPr>
            <w:tcW w:w="7140" w:type="dxa"/>
            <w:gridSpan w:val="8"/>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942"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5" w:hRule="atLeast"/>
        </w:trPr>
        <w:tc>
          <w:tcPr>
            <w:tcW w:w="440"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7140" w:type="dxa"/>
            <w:gridSpan w:val="8"/>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942"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left"/>
              <w:rPr>
                <w:rFonts w:ascii="宋体" w:hAnsi="宋体" w:eastAsia="宋体" w:cs="宋体"/>
                <w:b/>
                <w:bCs/>
                <w:color w:val="000000"/>
                <w:kern w:val="0"/>
                <w:sz w:val="24"/>
              </w:rPr>
            </w:pPr>
          </w:p>
        </w:tc>
      </w:tr>
    </w:tbl>
    <w:p>
      <w:pPr>
        <w:pStyle w:val="14"/>
        <w:spacing w:line="500" w:lineRule="exact"/>
        <w:ind w:left="720" w:firstLine="0" w:firstLineChars="0"/>
        <w:rPr>
          <w:rFonts w:ascii="仿宋" w:hAnsi="仿宋" w:eastAsia="仿宋" w:cs="仿宋"/>
          <w:b/>
          <w:bCs/>
          <w:sz w:val="28"/>
          <w:szCs w:val="28"/>
        </w:rPr>
      </w:pPr>
    </w:p>
    <w:p>
      <w:pPr>
        <w:numPr>
          <w:ilvl w:val="0"/>
          <w:numId w:val="2"/>
        </w:numPr>
        <w:spacing w:line="440" w:lineRule="exact"/>
        <w:rPr>
          <w:rFonts w:ascii="仿宋" w:hAnsi="仿宋" w:eastAsia="仿宋" w:cs="仿宋"/>
          <w:b/>
          <w:bCs/>
          <w:sz w:val="28"/>
          <w:szCs w:val="28"/>
        </w:rPr>
      </w:pPr>
      <w:r>
        <w:rPr>
          <w:rFonts w:hint="eastAsia" w:ascii="仿宋" w:hAnsi="仿宋" w:eastAsia="仿宋" w:cs="仿宋"/>
          <w:b/>
          <w:bCs/>
          <w:sz w:val="28"/>
          <w:szCs w:val="28"/>
        </w:rPr>
        <w:t>合同金额：</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sz w:val="28"/>
          <w:szCs w:val="28"/>
        </w:rPr>
        <w:t>合同金额为</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w:t>
      </w:r>
    </w:p>
    <w:p>
      <w:pPr>
        <w:spacing w:line="440" w:lineRule="exact"/>
        <w:rPr>
          <w:rFonts w:ascii="仿宋" w:hAnsi="仿宋" w:eastAsia="仿宋" w:cs="仿宋"/>
          <w:b/>
          <w:bCs/>
          <w:sz w:val="28"/>
          <w:szCs w:val="28"/>
        </w:rPr>
      </w:pPr>
      <w:r>
        <w:rPr>
          <w:rFonts w:hint="eastAsia" w:ascii="仿宋" w:hAnsi="仿宋" w:eastAsia="仿宋" w:cs="仿宋"/>
          <w:b/>
          <w:bCs/>
          <w:sz w:val="28"/>
          <w:szCs w:val="28"/>
        </w:rPr>
        <w:t>三、交货要求：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1．交付使用期：自签订合同之日起90个工作日内，完成设备的安装部署、调试和集成工作。</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2．交货地点：采购人制定地点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3．交货方式：由采购人、中标人双方派代表当场开箱验货，方可进行设备调试。</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4．乙方必须按投标文件承诺的技术参数、性能要求、质量标准等向甲方提供全新、完整、未经使用的货物。</w:t>
      </w:r>
    </w:p>
    <w:p>
      <w:pPr>
        <w:pStyle w:val="2"/>
      </w:pPr>
    </w:p>
    <w:p>
      <w:pPr>
        <w:spacing w:line="440" w:lineRule="exact"/>
        <w:rPr>
          <w:rFonts w:ascii="仿宋" w:hAnsi="仿宋" w:eastAsia="仿宋" w:cs="仿宋"/>
          <w:b/>
          <w:bCs/>
          <w:sz w:val="28"/>
          <w:szCs w:val="28"/>
        </w:rPr>
      </w:pPr>
      <w:r>
        <w:rPr>
          <w:rFonts w:hint="eastAsia" w:ascii="仿宋" w:hAnsi="仿宋" w:eastAsia="仿宋" w:cs="仿宋"/>
          <w:b/>
          <w:bCs/>
          <w:sz w:val="28"/>
          <w:szCs w:val="28"/>
        </w:rPr>
        <w:t>四、</w:t>
      </w:r>
      <w:r>
        <w:rPr>
          <w:rFonts w:hint="eastAsia" w:hAnsi="宋体"/>
          <w:b/>
          <w:bCs/>
          <w:color w:val="000000"/>
          <w:sz w:val="24"/>
        </w:rPr>
        <w:t>质量保证及售后服务：</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 质量保证期：本项目软硬件质保期从验收合格之日起计算不少于贰年。</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投标产品必须是全新且经由正规合法经销渠道的符合国家各项有关质量标准的合格产品。相关部件及服务须满足本表中各项要求。所有设备除满足上表要求的技术参数和配置外，其余均按国家标准及厂家出厂标准配置，若产品在运输过程中损坏须无偿调换同样产品。</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3．按国家有关规定或厂家承诺实行“三包”，质保期内全免费上门维修、免费更换零部件。</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4．设备发生故障时接到通知后1小时内响应， 4小时内到达现场维修并解决故障。</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6．中标人应负责设备的集成服务工作，由资深工程师和原厂工程师一同实施。</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7．其余按厂家标准执行。</w:t>
      </w:r>
    </w:p>
    <w:p>
      <w:pPr>
        <w:pStyle w:val="4"/>
        <w:spacing w:line="460" w:lineRule="exact"/>
        <w:rPr>
          <w:rFonts w:hAnsi="宋体"/>
          <w:b/>
          <w:bCs/>
          <w:sz w:val="24"/>
          <w:szCs w:val="24"/>
        </w:rPr>
      </w:pPr>
      <w:r>
        <w:rPr>
          <w:rFonts w:hint="eastAsia" w:hAnsi="宋体"/>
          <w:b/>
          <w:bCs/>
          <w:sz w:val="24"/>
          <w:szCs w:val="24"/>
        </w:rPr>
        <w:t>五、合同款支付</w:t>
      </w:r>
    </w:p>
    <w:p>
      <w:pPr>
        <w:spacing w:line="350" w:lineRule="atLeast"/>
        <w:jc w:val="left"/>
        <w:rPr>
          <w:rFonts w:hint="eastAsia" w:ascii="仿宋" w:hAnsi="仿宋" w:eastAsia="仿宋" w:cs="仿宋"/>
          <w:bCs/>
          <w:sz w:val="28"/>
          <w:szCs w:val="28"/>
        </w:rPr>
      </w:pPr>
      <w:r>
        <w:rPr>
          <w:rFonts w:hint="eastAsia" w:ascii="仿宋" w:hAnsi="仿宋" w:eastAsia="仿宋" w:cs="仿宋"/>
          <w:bCs/>
          <w:sz w:val="28"/>
          <w:szCs w:val="28"/>
        </w:rPr>
        <w:t>1． 付款进度：货物到达指定地点、安装调试完成，系统正常运行后，中标人开具全额增值税发票及请款函给采购人，采购人将在</w:t>
      </w:r>
      <w:r>
        <w:rPr>
          <w:rFonts w:hint="eastAsia" w:ascii="仿宋" w:hAnsi="仿宋" w:eastAsia="仿宋" w:cs="仿宋"/>
          <w:bCs/>
          <w:sz w:val="28"/>
          <w:szCs w:val="28"/>
          <w:lang w:val="en-US" w:eastAsia="zh-CN"/>
        </w:rPr>
        <w:t>20</w:t>
      </w:r>
      <w:r>
        <w:rPr>
          <w:rFonts w:hint="eastAsia" w:ascii="仿宋" w:hAnsi="仿宋" w:eastAsia="仿宋" w:cs="仿宋"/>
          <w:bCs/>
          <w:sz w:val="28"/>
          <w:szCs w:val="28"/>
        </w:rPr>
        <w:t>个工作日内支付项目款的30%</w:t>
      </w:r>
      <w:r>
        <w:rPr>
          <w:rFonts w:hint="eastAsia" w:ascii="仿宋" w:hAnsi="仿宋" w:eastAsia="仿宋" w:cs="仿宋"/>
          <w:bCs/>
          <w:sz w:val="28"/>
          <w:szCs w:val="28"/>
          <w:lang w:eastAsia="zh-CN"/>
        </w:rPr>
        <w:t>；</w:t>
      </w:r>
      <w:r>
        <w:rPr>
          <w:rFonts w:hint="eastAsia" w:ascii="仿宋" w:hAnsi="仿宋" w:eastAsia="仿宋" w:cs="仿宋"/>
          <w:bCs/>
          <w:sz w:val="28"/>
          <w:szCs w:val="28"/>
        </w:rPr>
        <w:t>正常运行两个月后，中标人可申请项目验收，凭双方签署验收合格证明，采购人将在</w:t>
      </w:r>
      <w:r>
        <w:rPr>
          <w:rFonts w:hint="eastAsia" w:ascii="仿宋" w:hAnsi="仿宋" w:eastAsia="仿宋" w:cs="仿宋"/>
          <w:bCs/>
          <w:sz w:val="28"/>
          <w:szCs w:val="28"/>
          <w:lang w:val="en-US" w:eastAsia="zh-CN"/>
        </w:rPr>
        <w:t>20</w:t>
      </w:r>
      <w:r>
        <w:rPr>
          <w:rFonts w:hint="eastAsia" w:ascii="仿宋" w:hAnsi="仿宋" w:eastAsia="仿宋" w:cs="仿宋"/>
          <w:bCs/>
          <w:sz w:val="28"/>
          <w:szCs w:val="28"/>
        </w:rPr>
        <w:t>个工作日内支付项目款的6</w:t>
      </w:r>
      <w:r>
        <w:rPr>
          <w:rFonts w:hint="eastAsia" w:ascii="仿宋" w:hAnsi="仿宋" w:eastAsia="仿宋" w:cs="仿宋"/>
          <w:bCs/>
          <w:sz w:val="28"/>
          <w:szCs w:val="28"/>
          <w:lang w:val="en-US" w:eastAsia="zh-CN"/>
        </w:rPr>
        <w:t>0</w:t>
      </w:r>
      <w:r>
        <w:rPr>
          <w:rFonts w:hint="eastAsia" w:ascii="仿宋" w:hAnsi="仿宋" w:eastAsia="仿宋" w:cs="仿宋"/>
          <w:bCs/>
          <w:sz w:val="28"/>
          <w:szCs w:val="28"/>
        </w:rPr>
        <w:t>%</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24</w:t>
      </w:r>
      <w:r>
        <w:rPr>
          <w:rFonts w:hint="eastAsia" w:ascii="仿宋" w:hAnsi="仿宋" w:eastAsia="仿宋" w:cs="仿宋"/>
          <w:bCs/>
          <w:sz w:val="28"/>
          <w:szCs w:val="28"/>
        </w:rPr>
        <w:t>个月后支付合同总金额的10%（不计利息）。</w:t>
      </w:r>
      <w:bookmarkStart w:id="0" w:name="_GoBack"/>
      <w:bookmarkEnd w:id="0"/>
    </w:p>
    <w:p>
      <w:pPr>
        <w:pStyle w:val="2"/>
        <w:rPr>
          <w:rFonts w:hint="eastAsia"/>
        </w:rPr>
      </w:pPr>
    </w:p>
    <w:p>
      <w:pPr>
        <w:pStyle w:val="4"/>
        <w:spacing w:line="460" w:lineRule="exact"/>
        <w:rPr>
          <w:rFonts w:hAnsi="宋体"/>
          <w:b/>
          <w:bCs/>
          <w:sz w:val="24"/>
          <w:szCs w:val="24"/>
        </w:rPr>
      </w:pPr>
      <w:r>
        <w:rPr>
          <w:rFonts w:hint="eastAsia" w:hAnsi="宋体"/>
          <w:b/>
          <w:bCs/>
          <w:sz w:val="24"/>
          <w:szCs w:val="24"/>
        </w:rPr>
        <w:t>六、产权</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1．乙方保证所提供的货物或其任何一部分均不会侵犯任何第三方的专利权、商标权或著作权。</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 乙方保证所交付货物的所有权完全属于乙方且无任何抵押、查封等产权瑕疵。如乙方所交付货物有产权瑕疵的，视为乙方违约，按照本合同第10.1项的约定处理。但在已经全部支付完合同款后才发现有产权瑕疵的，乙方除了支付违约金还应负担甲方由此产生的一切损失。</w:t>
      </w:r>
    </w:p>
    <w:p>
      <w:pPr>
        <w:pStyle w:val="4"/>
        <w:spacing w:line="460" w:lineRule="exact"/>
        <w:rPr>
          <w:rFonts w:hAnsi="宋体"/>
          <w:b/>
          <w:bCs/>
          <w:sz w:val="24"/>
          <w:szCs w:val="24"/>
        </w:rPr>
      </w:pPr>
      <w:r>
        <w:rPr>
          <w:rFonts w:hint="eastAsia" w:hAnsi="宋体"/>
          <w:b/>
          <w:bCs/>
          <w:sz w:val="24"/>
          <w:szCs w:val="24"/>
        </w:rPr>
        <w:t>七、调试和验收</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1．中标供应商需承担供货时产品质量抽样检测的相关费用以及项目验收时发生的一切费用；验收标准应符合中国有关的国家、地方、行业标准。</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 乙方交货前应对产品作出全面检查和对验收文件进行整理，并列出清单，作为甲方收货验收和使用的技术条件依据，检验的结果应随货物交甲方。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 甲方对乙方提供的货物在使用前进行调试时，乙方需负责安装并培训甲方的使用操作人员，并协助甲方一起调试，直到符合技术要求，才可验收。</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当项目完成供货和竣工集成调试并正式运行2个月后，由中标人向采购人提出项目竣工验收申请，并于验收前向采购人提供一切有关技术文件、资料、图纸和相关记录等竣工材料，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 验收时乙方必须在现场，验收完毕后作出验收结果报告。</w:t>
      </w:r>
    </w:p>
    <w:p>
      <w:pPr>
        <w:pStyle w:val="4"/>
        <w:spacing w:line="460" w:lineRule="exact"/>
        <w:rPr>
          <w:rFonts w:hAnsi="宋体"/>
          <w:b/>
          <w:bCs/>
          <w:sz w:val="24"/>
          <w:szCs w:val="24"/>
        </w:rPr>
      </w:pPr>
      <w:r>
        <w:rPr>
          <w:rFonts w:hint="eastAsia" w:hAnsi="宋体"/>
          <w:b/>
          <w:bCs/>
          <w:sz w:val="24"/>
          <w:szCs w:val="24"/>
        </w:rPr>
        <w:t>八、违约责任</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4"/>
        <w:spacing w:line="460" w:lineRule="exact"/>
        <w:rPr>
          <w:rFonts w:hAnsi="宋体"/>
          <w:b/>
          <w:bCs/>
          <w:sz w:val="24"/>
          <w:szCs w:val="24"/>
        </w:rPr>
      </w:pPr>
      <w:r>
        <w:rPr>
          <w:rFonts w:hint="eastAsia" w:hAnsi="宋体"/>
          <w:b/>
          <w:bCs/>
          <w:sz w:val="24"/>
          <w:szCs w:val="24"/>
        </w:rPr>
        <w:t>九、不可抗力事件处理</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 不可抗力事件发生后，应立即通知对方，并寄送有关权威机构出具的证明。</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 不可抗力事件延续120天以上，双方应通过友好协商，确定是否继续履行合同。</w:t>
      </w:r>
    </w:p>
    <w:p>
      <w:pPr>
        <w:pStyle w:val="4"/>
        <w:spacing w:line="460" w:lineRule="exact"/>
        <w:rPr>
          <w:rFonts w:hAnsi="宋体"/>
          <w:b/>
          <w:bCs/>
          <w:sz w:val="24"/>
          <w:szCs w:val="24"/>
        </w:rPr>
      </w:pPr>
      <w:r>
        <w:rPr>
          <w:rFonts w:hint="eastAsia" w:hAnsi="宋体"/>
          <w:b/>
          <w:bCs/>
          <w:sz w:val="24"/>
          <w:szCs w:val="24"/>
        </w:rPr>
        <w:t>十、诉讼</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 双方在执行合同中所发生的一切争议，应通过协商解决。如协商不成，可向合同签订地法院起诉，合同签订地在此约定为广西梧州市。</w:t>
      </w:r>
    </w:p>
    <w:p>
      <w:pPr>
        <w:pStyle w:val="4"/>
        <w:spacing w:line="460" w:lineRule="exact"/>
        <w:rPr>
          <w:rFonts w:hAnsi="宋体"/>
          <w:b/>
          <w:bCs/>
          <w:sz w:val="24"/>
          <w:szCs w:val="24"/>
        </w:rPr>
      </w:pPr>
      <w:r>
        <w:rPr>
          <w:rFonts w:hint="eastAsia" w:hAnsi="宋体"/>
          <w:b/>
          <w:bCs/>
          <w:sz w:val="24"/>
          <w:szCs w:val="24"/>
        </w:rPr>
        <w:t>十一、合同生效及其它</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 合同经双方法定代表人或授权委托代理人签字并加盖单位公章后生效。</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2．本合同未尽事宜，遵照《中华人民共和国合同法》有关条文执行。</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 本合同正本一式肆份，具有同等法律效力，甲方执叁份，乙方执壹份。</w:t>
      </w:r>
    </w:p>
    <w:p>
      <w:pPr>
        <w:pStyle w:val="2"/>
      </w:pPr>
    </w:p>
    <w:p>
      <w:pPr>
        <w:spacing w:line="440" w:lineRule="exact"/>
        <w:ind w:firstLine="560" w:firstLineChars="200"/>
        <w:rPr>
          <w:rFonts w:ascii="仿宋" w:hAnsi="仿宋" w:eastAsia="仿宋" w:cs="仿宋"/>
          <w:bCs/>
          <w:sz w:val="28"/>
          <w:szCs w:val="28"/>
        </w:rPr>
      </w:pPr>
    </w:p>
    <w:p>
      <w:pPr>
        <w:spacing w:line="480" w:lineRule="exact"/>
        <w:jc w:val="left"/>
        <w:rPr>
          <w:rFonts w:ascii="仿宋" w:hAnsi="仿宋" w:eastAsia="仿宋" w:cs="仿宋"/>
          <w:color w:val="000000"/>
          <w:sz w:val="28"/>
          <w:szCs w:val="28"/>
        </w:rPr>
      </w:pPr>
    </w:p>
    <w:p>
      <w:pPr>
        <w:spacing w:line="48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甲方（公章）：广西壮族自治区     乙方（公章）：     </w:t>
      </w:r>
    </w:p>
    <w:p>
      <w:pPr>
        <w:spacing w:line="480" w:lineRule="exact"/>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桂东人民医院</w:t>
      </w:r>
    </w:p>
    <w:p>
      <w:pPr>
        <w:spacing w:line="480" w:lineRule="exact"/>
        <w:jc w:val="left"/>
        <w:rPr>
          <w:rFonts w:ascii="仿宋" w:hAnsi="仿宋" w:eastAsia="仿宋" w:cs="仿宋"/>
          <w:color w:val="000000"/>
          <w:sz w:val="28"/>
          <w:szCs w:val="28"/>
        </w:rPr>
      </w:pPr>
      <w:r>
        <w:rPr>
          <w:rFonts w:hint="eastAsia" w:ascii="仿宋" w:hAnsi="仿宋" w:eastAsia="仿宋" w:cs="仿宋"/>
          <w:color w:val="000000"/>
          <w:sz w:val="28"/>
          <w:szCs w:val="28"/>
        </w:rPr>
        <w:t>代表人：                        代表人：</w:t>
      </w:r>
    </w:p>
    <w:p>
      <w:pPr>
        <w:spacing w:line="480" w:lineRule="exact"/>
        <w:jc w:val="left"/>
        <w:rPr>
          <w:rFonts w:ascii="仿宋" w:hAnsi="仿宋" w:eastAsia="仿宋" w:cs="仿宋"/>
          <w:color w:val="000000"/>
          <w:sz w:val="28"/>
          <w:szCs w:val="28"/>
        </w:rPr>
      </w:pPr>
    </w:p>
    <w:p>
      <w:pPr>
        <w:spacing w:line="480" w:lineRule="exact"/>
        <w:jc w:val="left"/>
        <w:rPr>
          <w:rFonts w:ascii="仿宋" w:hAnsi="仿宋" w:eastAsia="仿宋" w:cs="仿宋"/>
          <w:sz w:val="28"/>
          <w:szCs w:val="28"/>
        </w:rPr>
      </w:pPr>
      <w:r>
        <w:rPr>
          <w:rFonts w:hint="eastAsia" w:ascii="仿宋" w:hAnsi="仿宋" w:eastAsia="仿宋" w:cs="仿宋"/>
          <w:color w:val="000000"/>
          <w:sz w:val="28"/>
          <w:szCs w:val="28"/>
        </w:rPr>
        <w:t>合同签订日期：   年  月  日   合同签订日期：   年  月  日</w:t>
      </w:r>
    </w:p>
    <w:p>
      <w:pPr>
        <w:spacing w:line="500" w:lineRule="exact"/>
        <w:rPr>
          <w:rFonts w:ascii="仿宋" w:hAnsi="仿宋" w:eastAsia="仿宋" w:cs="仿宋"/>
          <w:sz w:val="28"/>
          <w:szCs w:val="28"/>
        </w:rPr>
      </w:pPr>
    </w:p>
    <w:p>
      <w:pPr>
        <w:pStyle w:val="8"/>
        <w:shd w:val="clear" w:color="auto" w:fill="FFFFFF"/>
        <w:spacing w:before="0" w:beforeAutospacing="0" w:after="0" w:afterAutospacing="0" w:line="405" w:lineRule="atLeast"/>
        <w:textAlignment w:val="baseline"/>
        <w:rPr>
          <w:rFonts w:cs="宋体"/>
          <w:color w:val="333333"/>
          <w:sz w:val="30"/>
          <w:szCs w:val="30"/>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47E3E"/>
    <w:multiLevelType w:val="multilevel"/>
    <w:tmpl w:val="4BB47E3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909D17"/>
    <w:multiLevelType w:val="singleLevel"/>
    <w:tmpl w:val="5B909D1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zZmUxMTJmMzEwYzc3MTAxNjI1Y2M2ZjFjY2FjMGQifQ=="/>
  </w:docVars>
  <w:rsids>
    <w:rsidRoot w:val="00B40FE8"/>
    <w:rsid w:val="00123139"/>
    <w:rsid w:val="00201825"/>
    <w:rsid w:val="005005B5"/>
    <w:rsid w:val="00502C58"/>
    <w:rsid w:val="00581DC5"/>
    <w:rsid w:val="006E5DE4"/>
    <w:rsid w:val="007C5916"/>
    <w:rsid w:val="007D4AD1"/>
    <w:rsid w:val="00850522"/>
    <w:rsid w:val="008A5480"/>
    <w:rsid w:val="009B7E0A"/>
    <w:rsid w:val="00A12BC6"/>
    <w:rsid w:val="00A430D5"/>
    <w:rsid w:val="00B40FE8"/>
    <w:rsid w:val="00BF1D82"/>
    <w:rsid w:val="00BF7979"/>
    <w:rsid w:val="00DD0581"/>
    <w:rsid w:val="00E200B4"/>
    <w:rsid w:val="00EF1FBD"/>
    <w:rsid w:val="00EF5E87"/>
    <w:rsid w:val="00FE01D9"/>
    <w:rsid w:val="01DF7EEA"/>
    <w:rsid w:val="037A420E"/>
    <w:rsid w:val="05230B18"/>
    <w:rsid w:val="05DE27E6"/>
    <w:rsid w:val="06066DA2"/>
    <w:rsid w:val="061655EB"/>
    <w:rsid w:val="061C2495"/>
    <w:rsid w:val="079356CE"/>
    <w:rsid w:val="08DE302E"/>
    <w:rsid w:val="1182234D"/>
    <w:rsid w:val="139E534B"/>
    <w:rsid w:val="13CF0293"/>
    <w:rsid w:val="141A2539"/>
    <w:rsid w:val="1833478C"/>
    <w:rsid w:val="18A2700C"/>
    <w:rsid w:val="18E60B6C"/>
    <w:rsid w:val="18ED4A2E"/>
    <w:rsid w:val="19ED30D9"/>
    <w:rsid w:val="1B0167BF"/>
    <w:rsid w:val="1CF0552A"/>
    <w:rsid w:val="1E381D6C"/>
    <w:rsid w:val="20CD52A1"/>
    <w:rsid w:val="211D3C0E"/>
    <w:rsid w:val="219C793B"/>
    <w:rsid w:val="222A76FE"/>
    <w:rsid w:val="226F4609"/>
    <w:rsid w:val="233C2263"/>
    <w:rsid w:val="242A7826"/>
    <w:rsid w:val="264B2842"/>
    <w:rsid w:val="26643ACC"/>
    <w:rsid w:val="2C7C214C"/>
    <w:rsid w:val="2EA37F11"/>
    <w:rsid w:val="309822F8"/>
    <w:rsid w:val="31680B89"/>
    <w:rsid w:val="33487E5C"/>
    <w:rsid w:val="33704071"/>
    <w:rsid w:val="337669BF"/>
    <w:rsid w:val="3445049D"/>
    <w:rsid w:val="34486E96"/>
    <w:rsid w:val="34EE7663"/>
    <w:rsid w:val="35576939"/>
    <w:rsid w:val="37402BB8"/>
    <w:rsid w:val="3773677B"/>
    <w:rsid w:val="38493C21"/>
    <w:rsid w:val="385B4A05"/>
    <w:rsid w:val="3BE66051"/>
    <w:rsid w:val="3C663B67"/>
    <w:rsid w:val="3CB342BB"/>
    <w:rsid w:val="3E163303"/>
    <w:rsid w:val="3E442C03"/>
    <w:rsid w:val="3E8C0FF5"/>
    <w:rsid w:val="3F793D47"/>
    <w:rsid w:val="409C1BAA"/>
    <w:rsid w:val="412B6289"/>
    <w:rsid w:val="41564910"/>
    <w:rsid w:val="41FF21FE"/>
    <w:rsid w:val="437C5AE7"/>
    <w:rsid w:val="449D38F6"/>
    <w:rsid w:val="46580D22"/>
    <w:rsid w:val="47D56832"/>
    <w:rsid w:val="48053BDA"/>
    <w:rsid w:val="48E94252"/>
    <w:rsid w:val="49A57BB6"/>
    <w:rsid w:val="4C0146D4"/>
    <w:rsid w:val="4D0B6125"/>
    <w:rsid w:val="507B118F"/>
    <w:rsid w:val="53394640"/>
    <w:rsid w:val="533960B0"/>
    <w:rsid w:val="537E53F6"/>
    <w:rsid w:val="538B49B9"/>
    <w:rsid w:val="53F009E6"/>
    <w:rsid w:val="560D233B"/>
    <w:rsid w:val="570426F3"/>
    <w:rsid w:val="57196D52"/>
    <w:rsid w:val="585E003C"/>
    <w:rsid w:val="59B9061F"/>
    <w:rsid w:val="5AB23147"/>
    <w:rsid w:val="5D11560F"/>
    <w:rsid w:val="5D464403"/>
    <w:rsid w:val="5EAE6DFB"/>
    <w:rsid w:val="5ED06962"/>
    <w:rsid w:val="5F6D5BC2"/>
    <w:rsid w:val="60F5687E"/>
    <w:rsid w:val="610F5546"/>
    <w:rsid w:val="61B86229"/>
    <w:rsid w:val="61FC3231"/>
    <w:rsid w:val="621B17F5"/>
    <w:rsid w:val="622A6667"/>
    <w:rsid w:val="62966735"/>
    <w:rsid w:val="65941420"/>
    <w:rsid w:val="6749183E"/>
    <w:rsid w:val="67842062"/>
    <w:rsid w:val="6793565D"/>
    <w:rsid w:val="68E40D71"/>
    <w:rsid w:val="697C5FE4"/>
    <w:rsid w:val="6D1C4E62"/>
    <w:rsid w:val="6D31003D"/>
    <w:rsid w:val="702E273F"/>
    <w:rsid w:val="70792063"/>
    <w:rsid w:val="70B745F7"/>
    <w:rsid w:val="7153725C"/>
    <w:rsid w:val="72312FD5"/>
    <w:rsid w:val="72746A91"/>
    <w:rsid w:val="73380A5C"/>
    <w:rsid w:val="7394311E"/>
    <w:rsid w:val="748D1BF8"/>
    <w:rsid w:val="74C01E78"/>
    <w:rsid w:val="74FC3135"/>
    <w:rsid w:val="752F28F2"/>
    <w:rsid w:val="754565B0"/>
    <w:rsid w:val="76782832"/>
    <w:rsid w:val="76C707D1"/>
    <w:rsid w:val="77435BD6"/>
    <w:rsid w:val="77D15AE5"/>
    <w:rsid w:val="78F87030"/>
    <w:rsid w:val="79674B9C"/>
    <w:rsid w:val="7A300892"/>
    <w:rsid w:val="7A3E1EF3"/>
    <w:rsid w:val="7F7272EE"/>
    <w:rsid w:val="7FC7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Indent"/>
    <w:basedOn w:val="1"/>
    <w:link w:val="16"/>
    <w:qFormat/>
    <w:uiPriority w:val="0"/>
    <w:pPr>
      <w:spacing w:line="200" w:lineRule="exact"/>
      <w:ind w:firstLine="301"/>
    </w:pPr>
    <w:rPr>
      <w:rFonts w:ascii="宋体" w:hAnsi="Courier New" w:eastAsia="宋体" w:cs="Times New Roman"/>
      <w:spacing w:val="-4"/>
      <w:sz w:val="18"/>
      <w:szCs w:val="20"/>
    </w:rPr>
  </w:style>
  <w:style w:type="paragraph" w:styleId="4">
    <w:name w:val="Plain Text"/>
    <w:basedOn w:val="1"/>
    <w:link w:val="15"/>
    <w:qFormat/>
    <w:uiPriority w:val="0"/>
    <w:rPr>
      <w:rFonts w:ascii="宋体" w:hAnsi="Courier New"/>
      <w:szCs w:val="20"/>
    </w:rPr>
  </w:style>
  <w:style w:type="paragraph" w:styleId="5">
    <w:name w:val="Date"/>
    <w:basedOn w:val="1"/>
    <w:next w:val="1"/>
    <w:qFormat/>
    <w:uiPriority w:val="0"/>
    <w:pPr>
      <w:ind w:left="100" w:leftChars="2500"/>
    </w:pPr>
    <w:rPr>
      <w:rFonts w:ascii="宋体" w:hAnsi="宋体"/>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0000FF"/>
      <w:u w:val="single"/>
    </w:rPr>
  </w:style>
  <w:style w:type="table" w:customStyle="1" w:styleId="13">
    <w:name w:val="网格型1"/>
    <w:basedOn w:val="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unhideWhenUsed/>
    <w:qFormat/>
    <w:uiPriority w:val="99"/>
    <w:pPr>
      <w:ind w:firstLine="420" w:firstLineChars="200"/>
    </w:pPr>
  </w:style>
  <w:style w:type="character" w:customStyle="1" w:styleId="15">
    <w:name w:val="纯文本 Char"/>
    <w:link w:val="4"/>
    <w:qFormat/>
    <w:locked/>
    <w:uiPriority w:val="0"/>
    <w:rPr>
      <w:rFonts w:ascii="宋体" w:hAnsi="Courier New"/>
      <w:kern w:val="2"/>
      <w:sz w:val="21"/>
    </w:rPr>
  </w:style>
  <w:style w:type="character" w:customStyle="1" w:styleId="16">
    <w:name w:val="正文文本缩进 Char"/>
    <w:basedOn w:val="11"/>
    <w:link w:val="3"/>
    <w:qFormat/>
    <w:uiPriority w:val="0"/>
    <w:rPr>
      <w:rFonts w:ascii="宋体" w:hAnsi="Courier New" w:eastAsia="宋体" w:cs="Times New Roman"/>
      <w:spacing w:val="-4"/>
      <w:kern w:val="2"/>
      <w:sz w:val="18"/>
    </w:rPr>
  </w:style>
  <w:style w:type="character" w:styleId="17">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1104</Words>
  <Characters>6294</Characters>
  <Lines>52</Lines>
  <Paragraphs>14</Paragraphs>
  <TotalTime>0</TotalTime>
  <ScaleCrop>false</ScaleCrop>
  <LinksUpToDate>false</LinksUpToDate>
  <CharactersWithSpaces>7384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日月星辰</cp:lastModifiedBy>
  <cp:lastPrinted>2021-05-09T04:32:00Z</cp:lastPrinted>
  <dcterms:modified xsi:type="dcterms:W3CDTF">2023-04-20T10:08:29Z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BA6F2FDA9A3D471BA9318A572E5957A1</vt:lpwstr>
  </property>
</Properties>
</file>