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宋体"/>
          <w:b/>
          <w:bCs/>
          <w:kern w:val="0"/>
          <w:sz w:val="38"/>
          <w:szCs w:val="3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4"/>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4"/>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14"/>
        <w:ind w:left="-500" w:leftChars="-238" w:firstLine="420" w:firstLineChars="199"/>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14"/>
        <w:ind w:left="-708" w:leftChars="-337"/>
        <w:rPr>
          <w:rFonts w:cs="宋体"/>
          <w:b/>
          <w:bCs/>
          <w:sz w:val="28"/>
          <w:szCs w:val="28"/>
        </w:rPr>
      </w:pPr>
      <w:r>
        <w:rPr>
          <w:rFonts w:hint="eastAsia" w:cs="宋体"/>
          <w:b/>
          <w:bCs/>
          <w:sz w:val="28"/>
          <w:szCs w:val="28"/>
        </w:rPr>
        <w:t>一、采购清单、技术规格参数、质量标准和要求</w:t>
      </w:r>
    </w:p>
    <w:p>
      <w:pPr>
        <w:pStyle w:val="14"/>
        <w:ind w:left="-708" w:leftChars="-337"/>
        <w:rPr>
          <w:sz w:val="28"/>
          <w:szCs w:val="28"/>
        </w:rPr>
      </w:pPr>
      <w:r>
        <w:rPr>
          <w:rFonts w:hint="eastAsia" w:cs="宋体"/>
          <w:b/>
          <w:bCs/>
        </w:rPr>
        <w:t>（一）采购需求：</w:t>
      </w:r>
      <w:r>
        <w:rPr>
          <w:b/>
          <w:bCs/>
        </w:rPr>
        <w:t> </w:t>
      </w:r>
    </w:p>
    <w:p>
      <w:pPr>
        <w:spacing w:line="360" w:lineRule="exact"/>
        <w:ind w:firstLine="42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桂东肾内科（血液净化室）因业务需要，扩建透析床位，在我院现有血透信息系统的基础上，增加透析机12台，IPAD平台电脑2台。要求与现有血透信息系统软件实现数据对接和现有联机硬件配套及集成支持。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089"/>
        <w:gridCol w:w="1308"/>
        <w:gridCol w:w="170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序号</w:t>
            </w:r>
          </w:p>
        </w:tc>
        <w:tc>
          <w:tcPr>
            <w:tcW w:w="3089"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设备名称</w:t>
            </w:r>
          </w:p>
        </w:tc>
        <w:tc>
          <w:tcPr>
            <w:tcW w:w="1308"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数量（台）</w:t>
            </w:r>
          </w:p>
        </w:tc>
        <w:tc>
          <w:tcPr>
            <w:tcW w:w="1703"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单价（元）</w:t>
            </w:r>
          </w:p>
        </w:tc>
        <w:tc>
          <w:tcPr>
            <w:tcW w:w="1703"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1</w:t>
            </w:r>
          </w:p>
        </w:tc>
        <w:tc>
          <w:tcPr>
            <w:tcW w:w="3089"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透析机数据采集及软件集成</w:t>
            </w:r>
          </w:p>
        </w:tc>
        <w:tc>
          <w:tcPr>
            <w:tcW w:w="1308"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12</w:t>
            </w:r>
          </w:p>
        </w:tc>
        <w:tc>
          <w:tcPr>
            <w:tcW w:w="1703"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8000</w:t>
            </w:r>
          </w:p>
        </w:tc>
        <w:tc>
          <w:tcPr>
            <w:tcW w:w="1703"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2</w:t>
            </w:r>
          </w:p>
        </w:tc>
        <w:tc>
          <w:tcPr>
            <w:tcW w:w="3089"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平板电脑</w:t>
            </w:r>
          </w:p>
        </w:tc>
        <w:tc>
          <w:tcPr>
            <w:tcW w:w="1308"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2</w:t>
            </w:r>
          </w:p>
        </w:tc>
        <w:tc>
          <w:tcPr>
            <w:tcW w:w="1703"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2000</w:t>
            </w:r>
          </w:p>
        </w:tc>
        <w:tc>
          <w:tcPr>
            <w:tcW w:w="1703"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2" w:type="dxa"/>
            <w:gridSpan w:val="4"/>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总计（元）</w:t>
            </w:r>
          </w:p>
        </w:tc>
        <w:tc>
          <w:tcPr>
            <w:tcW w:w="1703" w:type="dxa"/>
          </w:tcPr>
          <w:p>
            <w:pPr>
              <w:pStyle w:val="2"/>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100000</w:t>
            </w:r>
          </w:p>
        </w:tc>
      </w:tr>
    </w:tbl>
    <w:p>
      <w:pPr>
        <w:widowControl/>
        <w:numPr>
          <w:ilvl w:val="0"/>
          <w:numId w:val="1"/>
        </w:numPr>
        <w:spacing w:line="360" w:lineRule="auto"/>
        <w:ind w:left="-708" w:leftChars="-337"/>
        <w:jc w:val="left"/>
      </w:pPr>
      <w:r>
        <w:rPr>
          <w:rFonts w:hint="eastAsia" w:cs="宋体"/>
          <w:b/>
          <w:bCs/>
          <w:kern w:val="0"/>
          <w:sz w:val="24"/>
          <w:szCs w:val="24"/>
        </w:rPr>
        <w:t>技术规格参数</w:t>
      </w:r>
    </w:p>
    <w:p>
      <w:pPr>
        <w:pStyle w:val="14"/>
        <w:ind w:left="-708" w:leftChars="-337"/>
      </w:pPr>
      <w:r>
        <w:rPr>
          <w:rFonts w:hint="eastAsia"/>
        </w:rPr>
        <w:t xml:space="preserve">     </w:t>
      </w:r>
      <w:r>
        <w:rPr>
          <w:rFonts w:hint="eastAsia"/>
          <w:b/>
          <w:bCs/>
        </w:rPr>
        <w:t>1、项目技术参数要求</w:t>
      </w:r>
    </w:p>
    <w:tbl>
      <w:tblPr>
        <w:tblStyle w:val="10"/>
        <w:tblW w:w="94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29"/>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b/>
              </w:rPr>
              <w:t>序号</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b/>
              </w:rPr>
              <w:t>模块名称</w:t>
            </w:r>
          </w:p>
        </w:tc>
        <w:tc>
          <w:tcPr>
            <w:tcW w:w="7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ascii="宋体" w:hAnsi="宋体"/>
                <w:b/>
                <w:bCs/>
              </w:rPr>
              <w:t>技术</w:t>
            </w:r>
            <w:r>
              <w:rPr>
                <w:rFonts w:hint="eastAsia" w:ascii="宋体" w:hAnsi="宋体"/>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rPr>
              <w:t>1</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cs="Arial"/>
                <w:b/>
                <w:bCs/>
              </w:rPr>
              <w:t>总体要求</w:t>
            </w:r>
          </w:p>
        </w:tc>
        <w:tc>
          <w:tcPr>
            <w:tcW w:w="73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b/>
                <w:bCs/>
              </w:rPr>
            </w:pPr>
            <w:r>
              <w:rPr>
                <w:rFonts w:ascii="宋体" w:hAnsi="宋体" w:cs="Arial"/>
                <w:b/>
                <w:bCs/>
              </w:rPr>
              <w:t>项目整体建设要求：</w:t>
            </w:r>
          </w:p>
          <w:p>
            <w:pPr>
              <w:numPr>
                <w:ilvl w:val="0"/>
                <w:numId w:val="2"/>
              </w:numPr>
              <w:spacing w:line="360" w:lineRule="auto"/>
              <w:rPr>
                <w:rFonts w:ascii="宋体" w:hAnsi="宋体" w:cs="Arial"/>
                <w:b/>
                <w:bCs/>
              </w:rPr>
            </w:pPr>
            <w:r>
              <w:rPr>
                <w:rFonts w:hint="eastAsia" w:ascii="宋体" w:hAnsi="宋体" w:cs="Arial"/>
                <w:b/>
                <w:bCs/>
              </w:rPr>
              <w:t>数据要求</w:t>
            </w:r>
          </w:p>
          <w:p>
            <w:pPr>
              <w:spacing w:line="360" w:lineRule="auto"/>
              <w:ind w:firstLine="420" w:firstLineChars="200"/>
              <w:rPr>
                <w:rFonts w:ascii="宋体" w:hAnsi="宋体" w:cs="Arial"/>
                <w:b/>
                <w:bCs/>
              </w:rPr>
            </w:pPr>
            <w:r>
              <w:rPr>
                <w:rFonts w:hint="eastAsia" w:ascii="宋体" w:hAnsi="宋体" w:cs="Arial"/>
                <w:bCs/>
              </w:rPr>
              <w:t>通过血液透析联机系统，实现对血液透析机的机器运行数据进行自动采集，避免传统人工手抄的诸多问题，提高数据采集及时性、有效性、完整性、真实性，从而现实通过数据真实反应透析过程情况。</w:t>
            </w:r>
          </w:p>
          <w:p>
            <w:pPr>
              <w:numPr>
                <w:ilvl w:val="0"/>
                <w:numId w:val="2"/>
              </w:numPr>
              <w:spacing w:line="360" w:lineRule="auto"/>
              <w:rPr>
                <w:rFonts w:ascii="宋体" w:hAnsi="宋体" w:cs="Arial"/>
                <w:b/>
                <w:bCs/>
              </w:rPr>
            </w:pPr>
            <w:r>
              <w:rPr>
                <w:rFonts w:hint="eastAsia" w:ascii="宋体" w:hAnsi="宋体" w:cs="Arial"/>
                <w:b/>
                <w:bCs/>
              </w:rPr>
              <w:t>适配要求</w:t>
            </w:r>
          </w:p>
          <w:p>
            <w:pPr>
              <w:numPr>
                <w:ilvl w:val="0"/>
                <w:numId w:val="3"/>
              </w:numPr>
              <w:spacing w:line="360" w:lineRule="auto"/>
              <w:ind w:firstLine="422" w:firstLineChars="200"/>
              <w:rPr>
                <w:rFonts w:ascii="宋体" w:hAnsi="宋体" w:cs="Arial"/>
                <w:b/>
                <w:bCs/>
              </w:rPr>
            </w:pPr>
            <w:r>
              <w:rPr>
                <w:rFonts w:hint="eastAsia" w:ascii="宋体" w:hAnsi="宋体" w:cs="Arial"/>
                <w:b/>
                <w:bCs/>
              </w:rPr>
              <w:t>厂商适配</w:t>
            </w:r>
          </w:p>
          <w:p>
            <w:pPr>
              <w:spacing w:line="360" w:lineRule="auto"/>
              <w:rPr>
                <w:rFonts w:ascii="宋体" w:hAnsi="宋体" w:cs="Arial"/>
                <w:bCs/>
              </w:rPr>
            </w:pPr>
            <w:r>
              <w:rPr>
                <w:rFonts w:hint="eastAsia" w:ascii="宋体" w:hAnsi="宋体" w:cs="Arial"/>
                <w:b/>
                <w:bCs/>
              </w:rPr>
              <w:t xml:space="preserve">   </w:t>
            </w:r>
            <w:r>
              <w:rPr>
                <w:rFonts w:hint="eastAsia" w:ascii="宋体" w:hAnsi="宋体" w:cs="Arial"/>
                <w:bCs/>
              </w:rPr>
              <w:t>通过此联机系统，可以与市面所有提供对外数据通信的血液透析机实现对接，包括且不局限于：</w:t>
            </w:r>
          </w:p>
          <w:p>
            <w:pPr>
              <w:numPr>
                <w:ilvl w:val="0"/>
                <w:numId w:val="4"/>
              </w:numPr>
              <w:spacing w:line="360" w:lineRule="auto"/>
              <w:rPr>
                <w:rFonts w:ascii="宋体" w:hAnsi="宋体" w:cs="Arial"/>
                <w:bCs/>
              </w:rPr>
            </w:pPr>
            <w:r>
              <w:rPr>
                <w:rFonts w:hint="eastAsia" w:ascii="宋体" w:hAnsi="宋体" w:cs="Arial"/>
                <w:bCs/>
              </w:rPr>
              <w:t>费森尤斯4008B、4008S、5008、5008S</w:t>
            </w:r>
          </w:p>
          <w:p>
            <w:pPr>
              <w:numPr>
                <w:ilvl w:val="0"/>
                <w:numId w:val="4"/>
              </w:numPr>
              <w:spacing w:line="360" w:lineRule="auto"/>
              <w:rPr>
                <w:rFonts w:ascii="宋体" w:hAnsi="宋体" w:cs="Arial"/>
                <w:bCs/>
              </w:rPr>
            </w:pPr>
            <w:r>
              <w:rPr>
                <w:rFonts w:hint="eastAsia" w:ascii="宋体" w:hAnsi="宋体" w:cs="Arial"/>
                <w:bCs/>
              </w:rPr>
              <w:t>金宝AK95S、AK96、AK98、AK200US</w:t>
            </w:r>
          </w:p>
          <w:p>
            <w:pPr>
              <w:numPr>
                <w:ilvl w:val="0"/>
                <w:numId w:val="4"/>
              </w:numPr>
              <w:spacing w:line="360" w:lineRule="auto"/>
              <w:rPr>
                <w:rFonts w:ascii="宋体" w:hAnsi="宋体" w:cs="Arial"/>
                <w:bCs/>
              </w:rPr>
            </w:pPr>
            <w:r>
              <w:rPr>
                <w:rFonts w:hint="eastAsia" w:ascii="宋体" w:hAnsi="宋体" w:cs="Arial"/>
                <w:bCs/>
              </w:rPr>
              <w:t>贝朗DIALOG、DIALOG+ONLINE</w:t>
            </w:r>
          </w:p>
          <w:p>
            <w:pPr>
              <w:numPr>
                <w:ilvl w:val="0"/>
                <w:numId w:val="4"/>
              </w:numPr>
              <w:spacing w:line="360" w:lineRule="auto"/>
              <w:rPr>
                <w:rFonts w:ascii="宋体" w:hAnsi="宋体" w:cs="Arial"/>
                <w:bCs/>
              </w:rPr>
            </w:pPr>
            <w:r>
              <w:rPr>
                <w:rFonts w:hint="eastAsia" w:ascii="宋体" w:hAnsi="宋体" w:cs="Arial"/>
                <w:bCs/>
              </w:rPr>
              <w:t>日机装DBB-06S、DBB-07、DBB-07S、DBB-27、DBB-27C</w:t>
            </w:r>
          </w:p>
          <w:p>
            <w:pPr>
              <w:numPr>
                <w:ilvl w:val="0"/>
                <w:numId w:val="4"/>
              </w:numPr>
              <w:spacing w:line="360" w:lineRule="auto"/>
              <w:rPr>
                <w:rFonts w:ascii="宋体" w:hAnsi="宋体" w:cs="Arial"/>
                <w:bCs/>
              </w:rPr>
            </w:pPr>
            <w:r>
              <w:rPr>
                <w:rFonts w:hint="eastAsia" w:ascii="宋体" w:hAnsi="宋体" w:cs="Arial"/>
                <w:bCs/>
              </w:rPr>
              <w:t>东丽TORAY8000、TQS-88</w:t>
            </w:r>
          </w:p>
          <w:p>
            <w:pPr>
              <w:numPr>
                <w:ilvl w:val="0"/>
                <w:numId w:val="4"/>
              </w:numPr>
              <w:spacing w:line="360" w:lineRule="auto"/>
              <w:rPr>
                <w:rFonts w:ascii="宋体" w:hAnsi="宋体" w:cs="Arial"/>
                <w:bCs/>
              </w:rPr>
            </w:pPr>
            <w:r>
              <w:rPr>
                <w:rFonts w:hint="eastAsia" w:ascii="宋体" w:hAnsi="宋体" w:cs="Arial"/>
                <w:bCs/>
              </w:rPr>
              <w:t>山外山SWS4000A、SWS4000B</w:t>
            </w:r>
          </w:p>
          <w:p>
            <w:pPr>
              <w:numPr>
                <w:ilvl w:val="0"/>
                <w:numId w:val="4"/>
              </w:numPr>
              <w:spacing w:line="360" w:lineRule="auto"/>
              <w:rPr>
                <w:rFonts w:ascii="宋体" w:hAnsi="宋体" w:cs="Arial"/>
                <w:bCs/>
              </w:rPr>
            </w:pPr>
            <w:r>
              <w:rPr>
                <w:rFonts w:hint="eastAsia" w:ascii="宋体" w:hAnsi="宋体" w:cs="Arial"/>
                <w:bCs/>
              </w:rPr>
              <w:t>贝尔克FORMULA</w:t>
            </w:r>
          </w:p>
          <w:p>
            <w:pPr>
              <w:numPr>
                <w:ilvl w:val="0"/>
                <w:numId w:val="4"/>
              </w:numPr>
              <w:spacing w:line="360" w:lineRule="auto"/>
              <w:rPr>
                <w:rFonts w:ascii="宋体" w:hAnsi="宋体" w:cs="Arial"/>
                <w:bCs/>
              </w:rPr>
            </w:pPr>
            <w:r>
              <w:rPr>
                <w:rFonts w:hint="eastAsia" w:ascii="宋体" w:hAnsi="宋体" w:cs="Arial"/>
                <w:bCs/>
              </w:rPr>
              <w:t>旭化成MDS-101</w:t>
            </w:r>
          </w:p>
          <w:p>
            <w:pPr>
              <w:numPr>
                <w:ilvl w:val="0"/>
                <w:numId w:val="4"/>
              </w:numPr>
              <w:spacing w:line="360" w:lineRule="auto"/>
              <w:rPr>
                <w:rFonts w:ascii="宋体" w:hAnsi="宋体" w:cs="Arial"/>
                <w:bCs/>
              </w:rPr>
            </w:pPr>
            <w:r>
              <w:rPr>
                <w:rFonts w:hint="eastAsia" w:ascii="宋体" w:hAnsi="宋体" w:cs="Arial"/>
                <w:bCs/>
              </w:rPr>
              <w:t>尼普洛NCU-12、NCU-18、NCU-55</w:t>
            </w:r>
          </w:p>
          <w:p>
            <w:pPr>
              <w:numPr>
                <w:ilvl w:val="0"/>
                <w:numId w:val="3"/>
              </w:numPr>
              <w:spacing w:line="360" w:lineRule="auto"/>
              <w:ind w:firstLine="422" w:firstLineChars="200"/>
              <w:rPr>
                <w:rFonts w:ascii="宋体" w:hAnsi="宋体" w:cs="Arial"/>
                <w:b/>
                <w:bCs/>
              </w:rPr>
            </w:pPr>
            <w:r>
              <w:rPr>
                <w:rFonts w:hint="eastAsia" w:ascii="宋体" w:hAnsi="宋体" w:cs="Arial"/>
                <w:b/>
                <w:bCs/>
              </w:rPr>
              <w:t>软件版本适配</w:t>
            </w:r>
          </w:p>
          <w:p>
            <w:pPr>
              <w:spacing w:line="360" w:lineRule="auto"/>
              <w:ind w:firstLine="420" w:firstLineChars="200"/>
              <w:rPr>
                <w:rFonts w:ascii="宋体" w:hAnsi="宋体" w:cs="Arial"/>
                <w:bCs/>
              </w:rPr>
            </w:pPr>
            <w:r>
              <w:rPr>
                <w:rFonts w:hint="eastAsia" w:ascii="宋体" w:hAnsi="宋体" w:cs="Arial"/>
                <w:bCs/>
              </w:rPr>
              <w:t>实现所有支持联机的软件版本的血液透析机的数据采集。</w:t>
            </w:r>
          </w:p>
          <w:p>
            <w:pPr>
              <w:numPr>
                <w:ilvl w:val="0"/>
                <w:numId w:val="3"/>
              </w:numPr>
              <w:spacing w:line="360" w:lineRule="auto"/>
              <w:ind w:firstLine="422" w:firstLineChars="200"/>
              <w:rPr>
                <w:rFonts w:ascii="宋体" w:hAnsi="宋体" w:cs="Arial"/>
                <w:b/>
                <w:bCs/>
              </w:rPr>
            </w:pPr>
            <w:r>
              <w:rPr>
                <w:rFonts w:hint="eastAsia" w:ascii="宋体" w:hAnsi="宋体" w:cs="Arial"/>
                <w:b/>
                <w:bCs/>
              </w:rPr>
              <w:t>传输协议适配</w:t>
            </w:r>
          </w:p>
          <w:p>
            <w:pPr>
              <w:numPr>
                <w:ilvl w:val="0"/>
                <w:numId w:val="5"/>
              </w:numPr>
              <w:spacing w:line="360" w:lineRule="auto"/>
              <w:rPr>
                <w:rFonts w:ascii="宋体" w:hAnsi="宋体" w:cs="Arial"/>
                <w:bCs/>
              </w:rPr>
            </w:pPr>
            <w:r>
              <w:rPr>
                <w:rFonts w:hint="eastAsia" w:ascii="宋体" w:hAnsi="宋体" w:cs="Arial"/>
                <w:bCs/>
              </w:rPr>
              <w:t>支持血液透析机各种对外通信模式</w:t>
            </w:r>
          </w:p>
          <w:p>
            <w:pPr>
              <w:numPr>
                <w:ilvl w:val="0"/>
                <w:numId w:val="5"/>
              </w:numPr>
              <w:spacing w:line="360" w:lineRule="auto"/>
              <w:rPr>
                <w:rFonts w:ascii="宋体" w:hAnsi="宋体" w:cs="Arial"/>
                <w:bCs/>
              </w:rPr>
            </w:pPr>
            <w:r>
              <w:rPr>
                <w:rFonts w:hint="eastAsia" w:ascii="宋体" w:hAnsi="宋体" w:cs="Arial"/>
                <w:bCs/>
              </w:rPr>
              <w:t>支持串口及网络方式，并支持Socket客户端模式及服务端模式。</w:t>
            </w:r>
          </w:p>
          <w:p>
            <w:pPr>
              <w:numPr>
                <w:ilvl w:val="0"/>
                <w:numId w:val="5"/>
              </w:numPr>
              <w:spacing w:line="360" w:lineRule="auto"/>
              <w:rPr>
                <w:rFonts w:ascii="宋体" w:hAnsi="宋体" w:cs="Arial"/>
                <w:bCs/>
              </w:rPr>
            </w:pPr>
            <w:r>
              <w:rPr>
                <w:rFonts w:hint="eastAsia" w:ascii="宋体" w:hAnsi="宋体" w:cs="Arial"/>
                <w:bCs/>
              </w:rPr>
              <w:t>支持有线和无线传输数据</w:t>
            </w:r>
          </w:p>
          <w:p>
            <w:pPr>
              <w:numPr>
                <w:ilvl w:val="0"/>
                <w:numId w:val="2"/>
              </w:numPr>
              <w:spacing w:line="360" w:lineRule="auto"/>
              <w:rPr>
                <w:rFonts w:ascii="宋体" w:hAnsi="宋体" w:cs="Arial"/>
                <w:b/>
                <w:bCs/>
              </w:rPr>
            </w:pPr>
            <w:r>
              <w:rPr>
                <w:rFonts w:hint="eastAsia" w:ascii="宋体" w:hAnsi="宋体" w:cs="Arial"/>
                <w:b/>
                <w:bCs/>
              </w:rPr>
              <w:t>可视化终端管理</w:t>
            </w:r>
          </w:p>
          <w:p>
            <w:pPr>
              <w:spacing w:line="360" w:lineRule="auto"/>
              <w:ind w:firstLine="420" w:firstLineChars="200"/>
              <w:rPr>
                <w:rFonts w:ascii="宋体" w:hAnsi="宋体" w:cs="Arial"/>
                <w:bCs/>
              </w:rPr>
            </w:pPr>
            <w:r>
              <w:rPr>
                <w:rFonts w:hint="eastAsia" w:ascii="宋体" w:hAnsi="宋体" w:cs="Arial"/>
                <w:bCs/>
              </w:rPr>
              <w:t>在局域网下，通过友好可视化界面实现自动检索数据采集盒，并远程配置管理联机数据采集盒，达到物理设备的远程检测状态并远程操作。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2</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数据采集</w:t>
            </w:r>
          </w:p>
        </w:tc>
        <w:tc>
          <w:tcPr>
            <w:tcW w:w="73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对外提供接口调用数据采集盒实时建立与血液透析机的通信，获取机器当前数据，且采集数据与机显数据误差在5%以内。</w:t>
            </w:r>
          </w:p>
          <w:p>
            <w:pPr>
              <w:spacing w:line="360" w:lineRule="auto"/>
              <w:ind w:firstLine="480"/>
              <w:rPr>
                <w:rFonts w:ascii="宋体" w:hAnsi="宋体"/>
              </w:rPr>
            </w:pPr>
            <w:r>
              <w:rPr>
                <w:rFonts w:hint="eastAsia" w:ascii="宋体" w:hAnsi="宋体"/>
              </w:rPr>
              <w:t>采集数据包括且不限于：</w:t>
            </w:r>
          </w:p>
          <w:p>
            <w:pPr>
              <w:numPr>
                <w:ilvl w:val="0"/>
                <w:numId w:val="6"/>
              </w:numPr>
              <w:spacing w:line="360" w:lineRule="auto"/>
              <w:rPr>
                <w:rFonts w:ascii="宋体" w:hAnsi="宋体"/>
              </w:rPr>
            </w:pPr>
            <w:r>
              <w:rPr>
                <w:rFonts w:hint="eastAsia" w:ascii="宋体" w:hAnsi="宋体"/>
              </w:rPr>
              <w:t>收缩压：血液透析机存在血压模块，患者血压测量以后刷新数据可获得。</w:t>
            </w:r>
          </w:p>
          <w:p>
            <w:pPr>
              <w:numPr>
                <w:ilvl w:val="0"/>
                <w:numId w:val="6"/>
              </w:numPr>
              <w:spacing w:line="360" w:lineRule="auto"/>
              <w:rPr>
                <w:rFonts w:ascii="宋体" w:hAnsi="宋体"/>
              </w:rPr>
            </w:pPr>
            <w:r>
              <w:rPr>
                <w:rFonts w:hint="eastAsia" w:ascii="宋体" w:hAnsi="宋体"/>
              </w:rPr>
              <w:t>舒张压：血液透析机存在血压模块，患者血压测量以后刷新数据可获得。</w:t>
            </w:r>
          </w:p>
          <w:p>
            <w:pPr>
              <w:numPr>
                <w:ilvl w:val="0"/>
                <w:numId w:val="6"/>
              </w:numPr>
              <w:spacing w:line="360" w:lineRule="auto"/>
              <w:rPr>
                <w:rFonts w:ascii="宋体" w:hAnsi="宋体"/>
              </w:rPr>
            </w:pPr>
            <w:r>
              <w:rPr>
                <w:rFonts w:hint="eastAsia" w:ascii="宋体" w:hAnsi="宋体"/>
              </w:rPr>
              <w:t>脉搏：血液透析机存在血压模块，患者血压测量以后刷新数据可获得。</w:t>
            </w:r>
          </w:p>
          <w:p>
            <w:pPr>
              <w:numPr>
                <w:ilvl w:val="0"/>
                <w:numId w:val="6"/>
              </w:numPr>
              <w:spacing w:line="360" w:lineRule="auto"/>
              <w:rPr>
                <w:rFonts w:ascii="宋体" w:hAnsi="宋体"/>
              </w:rPr>
            </w:pPr>
            <w:r>
              <w:rPr>
                <w:rFonts w:hint="eastAsia" w:ascii="宋体" w:hAnsi="宋体"/>
              </w:rPr>
              <w:t>血流量：血液透析机通信协议包含血流量，刷新数据可获得。</w:t>
            </w:r>
          </w:p>
          <w:p>
            <w:pPr>
              <w:numPr>
                <w:ilvl w:val="0"/>
                <w:numId w:val="6"/>
              </w:numPr>
              <w:spacing w:line="360" w:lineRule="auto"/>
              <w:rPr>
                <w:rFonts w:ascii="宋体" w:hAnsi="宋体"/>
              </w:rPr>
            </w:pPr>
            <w:r>
              <w:rPr>
                <w:rFonts w:hint="eastAsia" w:ascii="宋体" w:hAnsi="宋体"/>
              </w:rPr>
              <w:t>透析液流量：血液透析机通信协议包含透析液流量，刷新数据可获得。</w:t>
            </w:r>
          </w:p>
          <w:p>
            <w:pPr>
              <w:numPr>
                <w:ilvl w:val="0"/>
                <w:numId w:val="6"/>
              </w:numPr>
              <w:spacing w:line="360" w:lineRule="auto"/>
              <w:rPr>
                <w:rFonts w:ascii="宋体" w:hAnsi="宋体"/>
              </w:rPr>
            </w:pPr>
            <w:r>
              <w:rPr>
                <w:rFonts w:hint="eastAsia" w:ascii="宋体" w:hAnsi="宋体"/>
              </w:rPr>
              <w:t>透析液温度：血液透析机通信协议包含透析液温度，刷新数据可获得。</w:t>
            </w:r>
          </w:p>
          <w:p>
            <w:pPr>
              <w:numPr>
                <w:ilvl w:val="0"/>
                <w:numId w:val="6"/>
              </w:numPr>
              <w:spacing w:line="360" w:lineRule="auto"/>
              <w:rPr>
                <w:rFonts w:ascii="宋体" w:hAnsi="宋体"/>
              </w:rPr>
            </w:pPr>
            <w:r>
              <w:rPr>
                <w:rFonts w:hint="eastAsia" w:ascii="宋体" w:hAnsi="宋体"/>
              </w:rPr>
              <w:t>静脉压：血液透析机通信协议包含静脉压，刷新数据可获得。</w:t>
            </w:r>
          </w:p>
          <w:p>
            <w:pPr>
              <w:numPr>
                <w:ilvl w:val="0"/>
                <w:numId w:val="6"/>
              </w:numPr>
              <w:spacing w:line="360" w:lineRule="auto"/>
              <w:rPr>
                <w:rFonts w:ascii="宋体" w:hAnsi="宋体"/>
              </w:rPr>
            </w:pPr>
            <w:r>
              <w:rPr>
                <w:rFonts w:hint="eastAsia" w:ascii="宋体" w:hAnsi="宋体"/>
              </w:rPr>
              <w:t>动脉压：血液透析机通信协议包含动脉压，刷新数据可获得。</w:t>
            </w:r>
          </w:p>
          <w:p>
            <w:pPr>
              <w:numPr>
                <w:ilvl w:val="0"/>
                <w:numId w:val="6"/>
              </w:numPr>
              <w:spacing w:line="360" w:lineRule="auto"/>
              <w:rPr>
                <w:rFonts w:ascii="宋体" w:hAnsi="宋体"/>
              </w:rPr>
            </w:pPr>
            <w:r>
              <w:rPr>
                <w:rFonts w:hint="eastAsia" w:ascii="宋体" w:hAnsi="宋体"/>
              </w:rPr>
              <w:t>跨膜压：血液透析机通信协议包含跨膜压，刷新数据可获得。</w:t>
            </w:r>
          </w:p>
          <w:p>
            <w:pPr>
              <w:numPr>
                <w:ilvl w:val="0"/>
                <w:numId w:val="6"/>
              </w:numPr>
              <w:spacing w:line="360" w:lineRule="auto"/>
              <w:rPr>
                <w:rFonts w:ascii="宋体" w:hAnsi="宋体"/>
              </w:rPr>
            </w:pPr>
            <w:r>
              <w:rPr>
                <w:rFonts w:hint="eastAsia" w:ascii="宋体" w:hAnsi="宋体"/>
              </w:rPr>
              <w:t>电导度：血液透析机通信协议包含电导度，刷新数据可获得。</w:t>
            </w:r>
          </w:p>
          <w:p>
            <w:pPr>
              <w:numPr>
                <w:ilvl w:val="0"/>
                <w:numId w:val="6"/>
              </w:numPr>
              <w:spacing w:line="360" w:lineRule="auto"/>
              <w:rPr>
                <w:rFonts w:ascii="宋体" w:hAnsi="宋体"/>
              </w:rPr>
            </w:pPr>
            <w:r>
              <w:rPr>
                <w:rFonts w:hint="eastAsia" w:ascii="宋体" w:hAnsi="宋体"/>
              </w:rPr>
              <w:t>超滤量：血液透析机通信协议包含超滤量，刷新数据可获得。</w:t>
            </w:r>
          </w:p>
          <w:p>
            <w:pPr>
              <w:numPr>
                <w:ilvl w:val="0"/>
                <w:numId w:val="6"/>
              </w:numPr>
              <w:spacing w:line="360" w:lineRule="auto"/>
              <w:rPr>
                <w:rFonts w:ascii="宋体" w:hAnsi="宋体"/>
              </w:rPr>
            </w:pPr>
            <w:r>
              <w:rPr>
                <w:rFonts w:hint="eastAsia" w:ascii="宋体" w:hAnsi="宋体"/>
              </w:rPr>
              <w:t>超滤率：血液透析机通信协议包含超滤率，刷新数据可获得。</w:t>
            </w:r>
          </w:p>
          <w:p>
            <w:pPr>
              <w:numPr>
                <w:ilvl w:val="0"/>
                <w:numId w:val="6"/>
              </w:numPr>
              <w:spacing w:line="360" w:lineRule="auto"/>
              <w:rPr>
                <w:rFonts w:ascii="宋体" w:hAnsi="宋体"/>
              </w:rPr>
            </w:pPr>
            <w:r>
              <w:rPr>
                <w:rFonts w:hint="eastAsia" w:ascii="宋体" w:hAnsi="宋体"/>
              </w:rPr>
              <w:t>超滤目标：血液透析机通信协议包含超滤目标，刷新数据可获得。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3</w:t>
            </w:r>
          </w:p>
        </w:tc>
        <w:tc>
          <w:tcPr>
            <w:tcW w:w="1429" w:type="dxa"/>
            <w:tcBorders>
              <w:top w:val="single" w:color="auto" w:sz="4" w:space="0"/>
              <w:left w:val="single" w:color="auto" w:sz="4" w:space="0"/>
              <w:bottom w:val="single" w:color="auto" w:sz="4" w:space="0"/>
              <w:right w:val="single" w:color="auto" w:sz="4" w:space="0"/>
            </w:tcBorders>
            <w:vAlign w:val="center"/>
          </w:tcPr>
          <w:p>
            <w:pPr>
              <w:pStyle w:val="26"/>
              <w:autoSpaceDE w:val="0"/>
              <w:autoSpaceDN w:val="0"/>
              <w:adjustRightInd w:val="0"/>
              <w:spacing w:line="360" w:lineRule="auto"/>
              <w:ind w:firstLine="0" w:firstLineChars="0"/>
              <w:rPr>
                <w:rFonts w:ascii="宋体" w:hAnsi="宋体"/>
                <w:b/>
                <w:szCs w:val="21"/>
              </w:rPr>
            </w:pPr>
          </w:p>
          <w:p>
            <w:pPr>
              <w:pStyle w:val="26"/>
              <w:autoSpaceDE w:val="0"/>
              <w:autoSpaceDN w:val="0"/>
              <w:adjustRightInd w:val="0"/>
              <w:spacing w:line="360" w:lineRule="auto"/>
              <w:ind w:firstLine="0" w:firstLineChars="0"/>
              <w:rPr>
                <w:rFonts w:ascii="宋体" w:hAnsi="宋体"/>
                <w:b/>
                <w:szCs w:val="21"/>
              </w:rPr>
            </w:pPr>
            <w:r>
              <w:rPr>
                <w:rFonts w:hint="eastAsia" w:ascii="宋体" w:hAnsi="宋体"/>
                <w:b/>
                <w:szCs w:val="21"/>
              </w:rPr>
              <w:t>数据采集盒</w:t>
            </w:r>
          </w:p>
        </w:tc>
        <w:tc>
          <w:tcPr>
            <w:tcW w:w="7358"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rPr>
            </w:pPr>
            <w:r>
              <w:rPr>
                <w:rFonts w:hint="eastAsia" w:ascii="宋体" w:hAnsi="宋体"/>
              </w:rPr>
              <w:t>通过数据采集盒，实现与透析机通信，获取机器数据及生命体征数据。数据采集盒需符合以下规格:</w:t>
            </w:r>
          </w:p>
          <w:p>
            <w:pPr>
              <w:numPr>
                <w:ilvl w:val="0"/>
                <w:numId w:val="6"/>
              </w:numPr>
              <w:spacing w:line="360" w:lineRule="auto"/>
              <w:rPr>
                <w:rFonts w:ascii="宋体" w:hAnsi="宋体"/>
              </w:rPr>
            </w:pPr>
            <w:r>
              <w:rPr>
                <w:rFonts w:hint="eastAsia" w:ascii="宋体" w:hAnsi="宋体"/>
              </w:rPr>
              <w:t>WIFI：支持IEEE802.11b/g</w:t>
            </w:r>
          </w:p>
          <w:p>
            <w:pPr>
              <w:numPr>
                <w:ilvl w:val="0"/>
                <w:numId w:val="6"/>
              </w:numPr>
              <w:spacing w:line="360" w:lineRule="auto"/>
              <w:rPr>
                <w:rFonts w:ascii="宋体" w:hAnsi="宋体"/>
              </w:rPr>
            </w:pPr>
            <w:r>
              <w:rPr>
                <w:rFonts w:hint="eastAsia" w:ascii="宋体" w:hAnsi="宋体"/>
              </w:rPr>
              <w:t>波特率：支持1200bps至115200bps</w:t>
            </w:r>
          </w:p>
          <w:p>
            <w:pPr>
              <w:numPr>
                <w:ilvl w:val="0"/>
                <w:numId w:val="6"/>
              </w:numPr>
              <w:spacing w:line="360" w:lineRule="auto"/>
              <w:rPr>
                <w:rFonts w:ascii="宋体" w:hAnsi="宋体"/>
              </w:rPr>
            </w:pPr>
            <w:r>
              <w:rPr>
                <w:rFonts w:hint="eastAsia" w:ascii="宋体" w:hAnsi="宋体"/>
              </w:rPr>
              <w:t>网络格式：支持10M/100M自适应</w:t>
            </w:r>
          </w:p>
          <w:p>
            <w:pPr>
              <w:numPr>
                <w:ilvl w:val="0"/>
                <w:numId w:val="6"/>
              </w:numPr>
              <w:spacing w:line="360" w:lineRule="auto"/>
              <w:rPr>
                <w:rFonts w:ascii="宋体" w:hAnsi="宋体"/>
              </w:rPr>
            </w:pPr>
            <w:r>
              <w:rPr>
                <w:rFonts w:hint="eastAsia" w:ascii="宋体" w:hAnsi="宋体"/>
              </w:rPr>
              <w:t>电源方式：内正外负，标准电源插座；二线端子方式</w:t>
            </w:r>
          </w:p>
          <w:p>
            <w:pPr>
              <w:numPr>
                <w:ilvl w:val="0"/>
                <w:numId w:val="6"/>
              </w:numPr>
              <w:spacing w:line="360" w:lineRule="auto"/>
              <w:rPr>
                <w:rFonts w:ascii="宋体" w:hAnsi="宋体"/>
              </w:rPr>
            </w:pPr>
            <w:r>
              <w:rPr>
                <w:rFonts w:hint="eastAsia" w:ascii="宋体" w:hAnsi="宋体"/>
              </w:rPr>
              <w:t>输入电压：9-48V输入，小于1W</w:t>
            </w:r>
          </w:p>
          <w:p>
            <w:pPr>
              <w:numPr>
                <w:ilvl w:val="0"/>
                <w:numId w:val="6"/>
              </w:numPr>
              <w:spacing w:line="360" w:lineRule="auto"/>
              <w:rPr>
                <w:rFonts w:ascii="宋体" w:hAnsi="宋体"/>
              </w:rPr>
            </w:pPr>
            <w:r>
              <w:rPr>
                <w:rFonts w:hint="eastAsia" w:ascii="宋体" w:hAnsi="宋体"/>
              </w:rPr>
              <w:t>工作温度：-45到85℃</w:t>
            </w:r>
          </w:p>
          <w:p>
            <w:pPr>
              <w:numPr>
                <w:ilvl w:val="0"/>
                <w:numId w:val="6"/>
              </w:numPr>
              <w:spacing w:line="360" w:lineRule="auto"/>
              <w:rPr>
                <w:rFonts w:ascii="宋体" w:hAnsi="宋体"/>
              </w:rPr>
            </w:pPr>
            <w:r>
              <w:rPr>
                <w:rFonts w:hint="eastAsia" w:ascii="宋体" w:hAnsi="宋体"/>
              </w:rPr>
              <w:t>工作湿度：5-95%RH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4</w:t>
            </w:r>
          </w:p>
        </w:tc>
        <w:tc>
          <w:tcPr>
            <w:tcW w:w="1429" w:type="dxa"/>
            <w:tcBorders>
              <w:top w:val="single" w:color="auto" w:sz="4" w:space="0"/>
              <w:left w:val="single" w:color="auto" w:sz="4" w:space="0"/>
              <w:bottom w:val="single" w:color="auto" w:sz="4" w:space="0"/>
              <w:right w:val="single" w:color="auto" w:sz="4" w:space="0"/>
            </w:tcBorders>
            <w:vAlign w:val="center"/>
          </w:tcPr>
          <w:p>
            <w:pPr>
              <w:pStyle w:val="26"/>
              <w:autoSpaceDE w:val="0"/>
              <w:autoSpaceDN w:val="0"/>
              <w:adjustRightInd w:val="0"/>
              <w:spacing w:line="360" w:lineRule="auto"/>
              <w:ind w:firstLine="0" w:firstLineChars="0"/>
              <w:rPr>
                <w:rFonts w:ascii="宋体" w:hAnsi="宋体"/>
                <w:b/>
                <w:szCs w:val="21"/>
              </w:rPr>
            </w:pPr>
            <w:r>
              <w:rPr>
                <w:rFonts w:hint="eastAsia" w:ascii="宋体" w:hAnsi="宋体"/>
                <w:b/>
                <w:szCs w:val="21"/>
              </w:rPr>
              <w:t>数据采集盒管理软件</w:t>
            </w:r>
          </w:p>
        </w:tc>
        <w:tc>
          <w:tcPr>
            <w:tcW w:w="7358" w:type="dxa"/>
            <w:tcBorders>
              <w:top w:val="single" w:color="auto" w:sz="4" w:space="0"/>
              <w:left w:val="single" w:color="auto" w:sz="4" w:space="0"/>
              <w:bottom w:val="single" w:color="auto" w:sz="4" w:space="0"/>
              <w:right w:val="single" w:color="auto" w:sz="4" w:space="0"/>
            </w:tcBorders>
          </w:tcPr>
          <w:p>
            <w:pPr>
              <w:numPr>
                <w:ilvl w:val="0"/>
                <w:numId w:val="6"/>
              </w:numPr>
              <w:spacing w:line="360" w:lineRule="auto"/>
              <w:rPr>
                <w:rFonts w:ascii="宋体" w:hAnsi="宋体"/>
              </w:rPr>
            </w:pPr>
            <w:r>
              <w:rPr>
                <w:rFonts w:hint="eastAsia" w:ascii="宋体" w:hAnsi="宋体"/>
              </w:rPr>
              <w:t>支持同局域网自动广播搜索数据采集盒</w:t>
            </w:r>
          </w:p>
          <w:p>
            <w:pPr>
              <w:numPr>
                <w:ilvl w:val="0"/>
                <w:numId w:val="6"/>
              </w:numPr>
              <w:spacing w:line="360" w:lineRule="auto"/>
              <w:rPr>
                <w:rFonts w:ascii="宋体" w:hAnsi="宋体"/>
              </w:rPr>
            </w:pPr>
            <w:r>
              <w:rPr>
                <w:rFonts w:hint="eastAsia" w:ascii="宋体" w:hAnsi="宋体"/>
              </w:rPr>
              <w:t>支持工人配置其他局域网段广播搜索数据采集盒</w:t>
            </w:r>
          </w:p>
          <w:p>
            <w:pPr>
              <w:numPr>
                <w:ilvl w:val="0"/>
                <w:numId w:val="6"/>
              </w:numPr>
              <w:spacing w:line="360" w:lineRule="auto"/>
              <w:rPr>
                <w:rFonts w:ascii="宋体" w:hAnsi="宋体"/>
              </w:rPr>
            </w:pPr>
            <w:r>
              <w:rPr>
                <w:rFonts w:hint="eastAsia" w:ascii="宋体" w:hAnsi="宋体"/>
              </w:rPr>
              <w:t xml:space="preserve">支持管理数据采集盒相关参数配置： </w:t>
            </w:r>
          </w:p>
          <w:p>
            <w:pPr>
              <w:numPr>
                <w:ilvl w:val="0"/>
                <w:numId w:val="7"/>
              </w:numPr>
              <w:spacing w:line="360" w:lineRule="auto"/>
              <w:ind w:firstLine="420" w:firstLineChars="200"/>
              <w:rPr>
                <w:rFonts w:ascii="宋体" w:hAnsi="宋体"/>
              </w:rPr>
            </w:pPr>
            <w:r>
              <w:rPr>
                <w:rFonts w:hint="eastAsia" w:ascii="宋体" w:hAnsi="宋体"/>
              </w:rPr>
              <w:t>设备信息：虚拟串口、设备型号、设备名称、设备ID（MAC地址）、固件版本</w:t>
            </w:r>
          </w:p>
          <w:p>
            <w:pPr>
              <w:numPr>
                <w:ilvl w:val="0"/>
                <w:numId w:val="7"/>
              </w:numPr>
              <w:spacing w:line="360" w:lineRule="auto"/>
              <w:ind w:firstLine="420" w:firstLineChars="200"/>
              <w:rPr>
                <w:rFonts w:ascii="宋体" w:hAnsi="宋体"/>
              </w:rPr>
            </w:pPr>
            <w:r>
              <w:rPr>
                <w:rFonts w:hint="eastAsia" w:ascii="宋体" w:hAnsi="宋体"/>
              </w:rPr>
              <w:t>网络设置：IP模式（静态/动态IP）、联机盒IP、服务器IP、通讯端口、子网掩码、网关、目标IP、目标端口</w:t>
            </w:r>
          </w:p>
          <w:p>
            <w:pPr>
              <w:numPr>
                <w:ilvl w:val="0"/>
                <w:numId w:val="7"/>
              </w:numPr>
              <w:spacing w:line="360" w:lineRule="auto"/>
              <w:ind w:firstLine="420" w:firstLineChars="200"/>
              <w:rPr>
                <w:rFonts w:ascii="宋体" w:hAnsi="宋体"/>
              </w:rPr>
            </w:pPr>
            <w:r>
              <w:rPr>
                <w:rFonts w:hint="eastAsia" w:ascii="宋体" w:hAnsi="宋体"/>
              </w:rPr>
              <w:t>串口设置：波特率、数据位、检验位、停止位、流控</w:t>
            </w:r>
          </w:p>
          <w:p>
            <w:pPr>
              <w:numPr>
                <w:ilvl w:val="0"/>
                <w:numId w:val="7"/>
              </w:numPr>
              <w:spacing w:line="360" w:lineRule="auto"/>
              <w:ind w:firstLine="420" w:firstLineChars="200"/>
              <w:rPr>
                <w:rFonts w:ascii="宋体" w:hAnsi="宋体"/>
              </w:rPr>
            </w:pPr>
            <w:r>
              <w:rPr>
                <w:rFonts w:hint="eastAsia" w:ascii="宋体" w:hAnsi="宋体"/>
              </w:rPr>
              <w:t>分包设置：数据包长度（字节）、数据包间隔（毫秒）</w:t>
            </w:r>
          </w:p>
          <w:p>
            <w:pPr>
              <w:numPr>
                <w:ilvl w:val="0"/>
                <w:numId w:val="7"/>
              </w:numPr>
              <w:spacing w:line="360" w:lineRule="auto"/>
              <w:ind w:firstLine="420" w:firstLineChars="200"/>
              <w:rPr>
                <w:rFonts w:ascii="宋体" w:hAnsi="宋体"/>
                <w:bCs/>
              </w:rPr>
            </w:pPr>
            <w:r>
              <w:rPr>
                <w:rFonts w:hint="eastAsia" w:ascii="宋体" w:hAnsi="宋体"/>
              </w:rPr>
              <w:t>高级设置：DNS服务器IP、目的模式、转化协议、保留定时时间（秒）、断线重连时间（秒）、网页访问端口、广播地址</w:t>
            </w:r>
          </w:p>
          <w:p>
            <w:pPr>
              <w:numPr>
                <w:ilvl w:val="0"/>
                <w:numId w:val="7"/>
              </w:numPr>
              <w:spacing w:line="360" w:lineRule="auto"/>
              <w:ind w:firstLine="420" w:firstLineChars="200"/>
              <w:rPr>
                <w:rFonts w:ascii="宋体" w:hAnsi="宋体"/>
                <w:bCs/>
              </w:rPr>
            </w:pPr>
            <w:r>
              <w:rPr>
                <w:rFonts w:hint="eastAsia" w:ascii="宋体" w:hAnsi="宋体"/>
              </w:rPr>
              <w:t>WIFI设置：WIFI工作模式、AP或STA SSID、加密类型、AP或STA密码、AP模式信道选择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5</w:t>
            </w:r>
          </w:p>
        </w:tc>
        <w:tc>
          <w:tcPr>
            <w:tcW w:w="1429" w:type="dxa"/>
            <w:tcBorders>
              <w:top w:val="single" w:color="auto" w:sz="4" w:space="0"/>
              <w:left w:val="single" w:color="auto" w:sz="4" w:space="0"/>
              <w:bottom w:val="single" w:color="auto" w:sz="4" w:space="0"/>
              <w:right w:val="single" w:color="auto" w:sz="4" w:space="0"/>
            </w:tcBorders>
            <w:vAlign w:val="center"/>
          </w:tcPr>
          <w:p>
            <w:pPr>
              <w:pStyle w:val="26"/>
              <w:autoSpaceDE w:val="0"/>
              <w:autoSpaceDN w:val="0"/>
              <w:adjustRightInd w:val="0"/>
              <w:spacing w:line="360" w:lineRule="auto"/>
              <w:ind w:firstLine="0" w:firstLineChars="0"/>
              <w:rPr>
                <w:rFonts w:ascii="宋体" w:hAnsi="宋体"/>
                <w:b/>
                <w:szCs w:val="21"/>
              </w:rPr>
            </w:pPr>
            <w:r>
              <w:rPr>
                <w:rFonts w:hint="eastAsia" w:ascii="宋体" w:hAnsi="宋体"/>
                <w:b/>
                <w:szCs w:val="21"/>
              </w:rPr>
              <w:t>联机设置</w:t>
            </w:r>
          </w:p>
        </w:tc>
        <w:tc>
          <w:tcPr>
            <w:tcW w:w="7358" w:type="dxa"/>
            <w:tcBorders>
              <w:top w:val="single" w:color="auto" w:sz="4" w:space="0"/>
              <w:left w:val="single" w:color="auto" w:sz="4" w:space="0"/>
              <w:bottom w:val="single" w:color="auto" w:sz="4" w:space="0"/>
              <w:right w:val="single" w:color="auto" w:sz="4" w:space="0"/>
            </w:tcBorders>
          </w:tcPr>
          <w:p>
            <w:pPr>
              <w:numPr>
                <w:ilvl w:val="0"/>
                <w:numId w:val="8"/>
              </w:numPr>
              <w:spacing w:line="360" w:lineRule="auto"/>
              <w:rPr>
                <w:rFonts w:ascii="宋体" w:hAnsi="宋体"/>
              </w:rPr>
            </w:pPr>
            <w:r>
              <w:rPr>
                <w:rFonts w:hint="eastAsia" w:ascii="宋体" w:hAnsi="宋体"/>
              </w:rPr>
              <w:t>支持血透系统新增相关联机床位信息</w:t>
            </w:r>
          </w:p>
          <w:p>
            <w:pPr>
              <w:numPr>
                <w:ilvl w:val="0"/>
                <w:numId w:val="8"/>
              </w:numPr>
              <w:spacing w:line="360" w:lineRule="auto"/>
              <w:rPr>
                <w:rFonts w:ascii="宋体" w:hAnsi="宋体"/>
              </w:rPr>
            </w:pPr>
            <w:r>
              <w:rPr>
                <w:rFonts w:hint="eastAsia" w:ascii="宋体" w:hAnsi="宋体"/>
              </w:rPr>
              <w:t>支持联机盒子自动匹配相关床位信息</w:t>
            </w:r>
          </w:p>
          <w:p>
            <w:pPr>
              <w:numPr>
                <w:ilvl w:val="0"/>
                <w:numId w:val="8"/>
              </w:numPr>
              <w:spacing w:line="360" w:lineRule="auto"/>
              <w:rPr>
                <w:rFonts w:ascii="宋体" w:hAnsi="宋体"/>
              </w:rPr>
            </w:pPr>
            <w:r>
              <w:rPr>
                <w:rFonts w:hint="eastAsia" w:ascii="宋体" w:hAnsi="宋体"/>
              </w:rPr>
              <w:t>支持透析机参数单位设置功能</w:t>
            </w:r>
          </w:p>
          <w:p>
            <w:pPr>
              <w:numPr>
                <w:ilvl w:val="0"/>
                <w:numId w:val="8"/>
              </w:numPr>
              <w:spacing w:line="360" w:lineRule="auto"/>
              <w:rPr>
                <w:rFonts w:ascii="宋体" w:hAnsi="宋体"/>
                <w:bCs/>
              </w:rPr>
            </w:pPr>
            <w:r>
              <w:rPr>
                <w:rFonts w:hint="eastAsia" w:ascii="宋体" w:hAnsi="宋体"/>
              </w:rPr>
              <w:t>联机获取的相关治疗数据需在现有血透系统软件中自动显示，并能够根据现有系统需要提供相关数据，显示参数如下：血流量、静脉压、动脉压、跨膜压、超滤量、超滤率、电导度、超滤目标、透析液流量、透析液温度、血压、脉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6</w:t>
            </w:r>
          </w:p>
        </w:tc>
        <w:tc>
          <w:tcPr>
            <w:tcW w:w="1429" w:type="dxa"/>
            <w:tcBorders>
              <w:top w:val="single" w:color="auto" w:sz="4" w:space="0"/>
              <w:left w:val="single" w:color="auto" w:sz="4" w:space="0"/>
              <w:bottom w:val="single" w:color="auto" w:sz="4" w:space="0"/>
              <w:right w:val="single" w:color="auto" w:sz="4" w:space="0"/>
            </w:tcBorders>
            <w:vAlign w:val="center"/>
          </w:tcPr>
          <w:p>
            <w:pPr>
              <w:pStyle w:val="26"/>
              <w:autoSpaceDE w:val="0"/>
              <w:autoSpaceDN w:val="0"/>
              <w:adjustRightInd w:val="0"/>
              <w:spacing w:line="360" w:lineRule="auto"/>
              <w:ind w:firstLine="0" w:firstLineChars="0"/>
              <w:jc w:val="left"/>
              <w:rPr>
                <w:rFonts w:ascii="宋体" w:hAnsi="宋体"/>
                <w:b/>
                <w:szCs w:val="21"/>
              </w:rPr>
            </w:pPr>
            <w:r>
              <w:rPr>
                <w:rFonts w:hint="eastAsia" w:ascii="宋体" w:hAnsi="宋体" w:cs="宋体"/>
                <w:b/>
                <w:kern w:val="0"/>
                <w:szCs w:val="21"/>
                <w:highlight w:val="cyan"/>
              </w:rPr>
              <w:t>★</w:t>
            </w:r>
            <w:r>
              <w:rPr>
                <w:rFonts w:hint="eastAsia" w:ascii="宋体" w:hAnsi="宋体"/>
                <w:b/>
                <w:szCs w:val="21"/>
                <w:highlight w:val="cyan"/>
              </w:rPr>
              <w:t>数据接口</w:t>
            </w:r>
          </w:p>
        </w:tc>
        <w:tc>
          <w:tcPr>
            <w:tcW w:w="7358" w:type="dxa"/>
            <w:tcBorders>
              <w:top w:val="single" w:color="auto" w:sz="4" w:space="0"/>
              <w:left w:val="single" w:color="auto" w:sz="4" w:space="0"/>
              <w:bottom w:val="single" w:color="auto" w:sz="4" w:space="0"/>
              <w:right w:val="single" w:color="auto" w:sz="4" w:space="0"/>
            </w:tcBorders>
          </w:tcPr>
          <w:p>
            <w:pPr>
              <w:numPr>
                <w:ilvl w:val="0"/>
                <w:numId w:val="8"/>
              </w:numPr>
              <w:spacing w:line="360" w:lineRule="auto"/>
              <w:rPr>
                <w:rFonts w:ascii="宋体" w:hAnsi="宋体"/>
              </w:rPr>
            </w:pPr>
            <w:r>
              <w:rPr>
                <w:rFonts w:hint="eastAsia" w:ascii="宋体" w:hAnsi="宋体"/>
              </w:rPr>
              <w:t>以上所有采集的透析机治疗数据，需自动推送给现有血透系统，在不改变现有血透软件使用基础上，实现与现有血透系统数据对接，与现有血透系统数据对接所产生的所有费用由中标方承担。</w:t>
            </w:r>
          </w:p>
          <w:p>
            <w:pPr>
              <w:numPr>
                <w:ilvl w:val="0"/>
                <w:numId w:val="8"/>
              </w:numPr>
              <w:spacing w:line="360" w:lineRule="auto"/>
              <w:rPr>
                <w:rFonts w:ascii="宋体" w:hAnsi="宋体"/>
              </w:rPr>
            </w:pPr>
            <w:r>
              <w:rPr>
                <w:rFonts w:hint="eastAsia" w:ascii="宋体" w:hAnsi="宋体"/>
              </w:rPr>
              <w:t>按要求与院内HIS系统、电子病历系统、PACS、LIS、CA系统对接。</w:t>
            </w:r>
          </w:p>
          <w:p>
            <w:pPr>
              <w:numPr>
                <w:ilvl w:val="0"/>
                <w:numId w:val="8"/>
              </w:numPr>
              <w:spacing w:line="360" w:lineRule="auto"/>
              <w:rPr>
                <w:rFonts w:ascii="宋体" w:hAnsi="宋体"/>
              </w:rPr>
            </w:pPr>
            <w:r>
              <w:rPr>
                <w:rFonts w:hint="eastAsia" w:ascii="宋体" w:hAnsi="宋体"/>
              </w:rPr>
              <w:t>其他系统接口：由于用户的业务需求及政策的变化，而对系统提出相应的定制化接口需要，投标人应承诺无条件满足，不得另行收费。</w:t>
            </w:r>
          </w:p>
          <w:p>
            <w:pPr>
              <w:numPr>
                <w:ilvl w:val="0"/>
                <w:numId w:val="8"/>
              </w:numPr>
              <w:spacing w:line="360" w:lineRule="auto"/>
              <w:rPr>
                <w:rFonts w:ascii="宋体" w:hAnsi="宋体"/>
              </w:rPr>
            </w:pPr>
            <w:r>
              <w:rPr>
                <w:rFonts w:hint="eastAsia" w:ascii="宋体" w:hAnsi="宋体"/>
              </w:rPr>
              <w:t>本次采购价格包括与医院信息系统端口接口之间互联互通的费用。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7</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rPr>
            </w:pPr>
            <w:r>
              <w:rPr>
                <w:rFonts w:hint="eastAsia" w:ascii="宋体" w:hAnsi="宋体" w:cs="宋体"/>
                <w:b/>
                <w:kern w:val="0"/>
                <w:highlight w:val="cyan"/>
              </w:rPr>
              <w:t>★</w:t>
            </w:r>
            <w:r>
              <w:rPr>
                <w:rFonts w:hint="eastAsia" w:ascii="宋体" w:hAnsi="宋体"/>
                <w:b/>
                <w:highlight w:val="cyan"/>
              </w:rPr>
              <w:t>实施要求</w:t>
            </w:r>
          </w:p>
        </w:tc>
        <w:tc>
          <w:tcPr>
            <w:tcW w:w="7358"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rPr>
            </w:pPr>
            <w:r>
              <w:rPr>
                <w:rFonts w:hint="eastAsia" w:ascii="宋体" w:hAnsi="宋体"/>
              </w:rPr>
              <w:t>中标方需在签订合同后15个工作日内完成设备联机的实施工作。</w:t>
            </w:r>
          </w:p>
        </w:tc>
      </w:tr>
    </w:tbl>
    <w:p>
      <w:pPr>
        <w:pStyle w:val="14"/>
        <w:rPr>
          <w:b/>
          <w:bCs/>
        </w:rPr>
      </w:pPr>
      <w:r>
        <w:rPr>
          <w:rFonts w:hint="eastAsia"/>
          <w:b/>
          <w:bCs/>
        </w:rPr>
        <w:t>2、硬件配置要求</w:t>
      </w:r>
    </w:p>
    <w:tbl>
      <w:tblPr>
        <w:tblStyle w:val="10"/>
        <w:tblpPr w:leftFromText="180" w:rightFromText="180" w:vertAnchor="text" w:horzAnchor="page" w:tblpX="1755" w:tblpY="114"/>
        <w:tblOverlap w:val="never"/>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532"/>
        <w:gridCol w:w="876"/>
        <w:gridCol w:w="2129"/>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tabs>
                <w:tab w:val="left" w:pos="900"/>
                <w:tab w:val="left" w:pos="3813"/>
              </w:tabs>
              <w:spacing w:line="360" w:lineRule="auto"/>
              <w:rPr>
                <w:rFonts w:ascii="宋体" w:hAnsi="宋体"/>
                <w:b/>
                <w:bCs/>
              </w:rPr>
            </w:pPr>
            <w:r>
              <w:rPr>
                <w:rFonts w:hint="eastAsia" w:ascii="宋体" w:hAnsi="宋体"/>
                <w:b/>
                <w:bCs/>
              </w:rPr>
              <w:t>序号</w:t>
            </w:r>
          </w:p>
        </w:tc>
        <w:tc>
          <w:tcPr>
            <w:tcW w:w="1532" w:type="dxa"/>
            <w:vAlign w:val="center"/>
          </w:tcPr>
          <w:p>
            <w:pPr>
              <w:tabs>
                <w:tab w:val="left" w:pos="900"/>
                <w:tab w:val="left" w:pos="3813"/>
              </w:tabs>
              <w:spacing w:line="360" w:lineRule="auto"/>
              <w:rPr>
                <w:rFonts w:ascii="宋体" w:hAnsi="宋体"/>
                <w:b/>
                <w:bCs/>
              </w:rPr>
            </w:pPr>
            <w:r>
              <w:rPr>
                <w:rFonts w:hint="eastAsia" w:ascii="宋体" w:hAnsi="宋体"/>
                <w:b/>
                <w:bCs/>
              </w:rPr>
              <w:t>产品名称</w:t>
            </w:r>
          </w:p>
        </w:tc>
        <w:tc>
          <w:tcPr>
            <w:tcW w:w="876" w:type="dxa"/>
            <w:vAlign w:val="center"/>
          </w:tcPr>
          <w:p>
            <w:pPr>
              <w:tabs>
                <w:tab w:val="left" w:pos="900"/>
                <w:tab w:val="left" w:pos="3813"/>
              </w:tabs>
              <w:spacing w:line="360" w:lineRule="auto"/>
              <w:rPr>
                <w:rFonts w:ascii="宋体" w:hAnsi="宋体"/>
                <w:b/>
                <w:bCs/>
              </w:rPr>
            </w:pPr>
            <w:r>
              <w:rPr>
                <w:rFonts w:hint="eastAsia" w:ascii="宋体" w:hAnsi="宋体"/>
                <w:b/>
                <w:bCs/>
              </w:rPr>
              <w:t>数量</w:t>
            </w:r>
          </w:p>
        </w:tc>
        <w:tc>
          <w:tcPr>
            <w:tcW w:w="2129" w:type="dxa"/>
            <w:vAlign w:val="center"/>
          </w:tcPr>
          <w:p>
            <w:pPr>
              <w:tabs>
                <w:tab w:val="left" w:pos="900"/>
                <w:tab w:val="left" w:pos="3813"/>
              </w:tabs>
              <w:spacing w:line="360" w:lineRule="auto"/>
              <w:ind w:firstLine="422" w:firstLineChars="200"/>
              <w:rPr>
                <w:rFonts w:ascii="宋体" w:hAnsi="宋体"/>
                <w:b/>
                <w:bCs/>
              </w:rPr>
            </w:pPr>
            <w:r>
              <w:rPr>
                <w:rFonts w:hint="eastAsia" w:ascii="宋体" w:hAnsi="宋体"/>
                <w:b/>
                <w:bCs/>
              </w:rPr>
              <w:t>功能</w:t>
            </w:r>
          </w:p>
        </w:tc>
        <w:tc>
          <w:tcPr>
            <w:tcW w:w="3776" w:type="dxa"/>
            <w:vAlign w:val="center"/>
          </w:tcPr>
          <w:p>
            <w:pPr>
              <w:tabs>
                <w:tab w:val="left" w:pos="900"/>
                <w:tab w:val="left" w:pos="3813"/>
              </w:tabs>
              <w:spacing w:line="360" w:lineRule="auto"/>
              <w:ind w:firstLine="422" w:firstLineChars="200"/>
              <w:rPr>
                <w:rFonts w:ascii="宋体" w:hAnsi="宋体"/>
                <w:b/>
                <w:bCs/>
              </w:rPr>
            </w:pPr>
            <w:r>
              <w:rPr>
                <w:rFonts w:hint="eastAsia" w:ascii="宋体" w:hAnsi="宋体"/>
                <w:b/>
                <w:bCs/>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tabs>
                <w:tab w:val="left" w:pos="900"/>
                <w:tab w:val="left" w:pos="3813"/>
              </w:tabs>
              <w:spacing w:line="360" w:lineRule="auto"/>
              <w:jc w:val="center"/>
              <w:rPr>
                <w:rFonts w:ascii="宋体" w:hAnsi="宋体"/>
              </w:rPr>
            </w:pPr>
            <w:r>
              <w:rPr>
                <w:rFonts w:hint="eastAsia" w:ascii="宋体" w:hAnsi="宋体"/>
              </w:rPr>
              <w:t>1</w:t>
            </w:r>
          </w:p>
        </w:tc>
        <w:tc>
          <w:tcPr>
            <w:tcW w:w="1532" w:type="dxa"/>
            <w:vAlign w:val="center"/>
          </w:tcPr>
          <w:p>
            <w:pPr>
              <w:tabs>
                <w:tab w:val="left" w:pos="900"/>
                <w:tab w:val="left" w:pos="3813"/>
              </w:tabs>
              <w:spacing w:line="360" w:lineRule="auto"/>
              <w:rPr>
                <w:rFonts w:ascii="宋体" w:hAnsi="宋体"/>
              </w:rPr>
            </w:pPr>
            <w:r>
              <w:rPr>
                <w:rFonts w:hint="eastAsia" w:ascii="宋体" w:hAnsi="宋体"/>
              </w:rPr>
              <w:t>平板电脑</w:t>
            </w:r>
          </w:p>
        </w:tc>
        <w:tc>
          <w:tcPr>
            <w:tcW w:w="876" w:type="dxa"/>
            <w:vAlign w:val="center"/>
          </w:tcPr>
          <w:p>
            <w:pPr>
              <w:tabs>
                <w:tab w:val="left" w:pos="900"/>
                <w:tab w:val="left" w:pos="3813"/>
              </w:tabs>
              <w:spacing w:line="360" w:lineRule="auto"/>
              <w:rPr>
                <w:rFonts w:ascii="宋体" w:hAnsi="宋体"/>
              </w:rPr>
            </w:pPr>
            <w:r>
              <w:rPr>
                <w:rFonts w:hint="eastAsia" w:ascii="宋体" w:hAnsi="宋体"/>
              </w:rPr>
              <w:t>2台</w:t>
            </w:r>
          </w:p>
        </w:tc>
        <w:tc>
          <w:tcPr>
            <w:tcW w:w="2129" w:type="dxa"/>
            <w:vAlign w:val="center"/>
          </w:tcPr>
          <w:p>
            <w:pPr>
              <w:tabs>
                <w:tab w:val="left" w:pos="900"/>
                <w:tab w:val="left" w:pos="3813"/>
              </w:tabs>
              <w:spacing w:line="360" w:lineRule="auto"/>
              <w:rPr>
                <w:rFonts w:ascii="宋体" w:hAnsi="宋体"/>
              </w:rPr>
            </w:pPr>
            <w:r>
              <w:rPr>
                <w:rFonts w:hint="eastAsia" w:ascii="宋体" w:hAnsi="宋体"/>
              </w:rPr>
              <w:t>用于医生、护士数据录入</w:t>
            </w:r>
          </w:p>
        </w:tc>
        <w:tc>
          <w:tcPr>
            <w:tcW w:w="3776" w:type="dxa"/>
            <w:vAlign w:val="center"/>
          </w:tcPr>
          <w:p>
            <w:pPr>
              <w:tabs>
                <w:tab w:val="left" w:pos="900"/>
                <w:tab w:val="left" w:pos="3813"/>
              </w:tabs>
              <w:spacing w:line="360" w:lineRule="auto"/>
              <w:rPr>
                <w:rFonts w:ascii="宋体" w:hAnsi="宋体"/>
              </w:rPr>
            </w:pPr>
            <w:r>
              <w:rPr>
                <w:rFonts w:hint="eastAsia" w:ascii="宋体" w:hAnsi="宋体"/>
              </w:rPr>
              <w:t>屏幕尺寸：10.1英寸</w:t>
            </w:r>
          </w:p>
          <w:p>
            <w:pPr>
              <w:tabs>
                <w:tab w:val="left" w:pos="900"/>
                <w:tab w:val="left" w:pos="3813"/>
              </w:tabs>
              <w:spacing w:line="360" w:lineRule="auto"/>
              <w:rPr>
                <w:rFonts w:ascii="宋体" w:hAnsi="宋体"/>
              </w:rPr>
            </w:pPr>
            <w:r>
              <w:rPr>
                <w:rFonts w:hint="eastAsia" w:ascii="宋体" w:hAnsi="宋体"/>
              </w:rPr>
              <w:t>内存≥4G</w:t>
            </w:r>
          </w:p>
          <w:p>
            <w:pPr>
              <w:tabs>
                <w:tab w:val="left" w:pos="900"/>
                <w:tab w:val="left" w:pos="3813"/>
              </w:tabs>
              <w:spacing w:line="360" w:lineRule="auto"/>
              <w:rPr>
                <w:rFonts w:ascii="宋体" w:hAnsi="宋体"/>
              </w:rPr>
            </w:pPr>
            <w:r>
              <w:rPr>
                <w:rFonts w:hint="eastAsia" w:ascii="宋体" w:hAnsi="宋体"/>
              </w:rPr>
              <w:t>存储≥32G</w:t>
            </w:r>
          </w:p>
          <w:p>
            <w:pPr>
              <w:tabs>
                <w:tab w:val="left" w:pos="900"/>
                <w:tab w:val="left" w:pos="3813"/>
              </w:tabs>
              <w:spacing w:line="360" w:lineRule="auto"/>
              <w:rPr>
                <w:rFonts w:ascii="宋体" w:hAnsi="宋体"/>
              </w:rPr>
            </w:pPr>
            <w:r>
              <w:rPr>
                <w:rFonts w:hint="eastAsia" w:ascii="宋体" w:hAnsi="宋体"/>
              </w:rPr>
              <w:t>网络连接：WIFI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1008" w:type="dxa"/>
            <w:vAlign w:val="center"/>
          </w:tcPr>
          <w:p>
            <w:pPr>
              <w:tabs>
                <w:tab w:val="left" w:pos="900"/>
                <w:tab w:val="left" w:pos="3813"/>
              </w:tabs>
              <w:spacing w:line="360" w:lineRule="auto"/>
              <w:jc w:val="center"/>
              <w:rPr>
                <w:rFonts w:ascii="宋体" w:hAnsi="宋体"/>
              </w:rPr>
            </w:pPr>
            <w:r>
              <w:rPr>
                <w:rFonts w:hint="eastAsia" w:ascii="宋体" w:hAnsi="宋体"/>
              </w:rPr>
              <w:t>2</w:t>
            </w:r>
          </w:p>
        </w:tc>
        <w:tc>
          <w:tcPr>
            <w:tcW w:w="1532" w:type="dxa"/>
            <w:vAlign w:val="center"/>
          </w:tcPr>
          <w:p>
            <w:pPr>
              <w:tabs>
                <w:tab w:val="left" w:pos="900"/>
                <w:tab w:val="left" w:pos="3813"/>
              </w:tabs>
              <w:spacing w:line="360" w:lineRule="auto"/>
              <w:rPr>
                <w:rFonts w:ascii="宋体" w:hAnsi="宋体"/>
              </w:rPr>
            </w:pPr>
            <w:r>
              <w:rPr>
                <w:rFonts w:hint="eastAsia" w:ascii="宋体" w:hAnsi="宋体"/>
              </w:rPr>
              <w:t>透析机数据采集及软件集成</w:t>
            </w:r>
          </w:p>
        </w:tc>
        <w:tc>
          <w:tcPr>
            <w:tcW w:w="876" w:type="dxa"/>
            <w:vAlign w:val="center"/>
          </w:tcPr>
          <w:p>
            <w:pPr>
              <w:tabs>
                <w:tab w:val="left" w:pos="900"/>
                <w:tab w:val="left" w:pos="3813"/>
              </w:tabs>
              <w:spacing w:line="360" w:lineRule="auto"/>
              <w:rPr>
                <w:rFonts w:ascii="宋体" w:hAnsi="宋体"/>
              </w:rPr>
            </w:pPr>
            <w:r>
              <w:rPr>
                <w:rFonts w:hint="eastAsia" w:ascii="宋体" w:hAnsi="宋体"/>
              </w:rPr>
              <w:t>12套</w:t>
            </w:r>
          </w:p>
        </w:tc>
        <w:tc>
          <w:tcPr>
            <w:tcW w:w="2129" w:type="dxa"/>
            <w:vAlign w:val="center"/>
          </w:tcPr>
          <w:p>
            <w:pPr>
              <w:tabs>
                <w:tab w:val="left" w:pos="900"/>
                <w:tab w:val="left" w:pos="3813"/>
              </w:tabs>
              <w:spacing w:line="360" w:lineRule="auto"/>
              <w:rPr>
                <w:rFonts w:ascii="宋体" w:hAnsi="宋体"/>
              </w:rPr>
            </w:pPr>
            <w:r>
              <w:rPr>
                <w:rFonts w:hint="eastAsia" w:ascii="宋体" w:hAnsi="宋体"/>
              </w:rPr>
              <w:t>采集透析机上数据，如时间、静脉压、动脉压、TMP、超滤量、超滤率、透析液流量等数据上传至服务器</w:t>
            </w:r>
          </w:p>
        </w:tc>
        <w:tc>
          <w:tcPr>
            <w:tcW w:w="3776" w:type="dxa"/>
            <w:vAlign w:val="center"/>
          </w:tcPr>
          <w:p>
            <w:pPr>
              <w:tabs>
                <w:tab w:val="left" w:pos="900"/>
                <w:tab w:val="left" w:pos="3813"/>
              </w:tabs>
              <w:spacing w:line="360" w:lineRule="auto"/>
              <w:rPr>
                <w:rFonts w:ascii="宋体" w:hAnsi="宋体"/>
              </w:rPr>
            </w:pPr>
            <w:r>
              <w:rPr>
                <w:rFonts w:hint="eastAsia" w:ascii="宋体" w:hAnsi="宋体"/>
              </w:rPr>
              <w:t>天线：绞盘天线/吸盘天线</w:t>
            </w:r>
          </w:p>
          <w:p>
            <w:pPr>
              <w:tabs>
                <w:tab w:val="left" w:pos="900"/>
                <w:tab w:val="left" w:pos="3813"/>
              </w:tabs>
              <w:spacing w:line="360" w:lineRule="auto"/>
              <w:rPr>
                <w:rFonts w:ascii="宋体" w:hAnsi="宋体"/>
              </w:rPr>
            </w:pPr>
            <w:r>
              <w:rPr>
                <w:rFonts w:hint="eastAsia" w:ascii="宋体" w:hAnsi="宋体"/>
              </w:rPr>
              <w:t>界面：RS232/485/422电平串口</w:t>
            </w:r>
          </w:p>
          <w:p>
            <w:pPr>
              <w:tabs>
                <w:tab w:val="left" w:pos="900"/>
                <w:tab w:val="left" w:pos="3813"/>
              </w:tabs>
              <w:spacing w:line="360" w:lineRule="auto"/>
              <w:rPr>
                <w:rFonts w:ascii="宋体" w:hAnsi="宋体"/>
              </w:rPr>
            </w:pPr>
            <w:r>
              <w:rPr>
                <w:rFonts w:hint="eastAsia" w:ascii="宋体" w:hAnsi="宋体"/>
              </w:rPr>
              <w:t>波特率：1200bps-115200ps</w:t>
            </w:r>
          </w:p>
          <w:p>
            <w:pPr>
              <w:tabs>
                <w:tab w:val="left" w:pos="900"/>
                <w:tab w:val="left" w:pos="3813"/>
              </w:tabs>
              <w:spacing w:line="360" w:lineRule="auto"/>
              <w:rPr>
                <w:rFonts w:ascii="宋体" w:hAnsi="宋体"/>
              </w:rPr>
            </w:pPr>
            <w:r>
              <w:rPr>
                <w:rFonts w:hint="eastAsia" w:ascii="宋体" w:hAnsi="宋体"/>
              </w:rPr>
              <w:t>网络连接：WIFI</w:t>
            </w:r>
          </w:p>
        </w:tc>
      </w:tr>
    </w:tbl>
    <w:p>
      <w:pPr>
        <w:pStyle w:val="14"/>
        <w:ind w:left="-708" w:leftChars="-337"/>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项目基本要求</w:t>
      </w:r>
    </w:p>
    <w:p>
      <w:pPr>
        <w:pStyle w:val="14"/>
        <w:ind w:left="-708" w:leftChars="-337"/>
        <w:rPr>
          <w:rFonts w:ascii="宋体" w:hAnsi="宋体" w:cs="宋体"/>
        </w:rPr>
      </w:pPr>
      <w:r>
        <w:rPr>
          <w:rFonts w:hint="eastAsia" w:ascii="宋体" w:hAnsi="宋体" w:cs="宋体"/>
        </w:rPr>
        <w:t>1、要求与我院现有血透信息系统软、硬件实现仪器设备对接。</w:t>
      </w:r>
    </w:p>
    <w:p>
      <w:pPr>
        <w:pStyle w:val="14"/>
        <w:ind w:left="-708" w:leftChars="-337"/>
        <w:rPr>
          <w:rFonts w:ascii="宋体" w:hAnsi="宋体" w:cs="宋体"/>
        </w:rPr>
      </w:pPr>
      <w:r>
        <w:rPr>
          <w:rFonts w:hint="eastAsia" w:ascii="宋体" w:hAnsi="宋体" w:cs="宋体"/>
        </w:rPr>
        <w:t>2、要求厂商派工程师驻场完成项目实施工作。</w:t>
      </w:r>
    </w:p>
    <w:p>
      <w:pPr>
        <w:pStyle w:val="14"/>
        <w:ind w:left="-708" w:leftChars="-337"/>
        <w:rPr>
          <w:rFonts w:cs="宋体"/>
        </w:rPr>
      </w:pPr>
      <w:r>
        <w:rPr>
          <w:rFonts w:hint="eastAsia" w:ascii="宋体" w:hAnsi="宋体" w:cs="宋体"/>
        </w:rPr>
        <w:t>3、</w:t>
      </w:r>
      <w:r>
        <w:rPr>
          <w:rFonts w:hint="eastAsia" w:cs="宋体"/>
        </w:rPr>
        <w:t>项目实施过程及时与使用科室沟通协作，满足使用科室需求。</w:t>
      </w:r>
      <w:r>
        <w:t xml:space="preserve"> </w:t>
      </w:r>
    </w:p>
    <w:p>
      <w:pPr>
        <w:pStyle w:val="14"/>
        <w:ind w:left="-708" w:leftChars="-337"/>
        <w:rPr>
          <w:rFonts w:cs="宋体"/>
          <w:b/>
          <w:bCs/>
        </w:rPr>
      </w:pPr>
      <w:r>
        <w:rPr>
          <w:rFonts w:hint="eastAsia" w:cs="宋体"/>
          <w:b/>
          <w:bCs/>
        </w:rPr>
        <w:t>（四）商务要求</w:t>
      </w:r>
    </w:p>
    <w:p>
      <w:pPr>
        <w:pStyle w:val="14"/>
        <w:ind w:left="-708" w:leftChars="-337"/>
        <w:rPr>
          <w:rFonts w:cs="宋体"/>
        </w:rPr>
      </w:pPr>
      <w:r>
        <w:rPr>
          <w:rFonts w:hint="eastAsia" w:cs="宋体"/>
          <w:b/>
          <w:bCs/>
        </w:rPr>
        <w:t>1、投标人资格要求</w:t>
      </w:r>
    </w:p>
    <w:p>
      <w:pPr>
        <w:pStyle w:val="14"/>
        <w:ind w:left="-708" w:leftChars="-337"/>
        <w:rPr>
          <w:rFonts w:cs="宋体"/>
        </w:rPr>
      </w:pPr>
      <w:r>
        <w:rPr>
          <w:rFonts w:hint="eastAsia" w:cs="宋体"/>
        </w:rPr>
        <w:t>1）投标人为独立法人，并具备统一社会信用代码。</w:t>
      </w:r>
    </w:p>
    <w:p>
      <w:pPr>
        <w:pStyle w:val="14"/>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4"/>
        <w:ind w:left="-708" w:leftChars="-337"/>
        <w:rPr>
          <w:rFonts w:cs="宋体"/>
        </w:rPr>
      </w:pPr>
      <w:r>
        <w:rPr>
          <w:rFonts w:hint="eastAsia" w:cs="宋体"/>
        </w:rPr>
        <w:t>3）被列入我院投标人黑名单（在我院招投标活动中存在2次违规行为）未满3年的投标人将被拒绝其参与本次招投标活动。</w:t>
      </w:r>
    </w:p>
    <w:p>
      <w:pPr>
        <w:pStyle w:val="14"/>
        <w:ind w:left="-708" w:leftChars="-337"/>
        <w:rPr>
          <w:rFonts w:cs="宋体"/>
          <w:color w:val="auto"/>
        </w:rPr>
      </w:pPr>
      <w:r>
        <w:rPr>
          <w:rFonts w:hint="eastAsia" w:ascii="宋体" w:hAnsi="宋体" w:cs="宋体"/>
        </w:rPr>
        <w:t>4）</w:t>
      </w:r>
      <w:r>
        <w:rPr>
          <w:rFonts w:hint="eastAsia" w:ascii="宋体" w:hAnsi="宋体" w:cs="宋体"/>
          <w:color w:val="auto"/>
        </w:rPr>
        <w:t>本项目不接收联合体投标</w:t>
      </w:r>
      <w:r>
        <w:rPr>
          <w:rFonts w:hint="eastAsia" w:cs="宋体"/>
          <w:color w:val="auto"/>
        </w:rPr>
        <w:t>。</w:t>
      </w:r>
    </w:p>
    <w:p>
      <w:pPr>
        <w:pStyle w:val="14"/>
        <w:ind w:left="-708" w:leftChars="-337"/>
      </w:pPr>
      <w:r>
        <w:rPr>
          <w:rFonts w:hint="eastAsia"/>
          <w:b/>
          <w:bCs/>
        </w:rPr>
        <w:t>2、售后服务和资质</w:t>
      </w:r>
    </w:p>
    <w:p>
      <w:pPr>
        <w:pStyle w:val="14"/>
        <w:ind w:left="-708" w:leftChars="-337"/>
      </w:pPr>
      <w:r>
        <w:rPr>
          <w:rFonts w:hint="eastAsia"/>
        </w:rPr>
        <w:t>1）维保期：项目完成后，甲乙双方共同进行验收，软件维保期为验收合格之日起1年。</w:t>
      </w:r>
    </w:p>
    <w:p>
      <w:pPr>
        <w:pStyle w:val="14"/>
        <w:ind w:left="-708" w:leftChars="-337"/>
      </w:pPr>
      <w:r>
        <w:rPr>
          <w:rFonts w:hint="eastAsia" w:cs="宋体"/>
        </w:rPr>
        <w:t>2）项目地点：</w:t>
      </w:r>
      <w:r>
        <w:rPr>
          <w:rFonts w:hint="eastAsia" w:ascii="宋体" w:hAnsi="宋体" w:cs="宋体"/>
          <w:color w:val="333333"/>
          <w:shd w:val="clear" w:color="auto" w:fill="FFFFFF"/>
        </w:rPr>
        <w:t>广西壮族自治区梧州市万秀区西江四路金鸡冲1号</w:t>
      </w:r>
      <w:r>
        <w:rPr>
          <w:rFonts w:hint="eastAsia" w:ascii="宋体" w:hAnsi="宋体" w:cs="宋体"/>
        </w:rPr>
        <w:t>。</w:t>
      </w:r>
      <w:r>
        <w:t xml:space="preserve">     </w:t>
      </w:r>
    </w:p>
    <w:p>
      <w:pPr>
        <w:pStyle w:val="14"/>
        <w:ind w:left="-708" w:leftChars="-337"/>
      </w:pPr>
      <w:r>
        <w:rPr>
          <w:rFonts w:hint="eastAsia"/>
        </w:rPr>
        <w:t>3）付款条件：</w:t>
      </w:r>
    </w:p>
    <w:p>
      <w:pPr>
        <w:pStyle w:val="14"/>
        <w:ind w:left="-708" w:leftChars="-337" w:firstLine="420"/>
        <w:rPr>
          <w:rFonts w:ascii="宋体" w:hAnsi="宋体" w:cs="宋体"/>
        </w:rPr>
      </w:pPr>
      <w:r>
        <w:rPr>
          <w:rFonts w:hint="eastAsia" w:ascii="宋体" w:hAnsi="宋体" w:cs="宋体"/>
        </w:rPr>
        <w:t>第一期付款时间及金额：签订服务合同后15个工作日内完成项目的软件开发、测试、硬件配置、实施及与现有血透系统的对接工作，完成项目的全部系统建设，并通过甲方组织验收确认合格后，投标人方开具合同款9</w:t>
      </w:r>
      <w:r>
        <w:rPr>
          <w:rFonts w:hint="eastAsia" w:ascii="宋体" w:hAnsi="宋体" w:cs="宋体"/>
          <w:lang w:val="en-US" w:eastAsia="zh-CN"/>
        </w:rPr>
        <w:t>0</w:t>
      </w:r>
      <w:r>
        <w:rPr>
          <w:rFonts w:hint="eastAsia" w:ascii="宋体" w:hAnsi="宋体" w:cs="宋体"/>
        </w:rPr>
        <w:t xml:space="preserve">%的发票给甲方，甲方在收到发票后30个工作日内按发票金额付款。 </w:t>
      </w:r>
    </w:p>
    <w:p>
      <w:pPr>
        <w:pStyle w:val="14"/>
        <w:ind w:left="-708" w:leftChars="-337" w:firstLine="420"/>
      </w:pPr>
      <w:r>
        <w:rPr>
          <w:rFonts w:hint="eastAsia" w:ascii="宋体" w:hAnsi="宋体" w:cs="宋体"/>
        </w:rPr>
        <w:t>第二期付款时间及金额：完成第一笔付款且投入正常使用1年后，投标人方开具合同款</w:t>
      </w:r>
      <w:r>
        <w:rPr>
          <w:rFonts w:hint="eastAsia" w:ascii="宋体" w:hAnsi="宋体" w:cs="宋体"/>
          <w:lang w:val="en-US" w:eastAsia="zh-CN"/>
        </w:rPr>
        <w:t>10</w:t>
      </w:r>
      <w:r>
        <w:rPr>
          <w:rFonts w:hint="eastAsia" w:ascii="宋体" w:hAnsi="宋体" w:cs="宋体"/>
        </w:rPr>
        <w:t>%的发票给甲方，甲方在收到发票后30个工作日内按发票金额付款。</w:t>
      </w:r>
    </w:p>
    <w:p>
      <w:pPr>
        <w:pStyle w:val="14"/>
        <w:ind w:left="-708" w:leftChars="-337"/>
        <w:rPr>
          <w:rFonts w:ascii="宋体" w:hAnsi="宋体" w:cs="宋体"/>
        </w:rPr>
      </w:pPr>
      <w:r>
        <w:rPr>
          <w:rFonts w:hint="eastAsia"/>
        </w:rPr>
        <w:t>4）</w:t>
      </w:r>
      <w:r>
        <w:rPr>
          <w:rFonts w:hint="eastAsia" w:ascii="宋体" w:hAnsi="宋体" w:cs="宋体"/>
        </w:rPr>
        <w:t>售后服务：乙方提供7*24小时的技术支持（包括邮件、电话、远程运维、现场服务等方式），保证有足够的人员负责本系统的运维工作，并保证2小时内对用户的运维请求给予响应。</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bookmarkStart w:id="2" w:name="_GoBack"/>
      <w:bookmarkEnd w:id="2"/>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7个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pPr>
        <w:pStyle w:val="14"/>
      </w:pPr>
      <w:r>
        <w:rPr>
          <w:rFonts w:hint="eastAsia"/>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keepNext w:val="0"/>
        <w:keepLines w:val="0"/>
        <w:pageBreakBefore w:val="0"/>
        <w:widowControl/>
        <w:kinsoku/>
        <w:wordWrap/>
        <w:overflowPunct/>
        <w:topLinePunct w:val="0"/>
        <w:bidi w:val="0"/>
        <w:snapToGrid/>
        <w:spacing w:line="400" w:lineRule="exact"/>
        <w:ind w:firstLine="422" w:firstLineChars="200"/>
        <w:jc w:val="left"/>
        <w:textAlignment w:val="auto"/>
        <w:rPr>
          <w:rFonts w:cs="宋体"/>
          <w:b/>
          <w:bCs/>
          <w:kern w:val="0"/>
          <w:sz w:val="21"/>
          <w:szCs w:val="21"/>
        </w:rPr>
      </w:pPr>
      <w:r>
        <w:rPr>
          <w:rFonts w:hint="eastAsia" w:cs="宋体"/>
          <w:b/>
          <w:bCs/>
          <w:kern w:val="0"/>
          <w:sz w:val="21"/>
          <w:szCs w:val="21"/>
        </w:rPr>
        <w:t>一、评标方法与定标原则</w:t>
      </w:r>
    </w:p>
    <w:p>
      <w:pPr>
        <w:keepNext w:val="0"/>
        <w:keepLines w:val="0"/>
        <w:pageBreakBefore w:val="0"/>
        <w:widowControl/>
        <w:kinsoku/>
        <w:wordWrap/>
        <w:overflowPunct/>
        <w:topLinePunct w:val="0"/>
        <w:bidi w:val="0"/>
        <w:snapToGrid/>
        <w:spacing w:line="400" w:lineRule="exact"/>
        <w:ind w:firstLine="420" w:firstLineChars="200"/>
        <w:jc w:val="left"/>
        <w:textAlignment w:val="auto"/>
        <w:rPr>
          <w:kern w:val="0"/>
          <w:sz w:val="21"/>
          <w:szCs w:val="21"/>
        </w:rPr>
      </w:pPr>
      <w:r>
        <w:rPr>
          <w:rFonts w:hint="eastAsia" w:cs="宋体"/>
          <w:kern w:val="0"/>
          <w:sz w:val="21"/>
          <w:szCs w:val="21"/>
        </w:rPr>
        <w:t xml:space="preserve">评委会将对确定为实质性响应招标文件要求的投标文件进行评价和比较，评标方法采用 </w:t>
      </w:r>
      <w:r>
        <w:rPr>
          <w:rFonts w:hint="eastAsia" w:cs="宋体"/>
          <w:b/>
          <w:bCs/>
          <w:kern w:val="0"/>
          <w:sz w:val="21"/>
          <w:szCs w:val="21"/>
          <w:u w:val="single"/>
        </w:rPr>
        <w:t>综合评分法</w:t>
      </w:r>
      <w:r>
        <w:rPr>
          <w:rFonts w:hint="eastAsia" w:cs="宋体"/>
          <w:kern w:val="0"/>
          <w:sz w:val="21"/>
          <w:szCs w:val="21"/>
        </w:rPr>
        <w:t>确定中标候选人。</w:t>
      </w:r>
    </w:p>
    <w:p>
      <w:pPr>
        <w:keepNext w:val="0"/>
        <w:keepLines w:val="0"/>
        <w:pageBreakBefore w:val="0"/>
        <w:widowControl/>
        <w:kinsoku/>
        <w:wordWrap/>
        <w:overflowPunct/>
        <w:topLinePunct w:val="0"/>
        <w:bidi w:val="0"/>
        <w:snapToGrid/>
        <w:spacing w:line="400" w:lineRule="exact"/>
        <w:ind w:firstLine="422" w:firstLineChars="200"/>
        <w:jc w:val="left"/>
        <w:textAlignment w:val="auto"/>
        <w:rPr>
          <w:rFonts w:cs="宋体"/>
          <w:b/>
          <w:bCs/>
          <w:kern w:val="0"/>
          <w:sz w:val="21"/>
          <w:szCs w:val="21"/>
        </w:rPr>
      </w:pPr>
      <w:r>
        <w:rPr>
          <w:rFonts w:hint="eastAsia" w:cs="宋体"/>
          <w:b/>
          <w:bCs/>
          <w:kern w:val="0"/>
          <w:sz w:val="21"/>
          <w:szCs w:val="21"/>
        </w:rPr>
        <w:t>二、评分标准</w:t>
      </w:r>
    </w:p>
    <w:p>
      <w:pPr>
        <w:keepNext w:val="0"/>
        <w:keepLines w:val="0"/>
        <w:pageBreakBefore w:val="0"/>
        <w:widowControl/>
        <w:kinsoku/>
        <w:wordWrap/>
        <w:overflowPunct/>
        <w:topLinePunct w:val="0"/>
        <w:bidi w:val="0"/>
        <w:snapToGrid/>
        <w:spacing w:line="400" w:lineRule="exact"/>
        <w:ind w:firstLine="422" w:firstLineChars="200"/>
        <w:jc w:val="left"/>
        <w:textAlignment w:val="auto"/>
        <w:rPr>
          <w:sz w:val="21"/>
          <w:szCs w:val="21"/>
        </w:rPr>
      </w:pPr>
      <w:r>
        <w:rPr>
          <w:rFonts w:hint="eastAsia" w:cs="宋体"/>
          <w:b/>
          <w:bCs/>
          <w:kern w:val="0"/>
          <w:sz w:val="21"/>
          <w:szCs w:val="21"/>
        </w:rPr>
        <w:t>本项目评分总分值为</w:t>
      </w:r>
      <w:r>
        <w:rPr>
          <w:b/>
          <w:bCs/>
          <w:kern w:val="0"/>
          <w:sz w:val="21"/>
          <w:szCs w:val="21"/>
        </w:rPr>
        <w:t>100</w:t>
      </w:r>
      <w:r>
        <w:rPr>
          <w:rFonts w:hint="eastAsia" w:cs="宋体"/>
          <w:b/>
          <w:bCs/>
          <w:kern w:val="0"/>
          <w:sz w:val="21"/>
          <w:szCs w:val="21"/>
        </w:rPr>
        <w:t>分。</w:t>
      </w:r>
      <w:r>
        <w:rPr>
          <w:sz w:val="21"/>
          <w:szCs w:val="21"/>
        </w:rPr>
        <w:t xml:space="preserve"> </w:t>
      </w:r>
      <w:r>
        <w:rPr>
          <w:rFonts w:hint="eastAsia"/>
          <w:sz w:val="21"/>
          <w:szCs w:val="21"/>
          <w:lang w:val="en-US" w:eastAsia="zh-CN"/>
        </w:rPr>
        <w:t xml:space="preserve">        </w:t>
      </w:r>
      <w:r>
        <w:rPr>
          <w:rFonts w:hint="eastAsia" w:cs="宋体"/>
          <w:sz w:val="21"/>
          <w:szCs w:val="21"/>
        </w:rPr>
        <w:t>附件：评分模板</w:t>
      </w:r>
    </w:p>
    <w:sdt>
      <w:sdtPr>
        <w:rPr>
          <w:rFonts w:hint="eastAsia" w:ascii="宋体" w:hAnsi="宋体" w:cs="宋体"/>
          <w:color w:val="000000"/>
          <w:kern w:val="0"/>
          <w:sz w:val="21"/>
          <w:szCs w:val="21"/>
        </w:rPr>
        <w:id w:val="2068989185"/>
        <w:placeholder>
          <w:docPart w:val="{11d388e6-f781-4c57-b58f-1cb3a84d6211}"/>
        </w:placeholder>
      </w:sdtPr>
      <w:sdtEndPr>
        <w:rPr>
          <w:rFonts w:hint="default" w:ascii="Times New Roman" w:hAnsi="Times New Roman" w:cs="Times New Roman"/>
          <w:color w:val="000000"/>
          <w:kern w:val="0"/>
          <w:sz w:val="21"/>
          <w:szCs w:val="21"/>
        </w:rPr>
      </w:sdtEndPr>
      <w:sdtContent>
        <w:tbl>
          <w:tblPr>
            <w:tblStyle w:val="10"/>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20"/>
            <w:gridCol w:w="757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68" w:type="dxa"/>
                <w:vAlign w:val="center"/>
              </w:tcPr>
              <w:p>
                <w:pPr>
                  <w:spacing w:line="280" w:lineRule="exact"/>
                  <w:rPr>
                    <w:rFonts w:ascii="宋体" w:hAnsi="宋体" w:cs="宋体"/>
                    <w:sz w:val="21"/>
                    <w:szCs w:val="21"/>
                  </w:rPr>
                </w:pPr>
                <w:r>
                  <w:rPr>
                    <w:rFonts w:hint="eastAsia" w:ascii="宋体" w:hAnsi="宋体" w:cs="宋体"/>
                    <w:sz w:val="21"/>
                    <w:szCs w:val="21"/>
                  </w:rPr>
                  <w:t>序号</w:t>
                </w:r>
              </w:p>
            </w:tc>
            <w:tc>
              <w:tcPr>
                <w:tcW w:w="720" w:type="dxa"/>
                <w:vAlign w:val="center"/>
              </w:tcPr>
              <w:p>
                <w:pPr>
                  <w:spacing w:line="280" w:lineRule="exact"/>
                  <w:rPr>
                    <w:rFonts w:ascii="宋体" w:hAnsi="宋体" w:cs="宋体"/>
                    <w:sz w:val="21"/>
                    <w:szCs w:val="21"/>
                  </w:rPr>
                </w:pPr>
                <w:r>
                  <w:rPr>
                    <w:rFonts w:hint="eastAsia" w:ascii="宋体" w:hAnsi="宋体" w:cs="宋体"/>
                    <w:sz w:val="21"/>
                    <w:szCs w:val="21"/>
                  </w:rPr>
                  <w:t>评分内容</w:t>
                </w:r>
              </w:p>
            </w:tc>
            <w:tc>
              <w:tcPr>
                <w:tcW w:w="7575" w:type="dxa"/>
                <w:vAlign w:val="center"/>
              </w:tcPr>
              <w:p>
                <w:pPr>
                  <w:spacing w:line="280" w:lineRule="exact"/>
                  <w:rPr>
                    <w:rFonts w:ascii="宋体" w:hAnsi="宋体" w:cs="宋体"/>
                    <w:sz w:val="21"/>
                    <w:szCs w:val="21"/>
                  </w:rPr>
                </w:pPr>
                <w:r>
                  <w:rPr>
                    <w:rFonts w:hint="eastAsia" w:ascii="宋体" w:hAnsi="宋体" w:cs="宋体"/>
                    <w:sz w:val="21"/>
                    <w:szCs w:val="21"/>
                  </w:rPr>
                  <w:t>评分标准</w:t>
                </w:r>
              </w:p>
            </w:tc>
            <w:tc>
              <w:tcPr>
                <w:tcW w:w="661" w:type="dxa"/>
                <w:vAlign w:val="center"/>
              </w:tcPr>
              <w:p>
                <w:pPr>
                  <w:spacing w:line="280" w:lineRule="exact"/>
                  <w:rPr>
                    <w:rFonts w:ascii="宋体" w:hAnsi="宋体" w:cs="宋体"/>
                    <w:sz w:val="21"/>
                    <w:szCs w:val="21"/>
                  </w:rPr>
                </w:pPr>
                <w:r>
                  <w:rPr>
                    <w:rFonts w:hint="eastAsia" w:ascii="宋体" w:hAnsi="宋体" w:cs="宋体"/>
                    <w:sz w:val="21"/>
                    <w:szCs w:val="21"/>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624" w:type="dxa"/>
                <w:gridSpan w:val="4"/>
                <w:vAlign w:val="center"/>
              </w:tcPr>
              <w:p>
                <w:pPr>
                  <w:spacing w:line="280" w:lineRule="exact"/>
                  <w:rPr>
                    <w:rFonts w:ascii="宋体" w:hAnsi="宋体" w:cs="宋体"/>
                    <w:sz w:val="21"/>
                    <w:szCs w:val="21"/>
                  </w:rPr>
                </w:pPr>
                <w:r>
                  <w:rPr>
                    <w:rFonts w:hint="eastAsia" w:ascii="宋体" w:hAnsi="宋体" w:cs="宋体"/>
                    <w:b/>
                    <w:bCs/>
                    <w:sz w:val="21"/>
                    <w:szCs w:val="21"/>
                  </w:rPr>
                  <w:t>1商务部分（满分38分）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68" w:type="dxa"/>
                <w:vAlign w:val="center"/>
              </w:tcPr>
              <w:p>
                <w:pPr>
                  <w:spacing w:line="280" w:lineRule="exact"/>
                  <w:rPr>
                    <w:rFonts w:ascii="宋体" w:hAnsi="宋体" w:cs="宋体"/>
                    <w:sz w:val="21"/>
                    <w:szCs w:val="21"/>
                  </w:rPr>
                </w:pPr>
                <w:r>
                  <w:rPr>
                    <w:rFonts w:hint="eastAsia" w:ascii="宋体" w:hAnsi="宋体" w:cs="宋体"/>
                    <w:sz w:val="21"/>
                    <w:szCs w:val="21"/>
                  </w:rPr>
                  <w:t>1.1</w:t>
                </w:r>
              </w:p>
            </w:tc>
            <w:tc>
              <w:tcPr>
                <w:tcW w:w="720" w:type="dxa"/>
                <w:vAlign w:val="center"/>
              </w:tcPr>
              <w:p>
                <w:pPr>
                  <w:spacing w:line="280" w:lineRule="exact"/>
                  <w:jc w:val="center"/>
                  <w:rPr>
                    <w:rFonts w:ascii="宋体" w:hAnsi="宋体" w:cs="宋体"/>
                    <w:sz w:val="21"/>
                    <w:szCs w:val="21"/>
                  </w:rPr>
                </w:pPr>
                <w:r>
                  <w:rPr>
                    <w:rFonts w:hint="eastAsia" w:ascii="宋体" w:hAnsi="宋体" w:cs="宋体"/>
                    <w:sz w:val="21"/>
                    <w:szCs w:val="21"/>
                  </w:rPr>
                  <w:t>投标报价分</w:t>
                </w:r>
              </w:p>
              <w:p>
                <w:pPr>
                  <w:pStyle w:val="14"/>
                  <w:jc w:val="center"/>
                  <w:rPr>
                    <w:sz w:val="21"/>
                    <w:szCs w:val="21"/>
                  </w:rPr>
                </w:pPr>
              </w:p>
            </w:tc>
            <w:tc>
              <w:tcPr>
                <w:tcW w:w="7575"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（1）以有效报价最低的评审价为基准价，基准价得分为20分。</w:t>
                </w:r>
              </w:p>
              <w:p>
                <w:pPr>
                  <w:rPr>
                    <w:rFonts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（2）价格分计算公式：报价得分=（基准价/最后报价）×20分</w:t>
                </w:r>
              </w:p>
            </w:tc>
            <w:tc>
              <w:tcPr>
                <w:tcW w:w="661" w:type="dxa"/>
                <w:vAlign w:val="center"/>
              </w:tcPr>
              <w:p>
                <w:pPr>
                  <w:spacing w:line="28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68" w:type="dxa"/>
                <w:vAlign w:val="center"/>
              </w:tcPr>
              <w:p>
                <w:pPr>
                  <w:spacing w:line="280" w:lineRule="exact"/>
                  <w:rPr>
                    <w:rFonts w:ascii="宋体" w:hAnsi="宋体" w:cs="宋体"/>
                    <w:sz w:val="21"/>
                    <w:szCs w:val="21"/>
                  </w:rPr>
                </w:pPr>
                <w:r>
                  <w:rPr>
                    <w:rFonts w:hint="eastAsia" w:ascii="宋体" w:hAnsi="宋体" w:cs="宋体"/>
                    <w:sz w:val="21"/>
                    <w:szCs w:val="21"/>
                  </w:rPr>
                  <w:t>1.2</w:t>
                </w:r>
              </w:p>
            </w:tc>
            <w:tc>
              <w:tcPr>
                <w:tcW w:w="720" w:type="dxa"/>
                <w:vAlign w:val="center"/>
              </w:tcPr>
              <w:p>
                <w:pPr>
                  <w:spacing w:line="280" w:lineRule="exact"/>
                  <w:jc w:val="center"/>
                  <w:rPr>
                    <w:rFonts w:ascii="宋体" w:hAnsi="宋体" w:cs="宋体"/>
                    <w:sz w:val="21"/>
                    <w:szCs w:val="21"/>
                  </w:rPr>
                </w:pPr>
                <w:r>
                  <w:rPr>
                    <w:rFonts w:hint="eastAsia" w:ascii="宋体" w:hAnsi="宋体" w:cs="宋体"/>
                    <w:sz w:val="21"/>
                    <w:szCs w:val="21"/>
                  </w:rPr>
                  <w:t>项目业绩</w:t>
                </w:r>
              </w:p>
            </w:tc>
            <w:tc>
              <w:tcPr>
                <w:tcW w:w="7575" w:type="dxa"/>
                <w:vAlign w:val="center"/>
              </w:tcPr>
              <w:p>
                <w:pPr>
                  <w:rPr>
                    <w:color w:val="000000" w:themeColor="text1"/>
                    <w:sz w:val="21"/>
                    <w:szCs w:val="21"/>
                    <w14:textFill>
                      <w14:solidFill>
                        <w14:schemeClr w14:val="tx1"/>
                      </w14:solidFill>
                    </w14:textFill>
                  </w:rPr>
                </w:pPr>
                <w:bookmarkStart w:id="0" w:name="_Toc5778"/>
                <w:bookmarkStart w:id="1" w:name="_Toc25406"/>
                <w:r>
                  <w:rPr>
                    <w:rFonts w:hint="eastAsia"/>
                    <w:color w:val="000000" w:themeColor="text1"/>
                    <w:sz w:val="21"/>
                    <w:szCs w:val="21"/>
                    <w14:textFill>
                      <w14:solidFill>
                        <w14:schemeClr w14:val="tx1"/>
                      </w14:solidFill>
                    </w14:textFill>
                  </w:rPr>
                  <w:t>投标人自2020年1月1日以来，完成类似业绩，每项得3分，满分15分。</w:t>
                </w:r>
                <w:bookmarkEnd w:id="0"/>
                <w:bookmarkEnd w:id="1"/>
              </w:p>
              <w:p>
                <w:pPr>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（提供计合同或中标通知书复印件）</w:t>
                </w:r>
              </w:p>
            </w:tc>
            <w:tc>
              <w:tcPr>
                <w:tcW w:w="661" w:type="dxa"/>
                <w:vAlign w:val="center"/>
              </w:tcPr>
              <w:p>
                <w:pPr>
                  <w:tabs>
                    <w:tab w:val="left" w:pos="624"/>
                    <w:tab w:val="left" w:pos="1361"/>
                    <w:tab w:val="left" w:pos="2041"/>
                  </w:tabs>
                  <w:spacing w:after="120" w:line="280" w:lineRule="exact"/>
                  <w:jc w:val="center"/>
                  <w:rPr>
                    <w:rFonts w:ascii="宋体" w:hAnsi="宋体" w:cs="宋体"/>
                    <w:sz w:val="21"/>
                    <w:szCs w:val="21"/>
                  </w:rPr>
                </w:pPr>
                <w:r>
                  <w:rPr>
                    <w:rFonts w:hint="eastAsia" w:ascii="宋体" w:hAnsi="宋体" w:cs="宋体"/>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68" w:type="dxa"/>
                <w:vAlign w:val="center"/>
              </w:tcPr>
              <w:p>
                <w:pPr>
                  <w:spacing w:line="280" w:lineRule="exact"/>
                  <w:rPr>
                    <w:rFonts w:ascii="宋体" w:hAnsi="宋体" w:cs="宋体"/>
                    <w:sz w:val="21"/>
                    <w:szCs w:val="21"/>
                  </w:rPr>
                </w:pPr>
                <w:r>
                  <w:rPr>
                    <w:rFonts w:hint="eastAsia" w:ascii="宋体" w:hAnsi="宋体" w:cs="宋体"/>
                    <w:sz w:val="21"/>
                    <w:szCs w:val="21"/>
                  </w:rPr>
                  <w:t>1.3</w:t>
                </w:r>
              </w:p>
            </w:tc>
            <w:tc>
              <w:tcPr>
                <w:tcW w:w="720" w:type="dxa"/>
                <w:vAlign w:val="center"/>
              </w:tcPr>
              <w:p>
                <w:pPr>
                  <w:spacing w:line="280" w:lineRule="exact"/>
                  <w:jc w:val="center"/>
                  <w:rPr>
                    <w:bCs/>
                    <w:color w:val="0000FF"/>
                    <w:sz w:val="21"/>
                    <w:szCs w:val="21"/>
                  </w:rPr>
                </w:pPr>
                <w:r>
                  <w:rPr>
                    <w:rFonts w:hint="eastAsia"/>
                    <w:bCs/>
                    <w:color w:val="000000" w:themeColor="text1"/>
                    <w:sz w:val="21"/>
                    <w:szCs w:val="21"/>
                    <w14:textFill>
                      <w14:solidFill>
                        <w14:schemeClr w14:val="tx1"/>
                      </w14:solidFill>
                    </w14:textFill>
                  </w:rPr>
                  <w:t>信誉实力</w:t>
                </w:r>
              </w:p>
              <w:p>
                <w:pPr>
                  <w:spacing w:line="280" w:lineRule="exact"/>
                  <w:jc w:val="center"/>
                  <w:rPr>
                    <w:rFonts w:ascii="宋体" w:hAnsi="宋体" w:cs="宋体"/>
                    <w:sz w:val="21"/>
                    <w:szCs w:val="21"/>
                  </w:rPr>
                </w:pPr>
              </w:p>
            </w:tc>
            <w:tc>
              <w:tcPr>
                <w:tcW w:w="757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企业获得质量管理体系、信息技术服务管理体系、信息安全管理体系认证且有效的，每具备认证一项得1分。</w:t>
                </w:r>
              </w:p>
            </w:tc>
            <w:tc>
              <w:tcPr>
                <w:tcW w:w="661" w:type="dxa"/>
                <w:vAlign w:val="center"/>
              </w:tcPr>
              <w:p>
                <w:pPr>
                  <w:tabs>
                    <w:tab w:val="left" w:pos="624"/>
                    <w:tab w:val="left" w:pos="1361"/>
                    <w:tab w:val="left" w:pos="2041"/>
                  </w:tabs>
                  <w:spacing w:after="120" w:line="280" w:lineRule="exact"/>
                  <w:jc w:val="center"/>
                  <w:rPr>
                    <w:rFonts w:ascii="宋体" w:hAnsi="宋体" w:cs="宋体"/>
                    <w:sz w:val="21"/>
                    <w:szCs w:val="21"/>
                  </w:rPr>
                </w:pPr>
                <w:r>
                  <w:rPr>
                    <w:rFonts w:hint="eastAsia" w:ascii="宋体"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24" w:type="dxa"/>
                <w:gridSpan w:val="4"/>
                <w:vAlign w:val="center"/>
              </w:tcPr>
              <w:p>
                <w:pPr>
                  <w:tabs>
                    <w:tab w:val="left" w:pos="624"/>
                    <w:tab w:val="left" w:pos="1361"/>
                    <w:tab w:val="left" w:pos="2041"/>
                  </w:tabs>
                  <w:spacing w:after="120" w:line="28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2技术部分（满分62分）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668" w:type="dxa"/>
                <w:vAlign w:val="center"/>
              </w:tcPr>
              <w:p>
                <w:pPr>
                  <w:spacing w:line="280" w:lineRule="exact"/>
                  <w:rPr>
                    <w:rFonts w:ascii="宋体" w:hAnsi="宋体" w:cs="宋体"/>
                    <w:sz w:val="21"/>
                    <w:szCs w:val="21"/>
                  </w:rPr>
                </w:pPr>
                <w:r>
                  <w:rPr>
                    <w:rFonts w:hint="eastAsia" w:ascii="宋体" w:hAnsi="宋体" w:cs="宋体"/>
                    <w:sz w:val="21"/>
                    <w:szCs w:val="21"/>
                  </w:rPr>
                  <w:t>2.1</w:t>
                </w:r>
              </w:p>
            </w:tc>
            <w:tc>
              <w:tcPr>
                <w:tcW w:w="720" w:type="dxa"/>
                <w:vAlign w:val="center"/>
              </w:tcPr>
              <w:p>
                <w:pPr>
                  <w:jc w:val="center"/>
                  <w:rPr>
                    <w:rFonts w:ascii="宋体" w:hAnsi="宋体" w:cs="宋体"/>
                    <w:bCs/>
                    <w:color w:val="000000"/>
                    <w:spacing w:val="10"/>
                    <w:kern w:val="0"/>
                    <w:sz w:val="21"/>
                    <w:szCs w:val="21"/>
                  </w:rPr>
                </w:pPr>
                <w:r>
                  <w:rPr>
                    <w:rFonts w:hint="eastAsia"/>
                    <w:bCs/>
                    <w:color w:val="000000"/>
                    <w:sz w:val="21"/>
                    <w:szCs w:val="21"/>
                  </w:rPr>
                  <w:t>设计大纲</w:t>
                </w:r>
              </w:p>
            </w:tc>
            <w:tc>
              <w:tcPr>
                <w:tcW w:w="7575"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设计进度及保证措施、设计质量及保证措施、施工期间驻场人员安排及保证措施等方面是否满足竞争性磋商文件要求，以及设计的科学性、规范性、合理性、完整性、可行性等方面，集体讨论确定各档次评定标准，并按此标准确定各供应商所属档次，由评委在相应档次内独立打分。分为三档，具体如下：</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一档（0～7分）：评定为一般</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二档（7.1～14分）：评定为良好</w:t>
                </w:r>
              </w:p>
              <w:p>
                <w:pPr>
                  <w:pStyle w:val="5"/>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三档（14.1～21分）：评定为优秀 </w:t>
                </w:r>
                <w:r>
                  <w:rPr>
                    <w:color w:val="000000" w:themeColor="text1"/>
                    <w:sz w:val="21"/>
                    <w:szCs w:val="21"/>
                    <w14:textFill>
                      <w14:solidFill>
                        <w14:schemeClr w14:val="tx1"/>
                      </w14:solidFill>
                    </w14:textFill>
                  </w:rPr>
                  <w:t xml:space="preserve">  </w:t>
                </w:r>
              </w:p>
            </w:tc>
            <w:tc>
              <w:tcPr>
                <w:tcW w:w="661" w:type="dxa"/>
                <w:vAlign w:val="center"/>
              </w:tcPr>
              <w:p>
                <w:pPr>
                  <w:spacing w:line="280" w:lineRule="exact"/>
                  <w:jc w:val="center"/>
                  <w:rPr>
                    <w:rFonts w:ascii="宋体" w:hAnsi="宋体" w:cs="宋体"/>
                    <w:sz w:val="21"/>
                    <w:szCs w:val="21"/>
                  </w:rPr>
                </w:pPr>
                <w:r>
                  <w:rPr>
                    <w:rFonts w:hint="eastAsia" w:ascii="宋体" w:hAnsi="宋体" w:cs="宋体"/>
                    <w:sz w:val="21"/>
                    <w:szCs w:val="21"/>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8" w:type="dxa"/>
                <w:vAlign w:val="center"/>
              </w:tcPr>
              <w:p>
                <w:pPr>
                  <w:spacing w:line="280" w:lineRule="exact"/>
                  <w:rPr>
                    <w:rFonts w:ascii="宋体" w:hAnsi="宋体" w:cs="宋体"/>
                    <w:sz w:val="21"/>
                    <w:szCs w:val="21"/>
                  </w:rPr>
                </w:pPr>
                <w:r>
                  <w:rPr>
                    <w:rFonts w:hint="eastAsia" w:ascii="宋体" w:hAnsi="宋体" w:cs="宋体"/>
                    <w:sz w:val="21"/>
                    <w:szCs w:val="21"/>
                  </w:rPr>
                  <w:t>2.2</w:t>
                </w:r>
              </w:p>
            </w:tc>
            <w:tc>
              <w:tcPr>
                <w:tcW w:w="720" w:type="dxa"/>
                <w:vAlign w:val="center"/>
              </w:tcPr>
              <w:p>
                <w:pPr>
                  <w:jc w:val="center"/>
                  <w:rPr>
                    <w:bCs/>
                    <w:color w:val="000000"/>
                    <w:sz w:val="21"/>
                    <w:szCs w:val="21"/>
                  </w:rPr>
                </w:pPr>
                <w:r>
                  <w:rPr>
                    <w:rFonts w:hint="eastAsia"/>
                    <w:bCs/>
                    <w:color w:val="000000"/>
                    <w:sz w:val="21"/>
                    <w:szCs w:val="21"/>
                  </w:rPr>
                  <w:t>服务承诺</w:t>
                </w:r>
              </w:p>
            </w:tc>
            <w:tc>
              <w:tcPr>
                <w:tcW w:w="7575"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各供应商所承诺的设计工期、拟投入本项目人员、项目实施各阶段给予采购代理机构必要的协助以及其他特殊服务承诺等方面，集体讨论确定各档次评定标准，并按此标准确定各供应商所属档次，由评委在相应档次内独立打分。分为三档，具体如下：</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一档（0～7分）：评定为一般</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二档（7.1～14分）：评定为良好</w:t>
                </w:r>
              </w:p>
              <w:p>
                <w:pP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三档（14.1～21分）：评定为优秀</w:t>
                </w:r>
              </w:p>
            </w:tc>
            <w:tc>
              <w:tcPr>
                <w:tcW w:w="661" w:type="dxa"/>
                <w:vAlign w:val="center"/>
              </w:tcPr>
              <w:p>
                <w:pPr>
                  <w:spacing w:line="280" w:lineRule="exact"/>
                  <w:jc w:val="center"/>
                  <w:rPr>
                    <w:rFonts w:ascii="宋体" w:hAnsi="宋体" w:cs="宋体"/>
                    <w:sz w:val="21"/>
                    <w:szCs w:val="21"/>
                  </w:rPr>
                </w:pPr>
                <w:r>
                  <w:rPr>
                    <w:rFonts w:hint="eastAsia" w:ascii="宋体" w:hAnsi="宋体" w:cs="宋体"/>
                    <w:sz w:val="21"/>
                    <w:szCs w:val="21"/>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68" w:type="dxa"/>
                <w:vAlign w:val="center"/>
              </w:tcPr>
              <w:p>
                <w:pPr>
                  <w:spacing w:line="280" w:lineRule="exact"/>
                  <w:rPr>
                    <w:rFonts w:ascii="宋体" w:hAnsi="宋体" w:cs="宋体"/>
                    <w:sz w:val="21"/>
                    <w:szCs w:val="21"/>
                  </w:rPr>
                </w:pPr>
                <w:r>
                  <w:rPr>
                    <w:rFonts w:hint="eastAsia" w:ascii="宋体" w:hAnsi="宋体" w:cs="宋体"/>
                    <w:sz w:val="21"/>
                    <w:szCs w:val="21"/>
                  </w:rPr>
                  <w:t>2.3</w:t>
                </w:r>
              </w:p>
            </w:tc>
            <w:tc>
              <w:tcPr>
                <w:tcW w:w="720" w:type="dxa"/>
                <w:vAlign w:val="center"/>
              </w:tcPr>
              <w:p>
                <w:pPr>
                  <w:pStyle w:val="14"/>
                  <w:rPr>
                    <w:sz w:val="21"/>
                    <w:szCs w:val="21"/>
                  </w:rPr>
                </w:pPr>
                <w:r>
                  <w:rPr>
                    <w:rFonts w:hint="eastAsia" w:ascii="Times New Roman" w:hAnsi="Times New Roman" w:eastAsia="宋体" w:cs="Times New Roman"/>
                    <w:bCs/>
                    <w:color w:val="000000"/>
                    <w:kern w:val="2"/>
                    <w:sz w:val="21"/>
                    <w:szCs w:val="21"/>
                    <w:lang w:val="en-US" w:eastAsia="zh-CN" w:bidi="ar-SA"/>
                  </w:rPr>
                  <w:t>应急处置方案评价</w:t>
                </w:r>
              </w:p>
            </w:tc>
            <w:tc>
              <w:tcPr>
                <w:tcW w:w="7575" w:type="dxa"/>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针对服务期间各项环节可能出现的突发事件建立针对本项目的应急处置方案，以应对突发事件出现后可迅速解决，防止给采购人信息系统带来影响。 </w:t>
                </w:r>
              </w:p>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应急处置方案比较细致、全面，各种故障处理准备充分得</w:t>
                </w:r>
                <w:r>
                  <w:rPr>
                    <w:rFonts w:hint="eastAsia" w:ascii="宋体" w:hAnsi="宋体" w:cs="宋体"/>
                    <w:color w:val="000000" w:themeColor="text1"/>
                    <w:sz w:val="21"/>
                    <w:szCs w:val="21"/>
                    <w:lang w:val="en-US" w:eastAsia="zh-CN"/>
                    <w14:textFill>
                      <w14:solidFill>
                        <w14:schemeClr w14:val="tx1"/>
                      </w14:solidFill>
                    </w14:textFill>
                  </w:rPr>
                  <w:t>14.1</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cs="宋体"/>
                    <w:color w:val="000000" w:themeColor="text1"/>
                    <w:sz w:val="21"/>
                    <w:szCs w:val="21"/>
                    <w14:textFill>
                      <w14:solidFill>
                        <w14:schemeClr w14:val="tx1"/>
                      </w14:solidFill>
                    </w14:textFill>
                  </w:rPr>
                  <w:t xml:space="preserve">分； </w:t>
                </w:r>
              </w:p>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应急处置方案比较细致，各种故障处理比较充分得</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14</w:t>
                </w:r>
                <w:r>
                  <w:rPr>
                    <w:rFonts w:hint="eastAsia" w:ascii="宋体" w:hAnsi="宋体" w:cs="宋体"/>
                    <w:color w:val="000000" w:themeColor="text1"/>
                    <w:sz w:val="21"/>
                    <w:szCs w:val="21"/>
                    <w14:textFill>
                      <w14:solidFill>
                        <w14:schemeClr w14:val="tx1"/>
                      </w14:solidFill>
                    </w14:textFill>
                  </w:rPr>
                  <w:t xml:space="preserve">分； </w:t>
                </w:r>
              </w:p>
              <w:p>
                <w:pP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应急处置方案不够资质，各种故障处理准备不够充分</w:t>
                </w:r>
                <w:r>
                  <w:rPr>
                    <w:rFonts w:hint="eastAsia" w:ascii="宋体" w:hAnsi="宋体" w:cs="宋体"/>
                    <w:color w:val="000000" w:themeColor="text1"/>
                    <w:sz w:val="21"/>
                    <w:szCs w:val="21"/>
                    <w:lang w:val="en-US" w:eastAsia="zh-CN"/>
                    <w14:textFill>
                      <w14:solidFill>
                        <w14:schemeClr w14:val="tx1"/>
                      </w14:solidFill>
                    </w14:textFill>
                  </w:rPr>
                  <w:t>得0-7分，</w:t>
                </w:r>
                <w:r>
                  <w:rPr>
                    <w:rFonts w:hint="eastAsia" w:ascii="宋体" w:hAnsi="宋体" w:cs="宋体"/>
                    <w:color w:val="000000" w:themeColor="text1"/>
                    <w:sz w:val="21"/>
                    <w:szCs w:val="21"/>
                    <w14:textFill>
                      <w14:solidFill>
                        <w14:schemeClr w14:val="tx1"/>
                      </w14:solidFill>
                    </w14:textFill>
                  </w:rPr>
                  <w:t>无应急处置方案的不得分。</w:t>
                </w:r>
              </w:p>
            </w:tc>
            <w:tc>
              <w:tcPr>
                <w:tcW w:w="661" w:type="dxa"/>
                <w:vAlign w:val="center"/>
              </w:tcPr>
              <w:p>
                <w:pPr>
                  <w:spacing w:line="280" w:lineRule="exact"/>
                  <w:jc w:val="center"/>
                  <w:rPr>
                    <w:rFonts w:ascii="宋体" w:hAnsi="宋体" w:cs="宋体"/>
                    <w:sz w:val="21"/>
                    <w:szCs w:val="21"/>
                  </w:rPr>
                </w:pPr>
                <w:r>
                  <w:rPr>
                    <w:rFonts w:hint="eastAsia" w:ascii="宋体" w:hAnsi="宋体" w:cs="宋体"/>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68" w:type="dxa"/>
                <w:vAlign w:val="center"/>
              </w:tcPr>
              <w:p>
                <w:pPr>
                  <w:spacing w:line="280" w:lineRule="exact"/>
                  <w:rPr>
                    <w:rFonts w:ascii="宋体" w:hAnsi="宋体" w:cs="宋体"/>
                    <w:sz w:val="21"/>
                    <w:szCs w:val="21"/>
                  </w:rPr>
                </w:pPr>
              </w:p>
            </w:tc>
            <w:tc>
              <w:tcPr>
                <w:tcW w:w="720" w:type="dxa"/>
                <w:vAlign w:val="center"/>
              </w:tcPr>
              <w:p>
                <w:pPr>
                  <w:spacing w:line="280" w:lineRule="exact"/>
                  <w:rPr>
                    <w:rFonts w:ascii="宋体" w:hAnsi="宋体" w:cs="宋体"/>
                    <w:sz w:val="21"/>
                    <w:szCs w:val="21"/>
                  </w:rPr>
                </w:pPr>
                <w:r>
                  <w:rPr>
                    <w:rFonts w:hint="eastAsia" w:ascii="宋体" w:hAnsi="宋体" w:cs="宋体"/>
                    <w:sz w:val="21"/>
                    <w:szCs w:val="21"/>
                  </w:rPr>
                  <w:t xml:space="preserve">最后得分 </w:t>
                </w:r>
              </w:p>
            </w:tc>
            <w:tc>
              <w:tcPr>
                <w:tcW w:w="8236" w:type="dxa"/>
                <w:gridSpan w:val="2"/>
                <w:vAlign w:val="center"/>
              </w:tcPr>
              <w:p>
                <w:pPr>
                  <w:pStyle w:val="14"/>
                  <w:rPr>
                    <w:sz w:val="21"/>
                    <w:szCs w:val="21"/>
                  </w:rPr>
                </w:pPr>
              </w:p>
            </w:tc>
          </w:tr>
        </w:tbl>
      </w:sdtContent>
    </w:sdt>
    <w:p>
      <w:pPr>
        <w:pStyle w:val="14"/>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16BCE"/>
    <w:multiLevelType w:val="singleLevel"/>
    <w:tmpl w:val="82716BCE"/>
    <w:lvl w:ilvl="0" w:tentative="0">
      <w:start w:val="1"/>
      <w:numFmt w:val="decimal"/>
      <w:suff w:val="nothing"/>
      <w:lvlText w:val="%1）"/>
      <w:lvlJc w:val="left"/>
    </w:lvl>
  </w:abstractNum>
  <w:abstractNum w:abstractNumId="1">
    <w:nsid w:val="E33643AA"/>
    <w:multiLevelType w:val="singleLevel"/>
    <w:tmpl w:val="E33643AA"/>
    <w:lvl w:ilvl="0" w:tentative="0">
      <w:start w:val="1"/>
      <w:numFmt w:val="bullet"/>
      <w:lvlText w:val=""/>
      <w:lvlJc w:val="left"/>
      <w:pPr>
        <w:ind w:left="420" w:hanging="420"/>
      </w:pPr>
      <w:rPr>
        <w:rFonts w:hint="default" w:ascii="Wingdings" w:hAnsi="Wingdings"/>
      </w:rPr>
    </w:lvl>
  </w:abstractNum>
  <w:abstractNum w:abstractNumId="2">
    <w:nsid w:val="EE4B687F"/>
    <w:multiLevelType w:val="singleLevel"/>
    <w:tmpl w:val="EE4B687F"/>
    <w:lvl w:ilvl="0" w:tentative="0">
      <w:start w:val="1"/>
      <w:numFmt w:val="decimalEnclosedCircleChinese"/>
      <w:suff w:val="nothing"/>
      <w:lvlText w:val="%1　"/>
      <w:lvlJc w:val="left"/>
      <w:pPr>
        <w:ind w:left="0" w:firstLine="400"/>
      </w:pPr>
      <w:rPr>
        <w:rFonts w:hint="eastAsia"/>
      </w:rPr>
    </w:lvl>
  </w:abstractNum>
  <w:abstractNum w:abstractNumId="3">
    <w:nsid w:val="1B12B307"/>
    <w:multiLevelType w:val="singleLevel"/>
    <w:tmpl w:val="1B12B307"/>
    <w:lvl w:ilvl="0" w:tentative="0">
      <w:start w:val="1"/>
      <w:numFmt w:val="decimalEnclosedCircleChinese"/>
      <w:suff w:val="nothing"/>
      <w:lvlText w:val="%1　"/>
      <w:lvlJc w:val="left"/>
      <w:pPr>
        <w:ind w:left="0" w:firstLine="400"/>
      </w:pPr>
      <w:rPr>
        <w:rFonts w:hint="eastAsia"/>
      </w:rPr>
    </w:lvl>
  </w:abstractNum>
  <w:abstractNum w:abstractNumId="4">
    <w:nsid w:val="2B82E524"/>
    <w:multiLevelType w:val="singleLevel"/>
    <w:tmpl w:val="2B82E524"/>
    <w:lvl w:ilvl="0" w:tentative="0">
      <w:start w:val="1"/>
      <w:numFmt w:val="bullet"/>
      <w:lvlText w:val=""/>
      <w:lvlJc w:val="left"/>
      <w:pPr>
        <w:ind w:left="420" w:hanging="420"/>
      </w:pPr>
      <w:rPr>
        <w:rFonts w:hint="default" w:ascii="Wingdings" w:hAnsi="Wingdings"/>
      </w:rPr>
    </w:lvl>
  </w:abstractNum>
  <w:abstractNum w:abstractNumId="5">
    <w:nsid w:val="350E8B6C"/>
    <w:multiLevelType w:val="singleLevel"/>
    <w:tmpl w:val="350E8B6C"/>
    <w:lvl w:ilvl="0" w:tentative="0">
      <w:start w:val="2"/>
      <w:numFmt w:val="chineseCounting"/>
      <w:suff w:val="nothing"/>
      <w:lvlText w:val="（%1）"/>
      <w:lvlJc w:val="left"/>
      <w:rPr>
        <w:rFonts w:hint="eastAsia"/>
      </w:rPr>
    </w:lvl>
  </w:abstractNum>
  <w:abstractNum w:abstractNumId="6">
    <w:nsid w:val="768FB5E3"/>
    <w:multiLevelType w:val="singleLevel"/>
    <w:tmpl w:val="768FB5E3"/>
    <w:lvl w:ilvl="0" w:tentative="0">
      <w:start w:val="1"/>
      <w:numFmt w:val="bullet"/>
      <w:lvlText w:val=""/>
      <w:lvlJc w:val="left"/>
      <w:pPr>
        <w:ind w:left="420" w:hanging="420"/>
      </w:pPr>
      <w:rPr>
        <w:rFonts w:hint="default" w:ascii="Wingdings" w:hAnsi="Wingdings"/>
      </w:rPr>
    </w:lvl>
  </w:abstractNum>
  <w:abstractNum w:abstractNumId="7">
    <w:nsid w:val="7EDB2BFD"/>
    <w:multiLevelType w:val="singleLevel"/>
    <w:tmpl w:val="7EDB2BFD"/>
    <w:lvl w:ilvl="0" w:tentative="0">
      <w:start w:val="1"/>
      <w:numFmt w:val="bullet"/>
      <w:lvlText w:val=""/>
      <w:lvlJc w:val="left"/>
      <w:pPr>
        <w:ind w:left="420" w:hanging="420"/>
      </w:pPr>
      <w:rPr>
        <w:rFonts w:hint="default" w:ascii="Wingdings" w:hAnsi="Wingdings"/>
      </w:rPr>
    </w:lvl>
  </w:abstractNum>
  <w:num w:numId="1">
    <w:abstractNumId w:val="5"/>
  </w:num>
  <w:num w:numId="2">
    <w:abstractNumId w:val="0"/>
  </w:num>
  <w:num w:numId="3">
    <w:abstractNumId w:val="3"/>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3B42"/>
    <w:rsid w:val="00474079"/>
    <w:rsid w:val="004C7EB2"/>
    <w:rsid w:val="004D08F5"/>
    <w:rsid w:val="004D2825"/>
    <w:rsid w:val="004F5A76"/>
    <w:rsid w:val="005007DD"/>
    <w:rsid w:val="005D491D"/>
    <w:rsid w:val="005D6940"/>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1C83"/>
    <w:rsid w:val="00CD27A2"/>
    <w:rsid w:val="00D2685D"/>
    <w:rsid w:val="00D41CB5"/>
    <w:rsid w:val="00D57065"/>
    <w:rsid w:val="00DB5864"/>
    <w:rsid w:val="00E14108"/>
    <w:rsid w:val="00E72BBE"/>
    <w:rsid w:val="00EB1C9B"/>
    <w:rsid w:val="00ED5546"/>
    <w:rsid w:val="0224187C"/>
    <w:rsid w:val="0C8B0CD1"/>
    <w:rsid w:val="0C8B6EFD"/>
    <w:rsid w:val="0CC05EEA"/>
    <w:rsid w:val="10C97A40"/>
    <w:rsid w:val="122B15C9"/>
    <w:rsid w:val="12CF692A"/>
    <w:rsid w:val="12E869E7"/>
    <w:rsid w:val="13217712"/>
    <w:rsid w:val="17C44811"/>
    <w:rsid w:val="197E5C0A"/>
    <w:rsid w:val="1AB14119"/>
    <w:rsid w:val="1D8A4F6B"/>
    <w:rsid w:val="1E0F4D36"/>
    <w:rsid w:val="1F0C2535"/>
    <w:rsid w:val="1FF5205A"/>
    <w:rsid w:val="20407BC3"/>
    <w:rsid w:val="20F75336"/>
    <w:rsid w:val="2218153E"/>
    <w:rsid w:val="238241FC"/>
    <w:rsid w:val="24B1410B"/>
    <w:rsid w:val="24EC650D"/>
    <w:rsid w:val="25D6720D"/>
    <w:rsid w:val="260D7B7B"/>
    <w:rsid w:val="26431704"/>
    <w:rsid w:val="266C365A"/>
    <w:rsid w:val="2A251F29"/>
    <w:rsid w:val="2C7D5EC4"/>
    <w:rsid w:val="2E44559E"/>
    <w:rsid w:val="3194337D"/>
    <w:rsid w:val="34C447B5"/>
    <w:rsid w:val="36F866E1"/>
    <w:rsid w:val="3737378F"/>
    <w:rsid w:val="3806606D"/>
    <w:rsid w:val="39074B30"/>
    <w:rsid w:val="397701BE"/>
    <w:rsid w:val="3A46288C"/>
    <w:rsid w:val="3C794178"/>
    <w:rsid w:val="3F8769CB"/>
    <w:rsid w:val="405728EC"/>
    <w:rsid w:val="41366ED0"/>
    <w:rsid w:val="41A84EEF"/>
    <w:rsid w:val="41BF166E"/>
    <w:rsid w:val="41DD4901"/>
    <w:rsid w:val="45A83EF3"/>
    <w:rsid w:val="4A504A9B"/>
    <w:rsid w:val="4AD625B4"/>
    <w:rsid w:val="4BF947AC"/>
    <w:rsid w:val="4EAF0F12"/>
    <w:rsid w:val="52730525"/>
    <w:rsid w:val="54A33784"/>
    <w:rsid w:val="55E87D1A"/>
    <w:rsid w:val="565D1B35"/>
    <w:rsid w:val="5C8450CB"/>
    <w:rsid w:val="5C9C3F1C"/>
    <w:rsid w:val="5CFB672C"/>
    <w:rsid w:val="608F01E6"/>
    <w:rsid w:val="609415B5"/>
    <w:rsid w:val="615D53B0"/>
    <w:rsid w:val="61EC5EA9"/>
    <w:rsid w:val="62565A43"/>
    <w:rsid w:val="632D110E"/>
    <w:rsid w:val="63955374"/>
    <w:rsid w:val="64FB6417"/>
    <w:rsid w:val="650D23B7"/>
    <w:rsid w:val="669E1C2C"/>
    <w:rsid w:val="677F6F32"/>
    <w:rsid w:val="67E4014C"/>
    <w:rsid w:val="6A513DD5"/>
    <w:rsid w:val="6A843074"/>
    <w:rsid w:val="6C8F567A"/>
    <w:rsid w:val="6D313433"/>
    <w:rsid w:val="6DD0797D"/>
    <w:rsid w:val="71754026"/>
    <w:rsid w:val="72FD52CD"/>
    <w:rsid w:val="743261FE"/>
    <w:rsid w:val="74B5471E"/>
    <w:rsid w:val="75B83D0F"/>
    <w:rsid w:val="76105C22"/>
    <w:rsid w:val="77E41C8F"/>
    <w:rsid w:val="77E80D46"/>
    <w:rsid w:val="77F76AF8"/>
    <w:rsid w:val="7C5A1D85"/>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eastAsia="Calibri"/>
      <w:b/>
      <w:spacing w:val="-8"/>
      <w:sz w:val="44"/>
    </w:rPr>
  </w:style>
  <w:style w:type="paragraph" w:styleId="3">
    <w:name w:val="Date"/>
    <w:basedOn w:val="1"/>
    <w:next w:val="1"/>
    <w:qFormat/>
    <w:uiPriority w:val="0"/>
    <w:pPr>
      <w:ind w:left="100" w:leftChars="2500"/>
    </w:pPr>
    <w:rPr>
      <w:rFonts w:ascii="宋体" w:hAnsi="Courier New"/>
      <w:bCs/>
      <w:kern w:val="0"/>
      <w:sz w:val="24"/>
      <w:szCs w:val="20"/>
    </w:rPr>
  </w:style>
  <w:style w:type="paragraph" w:styleId="4">
    <w:name w:val="annotation text"/>
    <w:basedOn w:val="1"/>
    <w:link w:val="16"/>
    <w:qFormat/>
    <w:uiPriority w:val="99"/>
    <w:pPr>
      <w:jc w:val="left"/>
    </w:pPr>
  </w:style>
  <w:style w:type="paragraph" w:styleId="5">
    <w:name w:val="Plain Text"/>
    <w:basedOn w:val="1"/>
    <w:link w:val="18"/>
    <w:qFormat/>
    <w:uiPriority w:val="99"/>
    <w:rPr>
      <w:rFonts w:ascii="宋体" w:hAnsi="Courier New"/>
    </w:rPr>
  </w:style>
  <w:style w:type="paragraph" w:styleId="6">
    <w:name w:val="Balloon Text"/>
    <w:basedOn w:val="1"/>
    <w:link w:val="27"/>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semiHidden/>
    <w:unhideWhenUsed/>
    <w:qFormat/>
    <w:uiPriority w:val="99"/>
    <w:rPr>
      <w:b/>
      <w:bCs/>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批注文字 字符"/>
    <w:basedOn w:val="12"/>
    <w:qFormat/>
    <w:uiPriority w:val="99"/>
    <w:rPr>
      <w:rFonts w:ascii="Times New Roman" w:hAnsi="Times New Roman" w:eastAsia="宋体" w:cs="Times New Roman"/>
      <w:szCs w:val="21"/>
    </w:rPr>
  </w:style>
  <w:style w:type="character" w:customStyle="1" w:styleId="16">
    <w:name w:val="批注文字 Char"/>
    <w:link w:val="4"/>
    <w:semiHidden/>
    <w:qFormat/>
    <w:uiPriority w:val="99"/>
    <w:rPr>
      <w:rFonts w:ascii="Times New Roman" w:hAnsi="Times New Roman" w:eastAsia="宋体" w:cs="Times New Roman"/>
      <w:szCs w:val="21"/>
    </w:rPr>
  </w:style>
  <w:style w:type="character" w:customStyle="1" w:styleId="17">
    <w:name w:val="批注主题 Char"/>
    <w:basedOn w:val="16"/>
    <w:link w:val="9"/>
    <w:semiHidden/>
    <w:qFormat/>
    <w:uiPriority w:val="99"/>
    <w:rPr>
      <w:rFonts w:ascii="Times New Roman" w:hAnsi="Times New Roman" w:eastAsia="宋体" w:cs="Times New Roman"/>
      <w:b/>
      <w:bCs/>
      <w:szCs w:val="21"/>
    </w:rPr>
  </w:style>
  <w:style w:type="character" w:customStyle="1" w:styleId="18">
    <w:name w:val="纯文本 Char"/>
    <w:basedOn w:val="12"/>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Char"/>
    <w:basedOn w:val="12"/>
    <w:link w:val="8"/>
    <w:qFormat/>
    <w:uiPriority w:val="99"/>
    <w:rPr>
      <w:rFonts w:ascii="Times New Roman" w:hAnsi="Times New Roman" w:eastAsia="宋体" w:cs="Times New Roman"/>
      <w:sz w:val="18"/>
      <w:szCs w:val="18"/>
    </w:rPr>
  </w:style>
  <w:style w:type="character" w:customStyle="1" w:styleId="22">
    <w:name w:val="页脚 Char"/>
    <w:basedOn w:val="12"/>
    <w:link w:val="7"/>
    <w:qFormat/>
    <w:uiPriority w:val="99"/>
    <w:rPr>
      <w:rFonts w:ascii="Times New Roman" w:hAnsi="Times New Roman" w:eastAsia="宋体" w:cs="Times New Roman"/>
      <w:sz w:val="18"/>
      <w:szCs w:val="18"/>
    </w:rPr>
  </w:style>
  <w:style w:type="character" w:styleId="23">
    <w:name w:val="Placeholder Text"/>
    <w:basedOn w:val="12"/>
    <w:semiHidden/>
    <w:qFormat/>
    <w:uiPriority w:val="99"/>
    <w:rPr>
      <w:color w:val="808080"/>
    </w:rPr>
  </w:style>
  <w:style w:type="paragraph" w:customStyle="1" w:styleId="24">
    <w:name w:val="样式1"/>
    <w:basedOn w:val="1"/>
    <w:qFormat/>
    <w:uiPriority w:val="0"/>
  </w:style>
  <w:style w:type="paragraph" w:styleId="25">
    <w:name w:val="List Paragraph"/>
    <w:basedOn w:val="1"/>
    <w:qFormat/>
    <w:uiPriority w:val="99"/>
    <w:pPr>
      <w:ind w:firstLine="420" w:firstLineChars="200"/>
    </w:pPr>
  </w:style>
  <w:style w:type="paragraph" w:customStyle="1" w:styleId="26">
    <w:name w:val="列出段落1"/>
    <w:basedOn w:val="1"/>
    <w:qFormat/>
    <w:uiPriority w:val="0"/>
    <w:pPr>
      <w:ind w:firstLine="420" w:firstLineChars="200"/>
    </w:pPr>
    <w:rPr>
      <w:szCs w:val="20"/>
    </w:rPr>
  </w:style>
  <w:style w:type="character" w:customStyle="1" w:styleId="27">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11d388e6-f781-4c57-b58f-1cb3a84d6211}"/>
        <w:style w:val=""/>
        <w:category>
          <w:name w:val="常规"/>
          <w:gallery w:val="placeholder"/>
        </w:category>
        <w:types>
          <w:type w:val="bbPlcHdr"/>
        </w:types>
        <w:behaviors>
          <w:behavior w:val="content"/>
        </w:behaviors>
        <w:description w:val=""/>
        <w:guid w:val="{11D388E6-F781-4C57-B58F-1CB3A84D6211}"/>
      </w:docPartPr>
      <w:docPartBody>
        <w:p>
          <w:pPr>
            <w:pStyle w:val="7"/>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102898"/>
    <w:rsid w:val="001B2DBA"/>
    <w:rsid w:val="00476191"/>
    <w:rsid w:val="0048475D"/>
    <w:rsid w:val="007311C2"/>
    <w:rsid w:val="0080285A"/>
    <w:rsid w:val="008346CC"/>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6667-69B0-4938-B223-54C7DA51D475}">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3741</Words>
  <Characters>4126</Characters>
  <Lines>31</Lines>
  <Paragraphs>8</Paragraphs>
  <TotalTime>1</TotalTime>
  <ScaleCrop>false</ScaleCrop>
  <LinksUpToDate>false</LinksUpToDate>
  <CharactersWithSpaces>4171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2023-04-25T00:46:17Z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3EB0DE6BA01A485CBAE50A57BBEF9816</vt:lpwstr>
  </property>
</Properties>
</file>