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jc w:val="center"/>
        <w:rPr>
          <w:rFonts w:ascii="宋体" w:hAnsi="宋体" w:cs="宋体"/>
          <w:b/>
          <w:sz w:val="32"/>
        </w:rPr>
      </w:pPr>
      <w:r>
        <w:rPr>
          <w:rFonts w:ascii="宋体" w:hAnsi="宋体" w:cs="宋体"/>
          <w:b/>
          <w:sz w:val="32"/>
        </w:rPr>
        <w:t>第三章  项目需求和质量标准</w:t>
      </w:r>
    </w:p>
    <w:p>
      <w:pPr>
        <w:pStyle w:val="2"/>
        <w:ind w:firstLine="0"/>
      </w:pPr>
    </w:p>
    <w:p>
      <w:pPr>
        <w:pStyle w:val="5"/>
        <w:spacing w:line="360" w:lineRule="exact"/>
        <w:jc w:val="center"/>
        <w:rPr>
          <w:rFonts w:hAnsi="宋体" w:cs="宋体"/>
          <w:b/>
          <w:sz w:val="32"/>
        </w:rPr>
      </w:pPr>
      <w:r>
        <w:rPr>
          <w:rFonts w:hint="eastAsia" w:hAnsi="宋体" w:cs="宋体"/>
          <w:b/>
          <w:sz w:val="32"/>
        </w:rPr>
        <w:t>项目采购需求及参数</w:t>
      </w:r>
    </w:p>
    <w:p>
      <w:pPr>
        <w:rPr>
          <w:rFonts w:ascii="宋体" w:hAnsi="宋体" w:cs="宋体"/>
          <w:b/>
          <w:szCs w:val="21"/>
        </w:rPr>
      </w:pPr>
    </w:p>
    <w:p>
      <w:pPr>
        <w:pStyle w:val="5"/>
        <w:spacing w:line="360" w:lineRule="exact"/>
        <w:jc w:val="center"/>
        <w:rPr>
          <w:rFonts w:hAnsi="宋体" w:cs="宋体"/>
          <w:b/>
          <w:sz w:val="28"/>
          <w:szCs w:val="28"/>
        </w:rPr>
      </w:pPr>
      <w:bookmarkStart w:id="0" w:name="_Toc411500772"/>
    </w:p>
    <w:p>
      <w:pPr>
        <w:pStyle w:val="5"/>
        <w:spacing w:line="360" w:lineRule="auto"/>
        <w:rPr>
          <w:rFonts w:hAnsi="宋体" w:cs="宋体"/>
          <w:b/>
          <w:bCs/>
        </w:rPr>
      </w:pPr>
      <w:r>
        <w:rPr>
          <w:rFonts w:hint="eastAsia" w:hAnsi="宋体" w:cs="宋体"/>
          <w:b/>
          <w:bCs/>
        </w:rPr>
        <w:t>说明：</w:t>
      </w:r>
    </w:p>
    <w:bookmarkEnd w:id="0"/>
    <w:p>
      <w:pPr>
        <w:spacing w:line="360" w:lineRule="auto"/>
        <w:ind w:firstLine="420" w:firstLineChars="200"/>
        <w:jc w:val="left"/>
        <w:rPr>
          <w:rFonts w:ascii="宋体" w:hAnsi="宋体" w:cs="宋体"/>
          <w:bCs/>
        </w:rPr>
      </w:pPr>
      <w:r>
        <w:rPr>
          <w:rFonts w:hint="eastAsia" w:ascii="宋体" w:hAnsi="宋体" w:cs="宋体"/>
          <w:bCs/>
        </w:rPr>
        <w:t xml:space="preserve"> 1.采购项目清单的货物品牌型号、技术参数及其性能（配置）仅起参考作用，竞标人可选用其他品牌型号替代，但这些替代的产品要实质上相当于或优于参考品牌型号及其技术参数性能（配置）要求。</w:t>
      </w:r>
    </w:p>
    <w:p>
      <w:pPr>
        <w:spacing w:line="360" w:lineRule="auto"/>
        <w:ind w:firstLine="422" w:firstLineChars="200"/>
        <w:jc w:val="left"/>
        <w:rPr>
          <w:rFonts w:ascii="宋体" w:hAnsi="宋体" w:cs="宋体"/>
          <w:b/>
          <w:szCs w:val="21"/>
        </w:rPr>
      </w:pPr>
      <w:r>
        <w:rPr>
          <w:rFonts w:hint="eastAsia" w:ascii="宋体" w:hAnsi="宋体" w:cs="宋体"/>
          <w:b/>
        </w:rPr>
        <w:t>2.评审时，若磋商小组认为采购需求中产品某个技术参数为某唯一品牌所特有，则该参数将不作为实质性响应条件。</w:t>
      </w:r>
    </w:p>
    <w:p>
      <w:pPr>
        <w:spacing w:line="360" w:lineRule="auto"/>
        <w:ind w:firstLine="420" w:firstLineChars="200"/>
        <w:jc w:val="left"/>
      </w:pPr>
      <w:r>
        <w:rPr>
          <w:rFonts w:hint="eastAsia" w:ascii="宋体" w:hAnsi="宋体" w:cs="宋体"/>
          <w:szCs w:val="21"/>
        </w:rPr>
        <w:t>3、如标有“</w:t>
      </w:r>
      <w:r>
        <w:rPr>
          <w:rFonts w:hint="eastAsia" w:ascii="宋体" w:hAnsi="宋体" w:cs="宋体"/>
          <w:kern w:val="0"/>
          <w:sz w:val="20"/>
          <w:szCs w:val="20"/>
        </w:rPr>
        <w:t>★</w:t>
      </w:r>
      <w:r>
        <w:rPr>
          <w:rFonts w:hint="eastAsia" w:ascii="宋体" w:hAnsi="宋体" w:cs="宋体"/>
          <w:szCs w:val="21"/>
        </w:rPr>
        <w:t>”的条款为必须完全满足的实质性要求，竞标人如有一项带“</w:t>
      </w:r>
      <w:r>
        <w:rPr>
          <w:rFonts w:hint="eastAsia" w:ascii="宋体" w:hAnsi="宋体" w:cs="宋体"/>
          <w:kern w:val="0"/>
          <w:sz w:val="20"/>
          <w:szCs w:val="20"/>
        </w:rPr>
        <w:t>★</w:t>
      </w:r>
      <w:r>
        <w:rPr>
          <w:rFonts w:hint="eastAsia" w:ascii="宋体" w:hAnsi="宋体" w:cs="宋体"/>
          <w:szCs w:val="21"/>
        </w:rPr>
        <w:t>”的条款未响应或负偏离，将按无效竞标处理；</w:t>
      </w:r>
    </w:p>
    <w:tbl>
      <w:tblPr>
        <w:tblStyle w:val="9"/>
        <w:tblW w:w="9241" w:type="dxa"/>
        <w:tblInd w:w="91" w:type="dxa"/>
        <w:tblLayout w:type="fixed"/>
        <w:tblCellMar>
          <w:top w:w="0" w:type="dxa"/>
          <w:left w:w="108" w:type="dxa"/>
          <w:bottom w:w="0" w:type="dxa"/>
          <w:right w:w="108" w:type="dxa"/>
        </w:tblCellMar>
      </w:tblPr>
      <w:tblGrid>
        <w:gridCol w:w="566"/>
        <w:gridCol w:w="2308"/>
        <w:gridCol w:w="3151"/>
        <w:gridCol w:w="800"/>
        <w:gridCol w:w="700"/>
        <w:gridCol w:w="800"/>
        <w:gridCol w:w="916"/>
      </w:tblGrid>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序号</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名称</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材质工艺</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单价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金额</w:t>
            </w: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广西桂东人民医院八步院区，八步区人民医院</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2100*400mm（高*宽），1.2mm201不锈钢材质，腐蚀雕刻.</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户外总平图标识</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2800*1100mm（高*宽），201不锈钢材质，角钢内筋，表面1mm不锈钢板，表面金属油漆处理，图案文字丝印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大厅专家介绍栏</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1200*2400*15mm(高*宽*深)，10mmPVC板、5mm亚克力板、专用铝型材，精工雕刻组合成型、面喷汽车漆、图文内容正面丝印+3MM卡槽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科室出诊动态栏</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2000*1000mm（宽*高 ），铝型材或电解板、3mm亚克力，面板铝型材丝印，姓名牌3mm亚克力表面丝印背面镶磁石</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主通道道路指引牌（贴墙式）</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600*150*15mm（宽*高*深），10mm佛龙板、5mm亚克力板，精工雕刻组合成型、面喷汽车漆、图文内容背面丝印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功能区指引牌（悬吊式）</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1500*250*80mm（宽*高*深），201不锈板、亚克力，1mm不锈钢板折弯、焊接、打磨成形，喷汽车漆，内容激光镂空，内置LED发光源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37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护士站标识牌</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1000*250*80mm（宽*高*深），201不锈板、亚克力，1mm不锈钢板折弯、焊接、打磨成形，喷汽车漆，内容激光镂空，内置LED发光源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功能区指引牌（贴墙式）</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800*250*15mm（宽*高*深），10mmPVC板、5mm亚克力板，精工雕刻组合成型、面喷汽车漆、图文内容背面丝印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电梯内楼层索引</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1000*600mm（宽*高），10mmPVC板、5mm亚克力板、面喷汽车漆、图文内容正面丝印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电梯旁楼层索引</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1000*800*15mm（宽*高*深），10mmPVC板、5mm亚克力板、面喷汽车漆、图文内容正面丝印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科室功能与专家介绍栏</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1200*800*15mm（宽*高*深），10mmPVC板、5mm亚克力板、图文内容正面丝印+卡槽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科室制度、流程栏</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600*900*10mm（宽*高*深），10mmPVC板、面喷汽车漆、图文内容丝印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医护人员公示栏</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2000*1000*15mm（宽*高*深），10mmPVC板、5mm亚克力板、专用铝型材，精工雕刻组合成型、面喷汽车漆、图文内容正面丝印+卡槽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病人护理信息栏</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1200*800*15mm（宽*高*深），电解板制作 ，标题丝网印刷，中间内容磁性白板制作 ，水性笔易涂改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服务时间标识牌</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600*400*15mm（宽*高*深），10mmPVC板、5mm亚克力板，精工雕刻组合成型、面喷汽车漆、图文内容丝印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服务窗口标识牌</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800*250*5mm（宽*高*深），5mm亚克力，表面金属油漆处理，图案文字丝印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消防疏散图</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600*400*15mm（宽*高*深），10mmPVC板、5mm亚克力板，精工雕刻组合成型、面喷汽车漆、图文内容丝印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洗手间入口标识（侧挂）</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120*300*15mm（宽*高*深），10mmPVC板、5mm亚克力板，精工雕刻组合成型、面喷汽车漆、图文内容丝印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办公室门牌</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侧挂式：300*100*15mm，10mmPVC板、5mm亚克力板，精工雕刻组合成型、面喷汽车漆、图文内容丝印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病房门牌</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250*180*15mm，10mmPVC板、5mm亚克力板，精工雕刻组合成型、面喷汽车漆、图文内容丝印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床头牌</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360*175mm，10mmPVC板、专用铝型材，精工雕刻组合成型、面喷汽车漆、图文内容丝印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氧带温馨提示牌</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250*175*15mm，10mmPVC板、5mm亚克力板，精工雕刻组合成型、面喷汽车漆、图文内容丝印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步行梯标识</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800*250*15mm，10mmPVC板、5mm亚克力板，精工雕刻组合成型、面喷汽车漆、图文内容背面丝印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电梯用途标识</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250*175*15mm，10mmPVC板、5mm亚克力板，精工雕刻组合成型、面喷汽车漆、图文内容背面丝印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温馨提示牌</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250*240*15mm，10mmPVC板、5mm亚克力板，精工雕刻组合成型、面喷汽车漆、图文内容背面丝印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桌面台牌</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280*100mm，抽拉式5mm亚克力，内容写真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办公桌岗位牌</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280*100mm，抽拉式5mm亚克力，内容写真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玻璃防撞带</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高150mm长1000mm，3m专用墙面高清背胶画面，贴门安装，贴于玻璃门、窗或墙上距离地面120cm处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门上推拉标识</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100*100*3mm，透明膜丝印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大厅地贴指引标识</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3M专用地贴膜，斜纹防滑膜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平方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户外机动车交通标识</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60管，标识500*500mm，1.0mm镀锌板，角钢内筋，表面金属油漆处理，图案文字丝印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医院楼顶发光字</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2.3*2.3m19个，“十”字4*4m 1个，1mm镀锌板，角钢内筋，四孔蓝景灯冲孔发光字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rPr>
              <w:t>117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平方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门诊 急诊发光字</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800*800MM  7个，1mm镀锌板，角钢内筋，四孔蓝景灯冲孔发光字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平方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楼顶发光字猪笼支撑架</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订做，镀锌管，角钢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平方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线材及安装费用（高空）</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原空调雨蓬修改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外墙灯光亮化</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长：94米 宽31米 高25米，四周走一圈，10W黄灯</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单色线条灯开关电源变压器</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400W防雨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线条灯线材及高空安装人工</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eastAsia="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道闸(含栅栏杆6米）</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6米，灰黑/黄色可选，起落速度：6秒起落杆，运行寿命：≥300 万次；道闸机箱：采用 2.0MM 冷压板，杆长度：6米内，杆子：1.0 的纯铝合金材质。可智能调节电机运行速度，实现智能变速，有效减少闸杆抖动。外观尺寸 350*260*999,电机上装有手轮装置，停电时，实现手动起落杆；停电时，手动快速起杆；来电自动复位。送两个遥控器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道闸(含栅栏杆3.5米）</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3.5米，灰黑/黄色可选，起落速度：6秒起落杆，运行寿命：≥300 万次；道闸机箱：采用 2.0MM 冷压板，杆长度：6米内，杆子：1.0 的纯铝合金材质。可智能调节电机运行速度，实现智能变速，有效减少闸杆抖动。外观尺寸 350*260*1000,电机上装有手轮装置，停电时，实现手动起落杆；停电时，手动快速起杆；来电自动复位。送两个遥控器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车辆检测器</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地感车辆检测器，停车场道闸专用地感，有车不落杆，车过自动落杆，防砸车，稳定强，灵敏度高，带延时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高清车牌识别摄像机</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1/3英寸300万像素CMOS传感器，高分辨率逐行扫描技术，最高分辨率可达1920 x1280（视频流状态），1280 x 960（抓拍模式和录像模式兼有）：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1、传感器类型 1/3" Progressive Scan CCD；2、最低照度 0.2 Lux @(F1.2，AGC ON)；3、电子快门 1/25秒至1/100000秒；4、镜头接口类型 C/CS接口 ；5、镜头距离6mm ；6、自动光圈 DC驱动IRIS ；  7、视频压缩标准 H.264；8、压缩输出码率 32 Kbps~16M bps  图像格式 JPEG；9、最大图像尺寸 1360*1024；10、帧率 30fps；11、图像设置 饱和度,亮度,对比度,白平衡,增益,通过软件可调； 12、存储功能 支持SD/SDHC存储图片；13、支持协议 P/IP, HTTP, DHCP, DNS, RTP/RTCP/RTSP和ONVIF ,FTP；14、通用功能 心跳，密码保护，芯片加密；15、专用功能 IO触发，网络触发，RS485触发，红绿灯状态检测，测速，补光灯同步，；16、视频触发捕获率：监控区域内对5km/h～60km/h行驶的车辆图像捕获率达99%以上。；17、车辆号牌识别准确率：白天车辆号牌识别准确率大于99%；夜间车牌识别准确率98%以上。； 18、通讯接口： 一个RJ485，一个千兆自适应以太网口，支持FTP上传图片和视频流；</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RGGL一体化机箱</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外观：密封设计，色调搭配合理，配有科技蓝装饰灯,美观大方；高温钢结构烤漆，厚度2.0mm，机箱宽度40*整高160*显示部分长度70CM，立柱80cm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光感应自动补光灯</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（1）采用的是光感感应的灯，白天比较亮的情况下，灯不会自动开，只有在晚上光线暗下来了，灯就会自动开，无须人工管理。2) 电源为220V市电，固定安装使用，方便快捷。对人眼无刺激，不影响行车安全。3) 光斑均匀，出光角度可按使用要求配置，有15， 25，45，60度等规格。4) 采用全密封铝压铸外壳，防尘防雨，可方便与摄像机、防护罩构成一体化装置。</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四行收费显示屏</w:t>
            </w:r>
          </w:p>
        </w:tc>
        <w:tc>
          <w:tcPr>
            <w:tcW w:w="3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Style w:val="11"/>
                <w:rFonts w:hint="default"/>
              </w:rPr>
              <w:t>高亮度显示屏，显示屏采用绿色高亮LED屏，显示效果良好；模具化设计的铝合金型材在色彩搭配以及整机外观效果上都彰显出独特亮点，双层四行显示上层可车牌号码，下层显示停车场时间、金额等。</w:t>
            </w:r>
            <w:r>
              <w:rPr>
                <w:rStyle w:val="12"/>
                <w:rFonts w:hint="default"/>
              </w:rPr>
              <w:t>带满位显示功能</w:t>
            </w:r>
            <w:r>
              <w:rPr>
                <w:rStyle w:val="11"/>
                <w:rFonts w:hint="default"/>
              </w:rPr>
              <w:t>，语音播报车辆所需收费情况、剩余有效期限等</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语音系统</w:t>
            </w:r>
          </w:p>
        </w:tc>
        <w:tc>
          <w:tcPr>
            <w:tcW w:w="3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eastAsia="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系统控制主板</w:t>
            </w:r>
          </w:p>
        </w:tc>
        <w:tc>
          <w:tcPr>
            <w:tcW w:w="3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效率高、工作温度低，软启动电流、有效降低AC输入冲击，有短路保护、过载保护，内装EMI滤波器、纹波极小。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块</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系统专用电源</w:t>
            </w:r>
          </w:p>
        </w:tc>
        <w:tc>
          <w:tcPr>
            <w:tcW w:w="3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eastAsia="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高清车牌识别摄像机（含立柱补光灯）</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1/3英寸300万像素CMOS传感器，高分辨率逐行扫描技术，最高分辨率可达1920 x1280（视频流状态），1280 x 960（抓拍模式和录像模式兼有）：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1、传感器类型 1/3" Progressive Scan CCD；2、最低照度 0.2 Lux @(F1.2，AGC ON)；3、电子快门 1/25秒至1/100000秒；4、镜头接口类型 C/CS接口 ；5、镜头距离6mm ；6、自动光圈 DC驱动IRIS ；  7、视频压缩标准 H.264；8、压缩输出码率 32 Kbps~16M bps  图像格式 JPEG；9、最大图像尺寸 1360*1024；10、帧率 30fps；11、图像设置 饱和度,亮度,对比度,白平衡,增益,通过软件可调； 12、存储功能 支持SD/SDHC存储图片；13、支持协议 P/IP, HTTP, DHCP, DNS, RTP/RTCP/RTSP和ONVIF ,FTP；14、通用功能 心跳，密码保护，芯片加密；15、专用功能 IO触发，网络触发，RS485触发，红绿灯状态检测，测速，补光灯同步，；16、视频触发捕获率：监控区域内对5km/h～60km/h行驶的车辆图像捕获率达99%以上。；17、车辆号牌识别准确率：白天车辆号牌识别准确率大于99%；夜间车牌识别准确率98%以上。； 18、通讯接口： 一个RJ485，一个千兆自适应以太网口，支持FTP上传图片和视频流；</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网络交换机</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5口，工业级，性能稳定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车牌识别收费软件（含硬件加密狗）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可微信扫码、支付宝支付</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Style w:val="11"/>
                <w:rFonts w:hint="default"/>
              </w:rPr>
              <w:t>1.采用高清车牌硬识别摄像机对进入停车场的车辆进行车牌识别、图像抓拍，将车牌信息传输给专用控制器，再上传给电脑、引导车辆进入，并保存记录；在停车场出口通过高清车牌识别摄像机对驶出的车辆进行车牌识别、图像抓拍，在线状态通过计算机判断，对固定车自动放行，脱机状态有停车场控制器判断，对固定车辆放行，并保存记录，如果系统中有语音和显示屏，会驱动其播报和显示车辆信息。对于临时车根据停车时间进行管理，实现车辆的进出监控和管理。</w:t>
            </w:r>
            <w:r>
              <w:rPr>
                <w:rStyle w:val="11"/>
                <w:rFonts w:hint="default"/>
              </w:rPr>
              <w:br w:type="textWrapping"/>
            </w:r>
            <w:r>
              <w:rPr>
                <w:rStyle w:val="11"/>
                <w:rFonts w:hint="default"/>
              </w:rPr>
              <w:t>2.月租车实现真正的脱机进出，系统更可靠</w:t>
            </w:r>
            <w:r>
              <w:rPr>
                <w:rStyle w:val="11"/>
                <w:rFonts w:hint="default"/>
              </w:rPr>
              <w:br w:type="textWrapping"/>
            </w:r>
            <w:r>
              <w:rPr>
                <w:rStyle w:val="11"/>
                <w:rFonts w:hint="default"/>
              </w:rPr>
              <w:t>3.首创纯车牌识别系统中临时车辆可脱机收费，系统更先进</w:t>
            </w:r>
            <w:r>
              <w:rPr>
                <w:rStyle w:val="11"/>
                <w:rFonts w:hint="default"/>
              </w:rPr>
              <w:br w:type="textWrapping"/>
            </w:r>
            <w:r>
              <w:rPr>
                <w:rStyle w:val="11"/>
                <w:rFonts w:hint="default"/>
              </w:rPr>
              <w:t>4.无论是网络还是计算机出现故障，显示屏和语音均能正常工作，提示更周到</w:t>
            </w:r>
            <w:r>
              <w:rPr>
                <w:rStyle w:val="11"/>
                <w:rFonts w:hint="default"/>
              </w:rPr>
              <w:br w:type="textWrapping"/>
            </w:r>
            <w:r>
              <w:rPr>
                <w:rStyle w:val="11"/>
                <w:rFonts w:hint="default"/>
              </w:rPr>
              <w:t>5.特殊环境下，可以采用双摄象机识别，识别更强大</w:t>
            </w:r>
            <w:r>
              <w:rPr>
                <w:rStyle w:val="11"/>
                <w:rFonts w:hint="default"/>
              </w:rPr>
              <w:br w:type="textWrapping"/>
            </w:r>
            <w:r>
              <w:rPr>
                <w:rStyle w:val="11"/>
                <w:rFonts w:hint="default"/>
              </w:rPr>
              <w:t>6.模糊计算的应用，进一步提高系统的识别率，配合人性化的操作，系统更方便</w:t>
            </w:r>
            <w:r>
              <w:rPr>
                <w:rStyle w:val="11"/>
                <w:rFonts w:hint="default"/>
              </w:rPr>
              <w:br w:type="textWrapping"/>
            </w:r>
            <w:r>
              <w:rPr>
                <w:rStyle w:val="11"/>
                <w:rFonts w:hint="default"/>
              </w:rPr>
              <w:t>7.对于已经入场的车辆，如果识别错误，可以手动修改识别出错的车牌号码，从而保证入场记录的准确</w:t>
            </w:r>
            <w:r>
              <w:rPr>
                <w:rStyle w:val="11"/>
                <w:rFonts w:hint="default"/>
              </w:rPr>
              <w:br w:type="textWrapping"/>
            </w:r>
            <w:r>
              <w:rPr>
                <w:rStyle w:val="11"/>
                <w:rFonts w:hint="default"/>
              </w:rPr>
              <w:t>8.当遇到不能识别的车牌（车牌上面有污泥遮挡等），可以手动输入车牌号码入场或者出场。</w:t>
            </w:r>
            <w:r>
              <w:rPr>
                <w:rStyle w:val="11"/>
                <w:rFonts w:hint="default"/>
              </w:rPr>
              <w:br w:type="textWrapping"/>
            </w:r>
            <w:r>
              <w:rPr>
                <w:rStyle w:val="11"/>
                <w:rFonts w:hint="default"/>
              </w:rPr>
              <w:t>9.出场对于识别不正确的车辆，可以模糊查询，人工比对确认放行</w:t>
            </w:r>
            <w:r>
              <w:rPr>
                <w:rStyle w:val="11"/>
                <w:rFonts w:hint="default"/>
              </w:rPr>
              <w:br w:type="textWrapping"/>
            </w:r>
            <w:r>
              <w:rPr>
                <w:rStyle w:val="11"/>
                <w:rFonts w:hint="default"/>
              </w:rPr>
              <w:t>10.将车牌发行成固定车牌，通过该界面将固定车牌下载控制器里面，无论是脱机还是在线监控状态，摄像机识别固定车牌，自动开闸放行。</w:t>
            </w:r>
            <w:r>
              <w:rPr>
                <w:rStyle w:val="11"/>
                <w:rFonts w:hint="default"/>
              </w:rPr>
              <w:br w:type="textWrapping"/>
            </w:r>
            <w:r>
              <w:rPr>
                <w:rStyle w:val="11"/>
                <w:rFonts w:hint="default"/>
              </w:rPr>
              <w:t>11.当遇到有逃费，或者不方便进入该停车场的车辆，可以将其添加至软件的黑明单，同时需将该黑明单下载到专用控制器里面，无论是脱机还是在线监控状态，摄像机识别到该车牌，控制器均不会让该车牌进场。</w:t>
            </w:r>
            <w:r>
              <w:rPr>
                <w:rStyle w:val="11"/>
                <w:rFonts w:hint="default"/>
              </w:rPr>
              <w:br w:type="textWrapping"/>
            </w:r>
            <w:r>
              <w:rPr>
                <w:rStyle w:val="11"/>
                <w:rFonts w:hint="default"/>
              </w:rPr>
              <w:t>12.添加固定车辆信息时，直接进入该界面进行信息的登记，将在发行报表和人事报表里面个产生一条记录</w:t>
            </w:r>
            <w:r>
              <w:rPr>
                <w:rStyle w:val="11"/>
                <w:rFonts w:hint="default"/>
              </w:rPr>
              <w:br w:type="textWrapping"/>
            </w:r>
            <w:r>
              <w:rPr>
                <w:rStyle w:val="11"/>
                <w:rFonts w:hint="default"/>
              </w:rPr>
              <w:t>13.对于固定车辆和临时车辆可以实行分段收费，比如白天免费，晚上正常收费，做到更人性化等。</w:t>
            </w:r>
            <w:r>
              <w:rPr>
                <w:rStyle w:val="12"/>
                <w:rFonts w:hint="default"/>
              </w:rPr>
              <w:t>14、可进行微信扫码支付宝支付，以及云平台操作。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电脑</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 CPU：参考或相当于Intel酷睿I5-12500处理器（4核，主频≥3.3G）；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主板：参考或相当于Intel 500芯片组，接口≥8个USB接口，其中≥6个USB 3.0接口，且为方便用户使用需前置≥4个USB 3.0接口；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内存：≥8G DDR4内存；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4、高清集成显卡；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5、声卡：集成声卡，支持5.1声道（提供前2后3共5个音频接口）；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硬盘：≥1TB机械硬盘+256G SSD M.2硬盘；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7、网卡：集成10/100/1000M以太网卡；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8、扩展槽：≥1个PCI-E×16（8速）、≥2个PCI-E×1、≥1个PCI槽位；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9、配置与主机同品牌≥23.8英寸液晶显示器，可设置低蓝光护眼功能，保护师生用眼健康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10、键盘、鼠标：同品牌键鼠；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11、节能电源：≤180W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★12、机箱：为满足用户灵活的使用场景，要求机箱必须为可立可卧式，机箱大小为≤11L； 配备强力散热风扇，能够达到有效降解甲醛，净化空气的效果（供货时需提供第三方检测机构的证明文件）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13、安全特性：主板具备USB屏蔽技术，可设置仅识别USB键盘、鼠标，无法识别USB读取设备，有效防止数据泄露或病毒入侵；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 操作系统：出厂预装Windows正版操作系统；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 本次设备采购只接受原装品牌机，由计算机生产厂商提供原厂 3 年免费上门（节假日无休）维修服务；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16、竞标货物生产厂家能提供原厂保修。供货时须提供生产厂家针对此项目的售后服务承诺书与供货证明函原件,否则不予验收。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显示屏（室外监控、车牌识别）</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显示屏≥43寸，64位处理器，4核CPU高速运转，高清显示</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施工费</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车辆道闸安装施工费（包含道闸的安装；车辆识别机安装；电脑、交换机安装；含设备连接线缆材料及敷设安装；培训及资料）安全岛施工</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both"/>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7" w:hRule="atLeast"/>
        </w:trPr>
        <w:tc>
          <w:tcPr>
            <w:tcW w:w="2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63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肆拾玖万玖仟陆佰贰拾元整（￥499620.00）</w:t>
            </w:r>
          </w:p>
        </w:tc>
      </w:tr>
      <w:tr>
        <w:tblPrEx>
          <w:tblCellMar>
            <w:top w:w="0" w:type="dxa"/>
            <w:left w:w="108" w:type="dxa"/>
            <w:bottom w:w="0" w:type="dxa"/>
            <w:right w:w="108" w:type="dxa"/>
          </w:tblCellMar>
        </w:tblPrEx>
        <w:trPr>
          <w:trHeight w:val="567" w:hRule="atLeast"/>
        </w:trPr>
        <w:tc>
          <w:tcPr>
            <w:tcW w:w="92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kern w:val="0"/>
                <w:sz w:val="20"/>
                <w:szCs w:val="20"/>
              </w:rPr>
            </w:pPr>
            <w:r>
              <w:rPr>
                <w:rFonts w:hint="eastAsia" w:ascii="宋体" w:hAnsi="宋体" w:cs="宋体"/>
                <w:kern w:val="0"/>
                <w:sz w:val="20"/>
                <w:szCs w:val="20"/>
              </w:rPr>
              <w:t>说明：1.由于发包人的原因使项目进度延迟或者终止，则成交供应商交付时间相应顺延。</w:t>
            </w:r>
          </w:p>
          <w:p>
            <w:pPr>
              <w:widowControl/>
              <w:spacing w:line="360" w:lineRule="auto"/>
              <w:ind w:firstLine="600" w:firstLineChars="300"/>
              <w:jc w:val="left"/>
              <w:textAlignment w:val="center"/>
              <w:rPr>
                <w:rFonts w:ascii="宋体" w:hAnsi="宋体" w:eastAsia="宋体" w:cs="宋体"/>
                <w:color w:val="000000"/>
                <w:kern w:val="0"/>
                <w:sz w:val="20"/>
                <w:szCs w:val="20"/>
              </w:rPr>
            </w:pPr>
            <w:r>
              <w:rPr>
                <w:rFonts w:ascii="宋体" w:hAnsi="宋体" w:cs="宋体"/>
                <w:kern w:val="0"/>
                <w:sz w:val="20"/>
                <w:szCs w:val="20"/>
              </w:rPr>
              <w:t>2</w:t>
            </w:r>
            <w:r>
              <w:rPr>
                <w:rFonts w:hint="eastAsia" w:ascii="宋体" w:hAnsi="宋体" w:cs="宋体"/>
                <w:kern w:val="0"/>
                <w:sz w:val="20"/>
                <w:szCs w:val="20"/>
              </w:rPr>
              <w:t>.以上为采购方的初步采购需求，采购方可根据实际需求进行数量的调整，所调整的产品按本合同约定单价核算，经双方确认后另行签订增加制作方案协议。</w:t>
            </w:r>
          </w:p>
        </w:tc>
      </w:tr>
      <w:tr>
        <w:tblPrEx>
          <w:tblCellMar>
            <w:top w:w="0" w:type="dxa"/>
            <w:left w:w="108" w:type="dxa"/>
            <w:bottom w:w="0" w:type="dxa"/>
            <w:right w:w="108" w:type="dxa"/>
          </w:tblCellMar>
        </w:tblPrEx>
        <w:trPr>
          <w:trHeight w:val="567" w:hRule="atLeast"/>
        </w:trPr>
        <w:tc>
          <w:tcPr>
            <w:tcW w:w="92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kern w:val="0"/>
                <w:sz w:val="20"/>
                <w:szCs w:val="20"/>
              </w:rPr>
            </w:pPr>
            <w:r>
              <w:rPr>
                <w:rFonts w:hint="eastAsia" w:ascii="宋体" w:hAnsi="宋体" w:cs="宋体"/>
                <w:b/>
                <w:szCs w:val="21"/>
              </w:rPr>
              <w:t>商务条款要求</w:t>
            </w:r>
          </w:p>
        </w:tc>
      </w:tr>
      <w:tr>
        <w:tblPrEx>
          <w:tblCellMar>
            <w:top w:w="0" w:type="dxa"/>
            <w:left w:w="108" w:type="dxa"/>
            <w:bottom w:w="0" w:type="dxa"/>
            <w:right w:w="108" w:type="dxa"/>
          </w:tblCellMar>
        </w:tblPrEx>
        <w:trPr>
          <w:trHeight w:val="567" w:hRule="atLeast"/>
        </w:trPr>
        <w:tc>
          <w:tcPr>
            <w:tcW w:w="92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outlineLvl w:val="2"/>
              <w:rPr>
                <w:rFonts w:ascii="宋体" w:hAnsi="宋体" w:cs="宋体"/>
                <w:b/>
                <w:szCs w:val="21"/>
              </w:rPr>
            </w:pPr>
            <w:r>
              <w:rPr>
                <w:rFonts w:hint="eastAsia" w:ascii="宋体" w:hAnsi="宋体" w:cs="宋体"/>
                <w:szCs w:val="21"/>
              </w:rPr>
              <w:t>▲</w:t>
            </w:r>
            <w:r>
              <w:rPr>
                <w:rFonts w:hint="eastAsia" w:ascii="宋体" w:hAnsi="宋体" w:cs="宋体"/>
                <w:b/>
                <w:szCs w:val="21"/>
              </w:rPr>
              <w:t>一、交付时间及地点：</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bCs/>
                <w:kern w:val="0"/>
                <w:szCs w:val="21"/>
              </w:rPr>
              <w:t>合同履行期限：</w:t>
            </w:r>
            <w:r>
              <w:rPr>
                <w:rFonts w:hint="eastAsia" w:ascii="宋体" w:hAnsi="宋体" w:cs="宋体"/>
                <w:szCs w:val="21"/>
              </w:rPr>
              <w:t>合同签订之日起</w:t>
            </w:r>
            <w:r>
              <w:rPr>
                <w:rFonts w:hint="eastAsia" w:ascii="宋体" w:hAnsi="宋体" w:cs="宋体"/>
                <w:szCs w:val="21"/>
                <w:u w:val="single"/>
              </w:rPr>
              <w:t xml:space="preserve"> </w:t>
            </w:r>
            <w:r>
              <w:rPr>
                <w:rFonts w:ascii="宋体" w:hAnsi="宋体" w:cs="宋体"/>
                <w:szCs w:val="21"/>
                <w:u w:val="single"/>
              </w:rPr>
              <w:t>25</w:t>
            </w:r>
            <w:r>
              <w:rPr>
                <w:rFonts w:hint="eastAsia" w:ascii="宋体" w:hAnsi="宋体" w:cs="宋体"/>
                <w:szCs w:val="21"/>
              </w:rPr>
              <w:t>个工作日内安装完毕并交付使用。</w:t>
            </w:r>
          </w:p>
          <w:p>
            <w:pPr>
              <w:spacing w:line="360" w:lineRule="auto"/>
              <w:ind w:firstLine="420" w:firstLineChars="200"/>
              <w:jc w:val="left"/>
              <w:outlineLvl w:val="1"/>
              <w:rPr>
                <w:rFonts w:ascii="宋体" w:hAnsi="宋体" w:cs="宋体"/>
                <w:szCs w:val="21"/>
              </w:rPr>
            </w:pPr>
            <w:r>
              <w:rPr>
                <w:rFonts w:hint="eastAsia" w:ascii="宋体" w:hAnsi="宋体" w:cs="宋体"/>
                <w:szCs w:val="21"/>
              </w:rPr>
              <w:t>2.交付地点：采购单位指定地点。</w:t>
            </w:r>
          </w:p>
          <w:p>
            <w:pPr>
              <w:spacing w:line="360" w:lineRule="auto"/>
              <w:ind w:left="420" w:hanging="420" w:hangingChars="200"/>
              <w:jc w:val="left"/>
              <w:outlineLvl w:val="2"/>
              <w:rPr>
                <w:rFonts w:ascii="宋体" w:hAnsi="宋体" w:cs="宋体"/>
                <w:b/>
                <w:szCs w:val="21"/>
              </w:rPr>
            </w:pPr>
            <w:r>
              <w:rPr>
                <w:rFonts w:hint="eastAsia" w:ascii="宋体" w:hAnsi="宋体" w:cs="宋体"/>
                <w:szCs w:val="21"/>
              </w:rPr>
              <w:t>▲</w:t>
            </w:r>
            <w:r>
              <w:rPr>
                <w:rFonts w:hint="eastAsia" w:ascii="宋体" w:hAnsi="宋体" w:cs="宋体"/>
                <w:b/>
                <w:szCs w:val="21"/>
              </w:rPr>
              <w:t>二、售后服务：</w:t>
            </w:r>
          </w:p>
          <w:p>
            <w:pPr>
              <w:spacing w:line="360" w:lineRule="auto"/>
              <w:ind w:left="420" w:leftChars="200"/>
              <w:jc w:val="left"/>
              <w:outlineLvl w:val="1"/>
              <w:rPr>
                <w:rFonts w:ascii="宋体" w:hAnsi="宋体" w:cs="宋体"/>
                <w:szCs w:val="21"/>
              </w:rPr>
            </w:pPr>
            <w:r>
              <w:rPr>
                <w:rFonts w:hint="eastAsia" w:ascii="宋体" w:hAnsi="宋体" w:cs="宋体"/>
                <w:szCs w:val="21"/>
              </w:rPr>
              <w:t>1.免费送货上门，免费现场安装调试至验收合格。</w:t>
            </w:r>
          </w:p>
          <w:p>
            <w:pPr>
              <w:spacing w:line="360" w:lineRule="auto"/>
              <w:ind w:firstLine="420" w:firstLineChars="200"/>
              <w:jc w:val="left"/>
              <w:rPr>
                <w:rFonts w:ascii="宋体" w:hAnsi="宋体" w:cs="宋体"/>
                <w:szCs w:val="21"/>
              </w:rPr>
            </w:pPr>
            <w:r>
              <w:rPr>
                <w:rFonts w:hint="eastAsia" w:ascii="宋体" w:hAnsi="宋体" w:cs="宋体"/>
                <w:szCs w:val="21"/>
              </w:rPr>
              <w:t>2.质量保证期：交货、安装调试完毕，产品验收合格之日起，除有特殊要求外，在规定的保修期内，凡货物质量事故和质量缺陷由成交供应商无偿保修。</w:t>
            </w:r>
          </w:p>
          <w:p>
            <w:pPr>
              <w:spacing w:line="360" w:lineRule="auto"/>
              <w:ind w:left="420" w:leftChars="200"/>
              <w:jc w:val="left"/>
              <w:outlineLvl w:val="1"/>
              <w:rPr>
                <w:rFonts w:ascii="宋体" w:hAnsi="宋体" w:cs="宋体"/>
                <w:szCs w:val="21"/>
              </w:rPr>
            </w:pPr>
            <w:r>
              <w:rPr>
                <w:rFonts w:hint="eastAsia" w:ascii="宋体" w:hAnsi="宋体" w:cs="宋体"/>
                <w:szCs w:val="21"/>
              </w:rPr>
              <w:t>3.出现设备质量问题，要求供应商在12小时内响应，48小时以内到达现场履行维修及技术支持义务。</w:t>
            </w:r>
          </w:p>
          <w:p>
            <w:pPr>
              <w:spacing w:line="360" w:lineRule="auto"/>
              <w:ind w:firstLine="420" w:firstLineChars="200"/>
              <w:jc w:val="left"/>
              <w:rPr>
                <w:rFonts w:ascii="宋体" w:hAnsi="宋体" w:cs="宋体"/>
                <w:szCs w:val="21"/>
              </w:rPr>
            </w:pPr>
            <w:r>
              <w:rPr>
                <w:rFonts w:hint="eastAsia" w:ascii="宋体" w:hAnsi="宋体" w:cs="宋体"/>
                <w:szCs w:val="21"/>
              </w:rPr>
              <w:t>4.竞标总报价为采购人指定地点的现场交货价，包括：货物、服务、随配附件、备品备件、工具、运抵指定交货地点、设备安装配件及附属材料、安装施工、调试验收、向项目总承包单位缴纳的配合管理费等至验收合格所发生的各种费用和售后服务、保险费、税金及其他所有成本费用的总和。</w:t>
            </w:r>
          </w:p>
          <w:p>
            <w:pPr>
              <w:spacing w:line="360" w:lineRule="auto"/>
              <w:ind w:firstLine="420" w:firstLineChars="200"/>
              <w:jc w:val="left"/>
              <w:rPr>
                <w:rFonts w:ascii="宋体" w:hAnsi="宋体" w:cs="宋体"/>
                <w:szCs w:val="21"/>
              </w:rPr>
            </w:pPr>
            <w:r>
              <w:rPr>
                <w:rFonts w:hint="eastAsia" w:ascii="宋体" w:hAnsi="宋体" w:cs="宋体"/>
                <w:szCs w:val="21"/>
              </w:rPr>
              <w:t>5.竞标人保证所使用软硬件的合法性，任何知识产权纠纷与用户无关。</w:t>
            </w:r>
          </w:p>
          <w:p>
            <w:pPr>
              <w:spacing w:line="360" w:lineRule="auto"/>
              <w:jc w:val="left"/>
              <w:outlineLvl w:val="2"/>
              <w:rPr>
                <w:rFonts w:ascii="宋体" w:hAnsi="宋体" w:cs="宋体"/>
                <w:szCs w:val="21"/>
              </w:rPr>
            </w:pPr>
            <w:r>
              <w:rPr>
                <w:rFonts w:hint="eastAsia" w:ascii="宋体" w:hAnsi="宋体" w:cs="宋体"/>
                <w:b/>
                <w:szCs w:val="21"/>
              </w:rPr>
              <w:t>三、</w:t>
            </w:r>
            <w:r>
              <w:rPr>
                <w:rFonts w:hint="eastAsia" w:ascii="宋体" w:hAnsi="宋体" w:cs="宋体"/>
                <w:b/>
                <w:kern w:val="0"/>
                <w:szCs w:val="21"/>
              </w:rPr>
              <w:t>合同签订时间及付款方式</w:t>
            </w:r>
            <w:r>
              <w:rPr>
                <w:rFonts w:hint="eastAsia" w:ascii="宋体" w:hAnsi="宋体" w:cs="宋体"/>
                <w:b/>
                <w:szCs w:val="21"/>
              </w:rPr>
              <w:t>：</w:t>
            </w:r>
          </w:p>
          <w:p>
            <w:pPr>
              <w:pStyle w:val="8"/>
              <w:tabs>
                <w:tab w:val="right" w:leader="dot" w:pos="9628"/>
              </w:tabs>
              <w:spacing w:line="360" w:lineRule="auto"/>
              <w:ind w:firstLine="420" w:firstLineChars="200"/>
              <w:jc w:val="left"/>
              <w:outlineLvl w:val="1"/>
              <w:rPr>
                <w:rFonts w:ascii="宋体" w:hAnsi="宋体" w:cs="宋体"/>
                <w:szCs w:val="21"/>
              </w:rPr>
            </w:pPr>
            <w:r>
              <w:rPr>
                <w:rFonts w:hint="eastAsia" w:ascii="宋体" w:hAnsi="宋体" w:cs="宋体"/>
                <w:szCs w:val="21"/>
              </w:rPr>
              <w:t>1.签订合同时间：成交通知书发出之日起</w:t>
            </w:r>
            <w:r>
              <w:rPr>
                <w:rFonts w:hint="eastAsia" w:ascii="宋体" w:hAnsi="宋体" w:cs="宋体"/>
                <w:b/>
                <w:bCs/>
                <w:szCs w:val="21"/>
                <w:u w:val="single"/>
              </w:rPr>
              <w:t>10日</w:t>
            </w:r>
            <w:r>
              <w:rPr>
                <w:rFonts w:hint="eastAsia" w:ascii="宋体" w:hAnsi="宋体" w:cs="宋体"/>
                <w:szCs w:val="21"/>
              </w:rPr>
              <w:t>内签订合同。</w:t>
            </w:r>
          </w:p>
          <w:p>
            <w:pPr>
              <w:widowControl/>
              <w:spacing w:line="360" w:lineRule="auto"/>
              <w:jc w:val="left"/>
              <w:textAlignment w:val="center"/>
              <w:rPr>
                <w:rFonts w:ascii="宋体" w:hAnsi="宋体" w:eastAsia="宋体" w:cs="宋体"/>
                <w:color w:val="000000"/>
                <w:kern w:val="0"/>
                <w:sz w:val="20"/>
                <w:szCs w:val="20"/>
              </w:rPr>
            </w:pPr>
            <w:r>
              <w:rPr>
                <w:rFonts w:hint="eastAsia" w:ascii="宋体" w:hAnsi="宋体" w:cs="宋体"/>
                <w:szCs w:val="21"/>
              </w:rPr>
              <w:t>2.付款方式：签订合同后，全部货物到达指定地点、安装调试并验收合格后，凭双方签署验收合格证，乙方开具全额发票给甲方，甲方自收到发票之日起30日内支付总合同金额的60%，6个月后支付合同总金额的30%（不计利息），12个月后支付合同总金额的10%（不计利息）。</w:t>
            </w:r>
          </w:p>
        </w:tc>
      </w:tr>
    </w:tbl>
    <w:p/>
    <w:p/>
    <w:p/>
    <w:p/>
    <w:p/>
    <w:p/>
    <w:p/>
    <w:p/>
    <w:p/>
    <w:p/>
    <w:p/>
    <w:p/>
    <w:p/>
    <w:p/>
    <w:p/>
    <w:p/>
    <w:p/>
    <w:p>
      <w:pPr>
        <w:jc w:val="center"/>
        <w:outlineLvl w:val="1"/>
        <w:rPr>
          <w:rFonts w:ascii="宋体" w:hAnsi="宋体" w:cs="宋体"/>
          <w:b/>
          <w:sz w:val="30"/>
          <w:szCs w:val="30"/>
        </w:rPr>
      </w:pPr>
      <w:bookmarkStart w:id="1" w:name="_Toc21142"/>
      <w:bookmarkStart w:id="2" w:name="_Toc30057"/>
      <w:bookmarkStart w:id="3" w:name="_Toc9708"/>
      <w:r>
        <w:rPr>
          <w:rFonts w:hint="eastAsia" w:ascii="宋体" w:hAnsi="宋体" w:cs="宋体"/>
          <w:b/>
          <w:sz w:val="30"/>
          <w:szCs w:val="30"/>
        </w:rPr>
        <w:t>第四章 评标方法及评定标准</w:t>
      </w:r>
      <w:bookmarkEnd w:id="1"/>
      <w:bookmarkEnd w:id="2"/>
      <w:bookmarkEnd w:id="3"/>
    </w:p>
    <w:p>
      <w:pPr>
        <w:pStyle w:val="5"/>
        <w:spacing w:line="360" w:lineRule="exact"/>
        <w:rPr>
          <w:rFonts w:hAnsi="宋体" w:cs="宋体"/>
          <w:b/>
          <w:szCs w:val="21"/>
        </w:rPr>
      </w:pPr>
      <w:bookmarkStart w:id="4" w:name="_Toc337456108"/>
    </w:p>
    <w:bookmarkEnd w:id="4"/>
    <w:p>
      <w:pPr>
        <w:pStyle w:val="5"/>
        <w:spacing w:line="360" w:lineRule="auto"/>
        <w:outlineLvl w:val="1"/>
        <w:rPr>
          <w:rFonts w:hAnsi="宋体" w:cs="宋体"/>
          <w:b/>
          <w:bCs/>
          <w:kern w:val="0"/>
          <w:szCs w:val="21"/>
        </w:rPr>
      </w:pPr>
      <w:bookmarkStart w:id="5" w:name="_Toc8769"/>
      <w:bookmarkStart w:id="6" w:name="_Toc433187409"/>
      <w:bookmarkStart w:id="7" w:name="_Toc2650"/>
      <w:bookmarkStart w:id="8" w:name="_Toc16540"/>
      <w:bookmarkStart w:id="9" w:name="_Toc22930"/>
      <w:bookmarkStart w:id="10" w:name="_Toc451865776"/>
      <w:r>
        <w:rPr>
          <w:rFonts w:hint="eastAsia" w:hAnsi="宋体" w:cs="宋体"/>
          <w:b/>
          <w:bCs/>
          <w:kern w:val="0"/>
          <w:szCs w:val="21"/>
        </w:rPr>
        <w:t>一、评标原则</w:t>
      </w:r>
      <w:bookmarkEnd w:id="5"/>
      <w:bookmarkEnd w:id="6"/>
      <w:bookmarkEnd w:id="7"/>
      <w:bookmarkEnd w:id="8"/>
      <w:bookmarkEnd w:id="9"/>
    </w:p>
    <w:p>
      <w:pPr>
        <w:spacing w:line="360" w:lineRule="auto"/>
        <w:ind w:firstLine="420" w:firstLineChars="200"/>
        <w:rPr>
          <w:rFonts w:ascii="宋体" w:hAnsi="宋体" w:cs="宋体"/>
          <w:bCs/>
          <w:szCs w:val="21"/>
        </w:rPr>
      </w:pPr>
      <w:r>
        <w:rPr>
          <w:rFonts w:hint="eastAsia" w:ascii="宋体" w:hAnsi="宋体" w:cs="宋体"/>
          <w:bCs/>
          <w:szCs w:val="21"/>
        </w:rPr>
        <w:t>（一）评标分三个阶段进行：第一阶段为资格性和符合性初步审查；第二阶段为磋商及应答报价；第三阶段为详细评审，详细评审为综合评分法。</w:t>
      </w:r>
    </w:p>
    <w:p>
      <w:pPr>
        <w:pStyle w:val="5"/>
        <w:spacing w:line="360" w:lineRule="auto"/>
        <w:ind w:firstLine="424" w:firstLineChars="202"/>
        <w:outlineLvl w:val="2"/>
        <w:rPr>
          <w:rFonts w:hAnsi="宋体" w:cs="宋体"/>
          <w:bCs/>
          <w:szCs w:val="21"/>
        </w:rPr>
      </w:pPr>
      <w:bookmarkStart w:id="11" w:name="_Toc30243"/>
      <w:r>
        <w:rPr>
          <w:rFonts w:hint="eastAsia" w:hAnsi="宋体" w:cs="宋体"/>
          <w:bCs/>
          <w:szCs w:val="21"/>
        </w:rPr>
        <w:t>（二）评标依据：磋商小组将以磋商文件和响应文件为评定依据。</w:t>
      </w:r>
      <w:bookmarkEnd w:id="11"/>
    </w:p>
    <w:p>
      <w:pPr>
        <w:pStyle w:val="5"/>
        <w:spacing w:line="360" w:lineRule="auto"/>
        <w:ind w:firstLine="424" w:firstLineChars="202"/>
        <w:rPr>
          <w:rFonts w:hAnsi="宋体" w:cs="宋体"/>
          <w:bCs/>
          <w:szCs w:val="21"/>
        </w:rPr>
      </w:pPr>
      <w:r>
        <w:rPr>
          <w:rFonts w:hint="eastAsia" w:hAnsi="宋体" w:cs="宋体"/>
          <w:bCs/>
          <w:szCs w:val="21"/>
        </w:rPr>
        <w:t>（三）第一阶段资格性和符合性初步审查：磋商小组依法对供应商的资格性和符合性进初步审查。合格供应商不足3家时，不得进入下一步评审。</w:t>
      </w:r>
    </w:p>
    <w:p>
      <w:pPr>
        <w:pStyle w:val="5"/>
        <w:spacing w:line="360" w:lineRule="auto"/>
        <w:ind w:firstLine="424" w:firstLineChars="202"/>
        <w:rPr>
          <w:rFonts w:hAnsi="宋体" w:cs="宋体"/>
          <w:bCs/>
          <w:szCs w:val="21"/>
        </w:rPr>
      </w:pPr>
      <w:r>
        <w:rPr>
          <w:rFonts w:hint="eastAsia" w:hAnsi="宋体" w:cs="宋体"/>
          <w:bCs/>
          <w:szCs w:val="21"/>
        </w:rPr>
        <w:t>第二阶段磋商及应答报价：响应文件能够详细列明采购标的的技术、服务要求的，初步审查结束后，磋商小组应当要求所有继续参加磋商的供应商在规定时间内密封提交最后报价。由磋商小组发起最终报价，供应商在规定时间内提交应答文件及报价。磋商小组不认可的应答文件及报价，供应商不得进入详细评审。</w:t>
      </w:r>
    </w:p>
    <w:p>
      <w:pPr>
        <w:pStyle w:val="5"/>
        <w:spacing w:line="360" w:lineRule="auto"/>
        <w:ind w:firstLine="424" w:firstLineChars="202"/>
        <w:rPr>
          <w:rFonts w:hAnsi="宋体" w:cs="宋体"/>
          <w:bCs/>
          <w:szCs w:val="21"/>
        </w:rPr>
      </w:pPr>
      <w:r>
        <w:rPr>
          <w:rFonts w:hint="eastAsia" w:hAnsi="宋体" w:cs="宋体"/>
          <w:bCs/>
          <w:szCs w:val="21"/>
        </w:rPr>
        <w:t>第三阶段详细评审：磋商小组按照评标方法依法对响应文件进行详细评审。</w:t>
      </w:r>
    </w:p>
    <w:p>
      <w:pPr>
        <w:pStyle w:val="5"/>
        <w:spacing w:line="360" w:lineRule="auto"/>
        <w:ind w:firstLine="424" w:firstLineChars="202"/>
        <w:rPr>
          <w:rFonts w:hAnsi="宋体" w:cs="宋体"/>
          <w:bCs/>
          <w:szCs w:val="21"/>
        </w:rPr>
      </w:pPr>
      <w:r>
        <w:rPr>
          <w:rFonts w:hint="eastAsia" w:hAnsi="宋体" w:cs="宋体"/>
          <w:bCs/>
          <w:szCs w:val="21"/>
        </w:rPr>
        <w:t>（四）磋商小组构成：</w:t>
      </w:r>
      <w:r>
        <w:rPr>
          <w:rFonts w:hint="eastAsia" w:hAnsi="宋体" w:cs="宋体"/>
          <w:bCs/>
          <w:szCs w:val="21"/>
          <w:u w:val="single"/>
        </w:rPr>
        <w:t xml:space="preserve"> 3  </w:t>
      </w:r>
      <w:r>
        <w:rPr>
          <w:rFonts w:hint="eastAsia" w:hAnsi="宋体" w:cs="宋体"/>
          <w:bCs/>
          <w:szCs w:val="21"/>
        </w:rPr>
        <w:t xml:space="preserve">人，其中采购人评审代表 </w:t>
      </w:r>
      <w:r>
        <w:rPr>
          <w:rFonts w:hint="eastAsia" w:hAnsi="宋体" w:cs="宋体"/>
          <w:bCs/>
          <w:szCs w:val="21"/>
          <w:u w:val="single"/>
        </w:rPr>
        <w:t xml:space="preserve"> 1 </w:t>
      </w:r>
      <w:r>
        <w:rPr>
          <w:rFonts w:hint="eastAsia" w:hAnsi="宋体" w:cs="宋体"/>
          <w:bCs/>
          <w:szCs w:val="21"/>
        </w:rPr>
        <w:t>人，评审专家</w:t>
      </w:r>
      <w:r>
        <w:rPr>
          <w:rFonts w:hint="eastAsia" w:hAnsi="宋体" w:cs="宋体"/>
          <w:bCs/>
          <w:szCs w:val="21"/>
          <w:u w:val="single"/>
        </w:rPr>
        <w:t xml:space="preserve"> 2 </w:t>
      </w:r>
      <w:r>
        <w:rPr>
          <w:rFonts w:hint="eastAsia" w:hAnsi="宋体" w:cs="宋体"/>
          <w:bCs/>
          <w:szCs w:val="21"/>
        </w:rPr>
        <w:t>人；</w:t>
      </w:r>
    </w:p>
    <w:p>
      <w:pPr>
        <w:pStyle w:val="5"/>
        <w:spacing w:line="360" w:lineRule="auto"/>
        <w:ind w:firstLine="424" w:firstLineChars="202"/>
        <w:outlineLvl w:val="2"/>
        <w:rPr>
          <w:rFonts w:hAnsi="宋体" w:cs="宋体"/>
          <w:bCs/>
          <w:szCs w:val="21"/>
        </w:rPr>
      </w:pPr>
      <w:bookmarkStart w:id="12" w:name="_Toc10176"/>
      <w:r>
        <w:rPr>
          <w:rFonts w:hint="eastAsia" w:hAnsi="宋体" w:cs="宋体"/>
          <w:bCs/>
          <w:szCs w:val="21"/>
        </w:rPr>
        <w:t>（五）评标方式：以不公开方式进行。</w:t>
      </w:r>
      <w:bookmarkEnd w:id="12"/>
    </w:p>
    <w:p>
      <w:pPr>
        <w:pStyle w:val="5"/>
        <w:spacing w:line="360" w:lineRule="auto"/>
        <w:outlineLvl w:val="1"/>
        <w:rPr>
          <w:rFonts w:hAnsi="宋体" w:cs="宋体"/>
          <w:b/>
          <w:bCs/>
          <w:kern w:val="0"/>
          <w:szCs w:val="21"/>
        </w:rPr>
      </w:pPr>
      <w:bookmarkStart w:id="13" w:name="_Toc433187411"/>
      <w:bookmarkStart w:id="14" w:name="_Toc15572"/>
      <w:bookmarkStart w:id="15" w:name="_Toc11483"/>
      <w:bookmarkStart w:id="16" w:name="_Toc13165"/>
      <w:bookmarkStart w:id="17" w:name="_Toc26419"/>
      <w:r>
        <w:rPr>
          <w:rFonts w:hint="eastAsia" w:hAnsi="宋体" w:cs="宋体"/>
          <w:b/>
          <w:bCs/>
          <w:kern w:val="0"/>
          <w:szCs w:val="21"/>
        </w:rPr>
        <w:t>二、</w:t>
      </w:r>
      <w:bookmarkEnd w:id="13"/>
      <w:bookmarkEnd w:id="14"/>
      <w:bookmarkEnd w:id="15"/>
      <w:r>
        <w:rPr>
          <w:rFonts w:hint="eastAsia" w:hAnsi="宋体" w:cs="宋体"/>
          <w:b/>
          <w:bCs/>
          <w:kern w:val="0"/>
          <w:szCs w:val="21"/>
        </w:rPr>
        <w:t>评标方法</w:t>
      </w:r>
      <w:bookmarkEnd w:id="16"/>
      <w:bookmarkEnd w:id="17"/>
    </w:p>
    <w:p>
      <w:pPr>
        <w:pStyle w:val="2"/>
        <w:tabs>
          <w:tab w:val="left" w:pos="1000"/>
        </w:tabs>
        <w:spacing w:line="360" w:lineRule="auto"/>
        <w:ind w:firstLine="0"/>
        <w:rPr>
          <w:rFonts w:ascii="宋体" w:hAnsi="宋体" w:cs="宋体"/>
          <w:bCs/>
          <w:szCs w:val="21"/>
        </w:rPr>
      </w:pPr>
      <w:bookmarkStart w:id="18" w:name="_Toc5059"/>
      <w:r>
        <w:rPr>
          <w:rFonts w:hint="eastAsia" w:ascii="宋体" w:hAnsi="宋体" w:cs="宋体"/>
          <w:b/>
          <w:szCs w:val="21"/>
        </w:rPr>
        <w:t xml:space="preserve"> </w:t>
      </w:r>
      <w:r>
        <w:rPr>
          <w:rFonts w:hint="eastAsia" w:ascii="宋体" w:hAnsi="宋体" w:cs="宋体"/>
          <w:bCs/>
          <w:szCs w:val="21"/>
        </w:rPr>
        <w:t xml:space="preserve">  （一）资格性和符合性初步审查</w:t>
      </w:r>
    </w:p>
    <w:p>
      <w:pPr>
        <w:pStyle w:val="2"/>
        <w:tabs>
          <w:tab w:val="left" w:pos="1000"/>
        </w:tabs>
        <w:spacing w:line="360" w:lineRule="auto"/>
        <w:ind w:firstLineChars="200"/>
        <w:rPr>
          <w:rFonts w:ascii="宋体" w:hAnsi="宋体" w:cs="宋体"/>
          <w:b/>
          <w:szCs w:val="21"/>
        </w:rPr>
      </w:pPr>
      <w:r>
        <w:rPr>
          <w:rFonts w:hint="eastAsia" w:ascii="宋体" w:hAnsi="宋体" w:cs="宋体"/>
          <w:bCs/>
          <w:szCs w:val="21"/>
        </w:rPr>
        <w:t>（1）资格性审查</w:t>
      </w:r>
    </w:p>
    <w:p>
      <w:pPr>
        <w:pStyle w:val="5"/>
        <w:spacing w:line="360" w:lineRule="auto"/>
        <w:ind w:firstLine="424" w:firstLineChars="202"/>
        <w:rPr>
          <w:rFonts w:hAnsi="宋体" w:cs="宋体"/>
          <w:bCs/>
          <w:szCs w:val="21"/>
        </w:rPr>
      </w:pPr>
      <w:r>
        <w:rPr>
          <w:rFonts w:hint="eastAsia" w:hAnsi="宋体" w:cs="宋体"/>
          <w:bCs/>
          <w:szCs w:val="21"/>
        </w:rPr>
        <w:t>1.资格性审查按第二章《磋商供应商须知》第13.1条、第22条规定及第五章《响应文件》（格式）相关内容进行审查。</w:t>
      </w:r>
    </w:p>
    <w:p>
      <w:pPr>
        <w:pStyle w:val="5"/>
        <w:spacing w:line="360" w:lineRule="auto"/>
        <w:ind w:firstLine="424" w:firstLineChars="202"/>
        <w:rPr>
          <w:rFonts w:hAnsi="宋体" w:cs="宋体"/>
          <w:bCs/>
          <w:szCs w:val="21"/>
        </w:rPr>
      </w:pPr>
      <w:r>
        <w:rPr>
          <w:rFonts w:hint="eastAsia" w:hAnsi="宋体" w:cs="宋体"/>
          <w:bCs/>
          <w:szCs w:val="21"/>
        </w:rPr>
        <w:t>2.通过资格性审查的竞标人方可进入符合性审查。</w:t>
      </w:r>
    </w:p>
    <w:p>
      <w:pPr>
        <w:pStyle w:val="5"/>
        <w:spacing w:line="360" w:lineRule="auto"/>
        <w:ind w:firstLine="424" w:firstLineChars="202"/>
        <w:rPr>
          <w:rFonts w:hAnsi="宋体" w:cs="宋体"/>
          <w:bCs/>
          <w:szCs w:val="21"/>
        </w:rPr>
      </w:pPr>
      <w:r>
        <w:rPr>
          <w:rFonts w:hint="eastAsia" w:hAnsi="宋体" w:cs="宋体"/>
          <w:bCs/>
          <w:szCs w:val="21"/>
        </w:rPr>
        <w:t>（2）符合性审查</w:t>
      </w:r>
    </w:p>
    <w:p>
      <w:pPr>
        <w:pStyle w:val="5"/>
        <w:spacing w:line="360" w:lineRule="auto"/>
        <w:ind w:firstLine="424" w:firstLineChars="202"/>
        <w:rPr>
          <w:rFonts w:hAnsi="宋体" w:cs="宋体"/>
          <w:bCs/>
          <w:szCs w:val="21"/>
        </w:rPr>
      </w:pPr>
      <w:r>
        <w:rPr>
          <w:rFonts w:hint="eastAsia" w:hAnsi="宋体" w:cs="宋体"/>
          <w:bCs/>
          <w:szCs w:val="21"/>
        </w:rPr>
        <w:t>1.符合性审查按第二章《磋商供应商须知》第10.1条、第12、20条规定及第五章《响应文件》（格式）相关内容进行审查。</w:t>
      </w:r>
    </w:p>
    <w:p>
      <w:pPr>
        <w:pStyle w:val="5"/>
        <w:spacing w:line="360" w:lineRule="auto"/>
        <w:ind w:firstLine="424" w:firstLineChars="202"/>
        <w:rPr>
          <w:rFonts w:hAnsi="宋体" w:cs="宋体"/>
          <w:bCs/>
          <w:szCs w:val="21"/>
        </w:rPr>
      </w:pPr>
      <w:r>
        <w:rPr>
          <w:rFonts w:hint="eastAsia" w:hAnsi="宋体" w:cs="宋体"/>
          <w:bCs/>
          <w:szCs w:val="21"/>
        </w:rPr>
        <w:t>2.通过符合性审查的竞标人方可进入详细评审。</w:t>
      </w:r>
    </w:p>
    <w:p>
      <w:pPr>
        <w:snapToGrid w:val="0"/>
        <w:spacing w:line="360" w:lineRule="auto"/>
        <w:ind w:firstLine="422" w:firstLineChars="200"/>
        <w:jc w:val="left"/>
        <w:outlineLvl w:val="2"/>
        <w:rPr>
          <w:rFonts w:ascii="宋体" w:hAnsi="宋体" w:cs="宋体"/>
          <w:b/>
          <w:szCs w:val="21"/>
        </w:rPr>
      </w:pPr>
      <w:r>
        <w:rPr>
          <w:rFonts w:hint="eastAsia" w:ascii="宋体" w:hAnsi="宋体" w:cs="宋体"/>
          <w:b/>
          <w:szCs w:val="21"/>
        </w:rPr>
        <w:t>（二）磋商及应答报价</w:t>
      </w:r>
      <w:bookmarkEnd w:id="18"/>
    </w:p>
    <w:p>
      <w:pPr>
        <w:snapToGrid w:val="0"/>
        <w:spacing w:line="360" w:lineRule="auto"/>
        <w:ind w:firstLine="420" w:firstLineChars="200"/>
        <w:jc w:val="left"/>
        <w:rPr>
          <w:rFonts w:ascii="宋体" w:hAnsi="宋体" w:cs="宋体"/>
          <w:bCs/>
          <w:szCs w:val="21"/>
        </w:rPr>
      </w:pPr>
      <w:r>
        <w:rPr>
          <w:rFonts w:hint="eastAsia" w:ascii="宋体" w:hAnsi="宋体" w:cs="宋体"/>
          <w:bCs/>
          <w:szCs w:val="21"/>
        </w:rPr>
        <w:t>按第二章磋商供应商须知第20条规定进行磋商及应答报价。</w:t>
      </w:r>
    </w:p>
    <w:p>
      <w:pPr>
        <w:snapToGrid w:val="0"/>
        <w:spacing w:line="360" w:lineRule="auto"/>
        <w:ind w:firstLine="422" w:firstLineChars="200"/>
        <w:jc w:val="left"/>
        <w:outlineLvl w:val="2"/>
        <w:rPr>
          <w:rFonts w:ascii="宋体" w:hAnsi="宋体" w:cs="宋体"/>
          <w:b/>
          <w:szCs w:val="21"/>
        </w:rPr>
      </w:pPr>
      <w:bookmarkStart w:id="19" w:name="_Toc27042"/>
      <w:r>
        <w:rPr>
          <w:rFonts w:hint="eastAsia" w:ascii="宋体" w:hAnsi="宋体" w:cs="宋体"/>
          <w:b/>
          <w:szCs w:val="21"/>
        </w:rPr>
        <w:t>（三）详细评审</w:t>
      </w:r>
      <w:bookmarkEnd w:id="19"/>
    </w:p>
    <w:p>
      <w:pPr>
        <w:snapToGrid w:val="0"/>
        <w:spacing w:line="360" w:lineRule="auto"/>
        <w:ind w:firstLine="420" w:firstLineChars="200"/>
        <w:jc w:val="left"/>
        <w:rPr>
          <w:rFonts w:ascii="宋体" w:hAnsi="宋体" w:cs="宋体"/>
          <w:bCs/>
          <w:kern w:val="0"/>
          <w:szCs w:val="21"/>
        </w:rPr>
      </w:pPr>
      <w:r>
        <w:rPr>
          <w:rFonts w:hint="eastAsia" w:ascii="宋体" w:hAnsi="宋体" w:cs="宋体"/>
          <w:bCs/>
          <w:szCs w:val="21"/>
        </w:rPr>
        <w:t>对进入详细评审的供应商，采用百分制综合评分法评审。计分办法（按四舍五入取至百分位）：</w:t>
      </w:r>
    </w:p>
    <w:bookmarkEnd w:id="10"/>
    <w:p>
      <w:pPr>
        <w:spacing w:line="360" w:lineRule="auto"/>
        <w:ind w:firstLine="420" w:firstLineChars="200"/>
      </w:pPr>
      <w:r>
        <w:rPr>
          <w:rFonts w:hint="eastAsia"/>
        </w:rPr>
        <w:t>1．价格分…………………………………………………………………………满分30分</w:t>
      </w:r>
    </w:p>
    <w:p>
      <w:pPr>
        <w:spacing w:line="360" w:lineRule="auto"/>
        <w:ind w:firstLine="210" w:firstLineChars="100"/>
      </w:pPr>
      <w:r>
        <w:rPr>
          <w:rFonts w:hint="eastAsia"/>
        </w:rPr>
        <w:t>（1）通过资格性和符合性审查，以实质上响应满足采购文件要求的最低磋商报价作为评标基准价。磋商人有效最低报价（金额）</w:t>
      </w:r>
    </w:p>
    <w:p>
      <w:pPr>
        <w:spacing w:line="460" w:lineRule="exact"/>
        <w:ind w:firstLine="210" w:firstLineChars="100"/>
        <w:rPr>
          <w:rFonts w:ascii="仿宋" w:hAnsi="仿宋" w:eastAsia="仿宋"/>
          <w:szCs w:val="21"/>
        </w:rPr>
      </w:pPr>
      <w:r>
        <w:rPr>
          <w:rFonts w:hint="eastAsia"/>
          <w:szCs w:val="21"/>
        </w:rPr>
        <w:t>（2）</w:t>
      </w:r>
      <w:r>
        <w:rPr>
          <w:rFonts w:hint="eastAsia" w:asciiTheme="minorEastAsia" w:hAnsiTheme="minorEastAsia"/>
          <w:szCs w:val="21"/>
        </w:rPr>
        <w:t>投标报价得分</w:t>
      </w:r>
      <w:r>
        <w:rPr>
          <w:rFonts w:asciiTheme="minorEastAsia" w:hAnsiTheme="minorEastAsia"/>
          <w:szCs w:val="21"/>
        </w:rPr>
        <w:t>=(评标基准价／投标报价)×100</w:t>
      </w:r>
    </w:p>
    <w:p>
      <w:pPr>
        <w:spacing w:line="360" w:lineRule="auto"/>
        <w:ind w:firstLine="210" w:firstLineChars="100"/>
      </w:pPr>
      <w:r>
        <w:rPr>
          <w:rFonts w:hint="eastAsia"/>
        </w:rPr>
        <w:t>（3）为保障项目进度和质量，确保成交供应商人正常履约，某磋商人磋商价明显低于其它通过资格性和符合性审查的磋商人的，必须提供：1、磋商人近三年来的企业制造费用、项目设备员材料采购价格浮动说明复印件；2、提供规范的报价详细说明与依据（包括所有产品工程量清单分项价格、总价措施项目费（环境保护费、文明施工费、安全施工费、检验试验配合费、雨季施工增加费、脚手架工程费等）、税金、利润点、管理费、保证金费、预备费、其他等）供评审核验；3、提供至少2个类似业绩的费用成本组成明细（提供该合同复印件，验收报告，原件现场核查），且相关资料真实性及合理性必须完全为磋商（评标）小组所接受，否则磋商（评标）小组有权将该磋商报价视为“低于成本”或者“明显不合理并有可能影响商品质量或不能诚信履约”，其磋商无效。</w:t>
      </w:r>
    </w:p>
    <w:p>
      <w:pPr>
        <w:spacing w:line="360" w:lineRule="auto"/>
        <w:ind w:firstLine="420" w:firstLineChars="200"/>
      </w:pPr>
      <w:r>
        <w:rPr>
          <w:rFonts w:hint="eastAsia"/>
        </w:rPr>
        <w:t>2．服务方案分……………………………………………………………………………68分</w:t>
      </w:r>
    </w:p>
    <w:p>
      <w:pPr>
        <w:spacing w:line="360" w:lineRule="auto"/>
        <w:ind w:firstLine="420" w:firstLineChars="200"/>
      </w:pPr>
      <w:r>
        <w:rPr>
          <w:rFonts w:hint="eastAsia"/>
        </w:rPr>
        <w:t>(1)设计方案(满分28分)</w:t>
      </w:r>
    </w:p>
    <w:p>
      <w:pPr>
        <w:spacing w:line="360" w:lineRule="auto"/>
      </w:pPr>
      <w:r>
        <w:rPr>
          <w:rFonts w:hint="eastAsia"/>
        </w:rPr>
        <w:t>评委对供应商的响应文件中提供的效果图、设计说明、效果体现等方面进行综合评定，集体讨论确定各供应商所属档次，由各评委在相应档次内独立打分。</w:t>
      </w:r>
    </w:p>
    <w:p>
      <w:pPr>
        <w:spacing w:line="360" w:lineRule="auto"/>
        <w:ind w:firstLine="420" w:firstLineChars="200"/>
      </w:pPr>
      <w:r>
        <w:rPr>
          <w:rFonts w:hint="eastAsia"/>
        </w:rPr>
        <w:t>一档(10分)：设计方案一般。</w:t>
      </w:r>
    </w:p>
    <w:p>
      <w:pPr>
        <w:spacing w:line="360" w:lineRule="auto"/>
        <w:ind w:firstLine="420" w:firstLineChars="200"/>
      </w:pPr>
      <w:r>
        <w:rPr>
          <w:rFonts w:hint="eastAsia"/>
        </w:rPr>
        <w:t>二档(16分)：设计方案良好。</w:t>
      </w:r>
    </w:p>
    <w:p>
      <w:pPr>
        <w:spacing w:line="360" w:lineRule="auto"/>
        <w:ind w:firstLine="420" w:firstLineChars="200"/>
      </w:pPr>
      <w:r>
        <w:rPr>
          <w:rFonts w:hint="eastAsia"/>
        </w:rPr>
        <w:t>三档(22分)：设计方案较好。</w:t>
      </w:r>
    </w:p>
    <w:p>
      <w:pPr>
        <w:spacing w:line="360" w:lineRule="auto"/>
        <w:ind w:firstLine="420" w:firstLineChars="200"/>
      </w:pPr>
      <w:r>
        <w:rPr>
          <w:rFonts w:hint="eastAsia"/>
        </w:rPr>
        <w:t>四档(28分)：设计方案优秀。</w:t>
      </w:r>
    </w:p>
    <w:p>
      <w:pPr>
        <w:spacing w:line="360" w:lineRule="auto"/>
        <w:ind w:firstLine="420" w:firstLineChars="200"/>
      </w:pPr>
      <w:r>
        <w:rPr>
          <w:rFonts w:hint="eastAsia"/>
        </w:rPr>
        <w:t>(2)制作进度方案(满分20分)</w:t>
      </w:r>
    </w:p>
    <w:p>
      <w:pPr>
        <w:spacing w:line="360" w:lineRule="auto"/>
      </w:pPr>
      <w:r>
        <w:rPr>
          <w:rFonts w:hint="eastAsia"/>
        </w:rPr>
        <w:t>评委对供应商的响应文件中提供的实施进度案，从项目理解、项目实施计划、人力物力安排等方面进行综合评定，集体讨论确定各供应商所属档次，由各评委在相应档次内独立打分。</w:t>
      </w:r>
    </w:p>
    <w:p>
      <w:pPr>
        <w:spacing w:line="360" w:lineRule="auto"/>
        <w:ind w:firstLine="420" w:firstLineChars="200"/>
      </w:pPr>
      <w:r>
        <w:rPr>
          <w:rFonts w:hint="eastAsia"/>
        </w:rPr>
        <w:t>一档(5分)：制作进度方案一般。</w:t>
      </w:r>
    </w:p>
    <w:p>
      <w:pPr>
        <w:spacing w:line="360" w:lineRule="auto"/>
        <w:ind w:firstLine="420" w:firstLineChars="200"/>
      </w:pPr>
      <w:r>
        <w:rPr>
          <w:rFonts w:hint="eastAsia"/>
        </w:rPr>
        <w:t>二档(10分)：制作进度方案良好。</w:t>
      </w:r>
    </w:p>
    <w:p>
      <w:pPr>
        <w:spacing w:line="360" w:lineRule="auto"/>
        <w:ind w:firstLine="420" w:firstLineChars="200"/>
      </w:pPr>
      <w:r>
        <w:rPr>
          <w:rFonts w:hint="eastAsia"/>
        </w:rPr>
        <w:t>三档(15分)：制作进度方案较好。</w:t>
      </w:r>
    </w:p>
    <w:p>
      <w:pPr>
        <w:spacing w:line="360" w:lineRule="auto"/>
        <w:ind w:firstLine="420" w:firstLineChars="200"/>
      </w:pPr>
      <w:r>
        <w:rPr>
          <w:rFonts w:hint="eastAsia"/>
        </w:rPr>
        <w:t>四档(20分)：制作进度方案优秀。</w:t>
      </w:r>
    </w:p>
    <w:p>
      <w:pPr>
        <w:spacing w:line="360" w:lineRule="auto"/>
        <w:ind w:firstLine="420" w:firstLineChars="200"/>
      </w:pPr>
      <w:r>
        <w:rPr>
          <w:rFonts w:hint="eastAsia"/>
        </w:rPr>
        <w:t>(3)服务质量保障方案(满分20分)评委对供应商的响应文件中提供的服务质量保障方案，从完成期、服务承诺、接到招标单位电话通知响应程度、故障响应时间等方面进行综合评定，集体讨论确定各供应商所属档次，由各评委在相应档次内独立打分。</w:t>
      </w:r>
    </w:p>
    <w:p>
      <w:pPr>
        <w:spacing w:line="360" w:lineRule="auto"/>
        <w:ind w:firstLine="420" w:firstLineChars="200"/>
      </w:pPr>
      <w:r>
        <w:rPr>
          <w:rFonts w:hint="eastAsia"/>
        </w:rPr>
        <w:t>一档(5分)：服务质量保障方案一般。</w:t>
      </w:r>
    </w:p>
    <w:p>
      <w:pPr>
        <w:spacing w:line="360" w:lineRule="auto"/>
        <w:ind w:firstLine="420" w:firstLineChars="200"/>
      </w:pPr>
      <w:r>
        <w:rPr>
          <w:rFonts w:hint="eastAsia"/>
        </w:rPr>
        <w:t>二档(10分)：服务质量保障方案良好。</w:t>
      </w:r>
    </w:p>
    <w:p>
      <w:pPr>
        <w:spacing w:line="360" w:lineRule="auto"/>
        <w:ind w:firstLine="420" w:firstLineChars="200"/>
      </w:pPr>
      <w:r>
        <w:rPr>
          <w:rFonts w:hint="eastAsia"/>
        </w:rPr>
        <w:t>三档(15分)：服务质量保障方案较好。</w:t>
      </w:r>
    </w:p>
    <w:p>
      <w:pPr>
        <w:spacing w:line="360" w:lineRule="auto"/>
        <w:ind w:firstLine="420" w:firstLineChars="200"/>
      </w:pPr>
      <w:r>
        <w:rPr>
          <w:rFonts w:hint="eastAsia"/>
        </w:rPr>
        <w:t>四档(20分)：服务质量保障方案优秀。</w:t>
      </w:r>
    </w:p>
    <w:p>
      <w:pPr>
        <w:spacing w:line="360" w:lineRule="auto"/>
        <w:ind w:firstLine="420" w:firstLineChars="200"/>
      </w:pPr>
      <w:r>
        <w:rPr>
          <w:rFonts w:hint="eastAsia"/>
        </w:rPr>
        <w:t>3.业绩分……………………………………………………………………………………2分</w:t>
      </w:r>
    </w:p>
    <w:p>
      <w:pPr>
        <w:spacing w:line="360" w:lineRule="auto"/>
        <w:ind w:firstLine="420" w:firstLineChars="200"/>
      </w:pPr>
      <w:r>
        <w:rPr>
          <w:rFonts w:hint="eastAsia"/>
        </w:rPr>
        <w:t>(1)供应商2020年04月1日起至今完成类似项目业绩的，每提供一个得2分，没有同类项目业绩的不得分(业绩须提供合同复印件或中标/成交通知书复印件等相关业绩证明，否则不得分)。(满分为2分)（</w:t>
      </w:r>
    </w:p>
    <w:p>
      <w:pPr>
        <w:spacing w:line="360" w:lineRule="auto"/>
        <w:ind w:firstLine="420" w:firstLineChars="200"/>
      </w:pPr>
    </w:p>
    <w:p>
      <w:pPr>
        <w:spacing w:line="360" w:lineRule="auto"/>
        <w:ind w:firstLine="420" w:firstLineChars="200"/>
      </w:pPr>
      <w:r>
        <w:rPr>
          <w:rFonts w:hint="eastAsia"/>
        </w:rPr>
        <w:t>4.总得分＝1＋2＋3。</w:t>
      </w:r>
    </w:p>
    <w:p>
      <w:pPr>
        <w:pStyle w:val="5"/>
        <w:spacing w:line="360" w:lineRule="auto"/>
        <w:ind w:firstLine="420" w:firstLineChars="200"/>
        <w:rPr>
          <w:rFonts w:hAnsi="宋体" w:cs="宋体"/>
        </w:rPr>
      </w:pPr>
      <w:r>
        <w:rPr>
          <w:rFonts w:hint="eastAsia" w:hAnsi="宋体" w:cs="宋体"/>
        </w:rPr>
        <w:t>备注：以上各项均由评委独立评定，将评委的分数进行平均，计算出各竞标人的得分。</w:t>
      </w:r>
    </w:p>
    <w:p>
      <w:pPr>
        <w:pStyle w:val="5"/>
        <w:spacing w:line="360" w:lineRule="auto"/>
        <w:outlineLvl w:val="1"/>
        <w:rPr>
          <w:rFonts w:hAnsi="宋体" w:cs="宋体"/>
          <w:b/>
          <w:bCs/>
          <w:kern w:val="0"/>
          <w:szCs w:val="21"/>
        </w:rPr>
      </w:pPr>
      <w:bookmarkStart w:id="20" w:name="_Toc4875"/>
      <w:bookmarkStart w:id="21" w:name="_Toc31680"/>
      <w:r>
        <w:rPr>
          <w:rFonts w:hint="eastAsia" w:hAnsi="宋体" w:cs="宋体"/>
          <w:b/>
          <w:bCs/>
          <w:kern w:val="0"/>
          <w:szCs w:val="21"/>
        </w:rPr>
        <w:t>三、推荐中标候选供应商原则</w:t>
      </w:r>
      <w:bookmarkEnd w:id="20"/>
      <w:bookmarkEnd w:id="21"/>
    </w:p>
    <w:p>
      <w:pPr>
        <w:pStyle w:val="5"/>
        <w:spacing w:line="360" w:lineRule="auto"/>
        <w:ind w:firstLine="420" w:firstLineChars="200"/>
        <w:rPr>
          <w:rFonts w:hAnsi="宋体" w:cs="宋体"/>
          <w:bCs/>
        </w:rPr>
      </w:pPr>
      <w:r>
        <w:rPr>
          <w:rFonts w:hint="eastAsia" w:hAnsi="宋体" w:cs="宋体"/>
          <w:bCs/>
        </w:rPr>
        <w:t>（一）磋商小组将根据总得分由高到低排列次序并推荐三名成交候选供应商（总得分相同时，以</w:t>
      </w:r>
      <w:r>
        <w:rPr>
          <w:rFonts w:hint="eastAsia" w:hAnsi="宋体" w:cs="宋体"/>
          <w:bCs/>
          <w:szCs w:val="21"/>
        </w:rPr>
        <w:t>评标报价</w:t>
      </w:r>
      <w:r>
        <w:rPr>
          <w:rFonts w:hint="eastAsia" w:hAnsi="宋体" w:cs="宋体"/>
          <w:bCs/>
        </w:rPr>
        <w:t>由高到低顺序排列；总得分相同且</w:t>
      </w:r>
      <w:r>
        <w:rPr>
          <w:rFonts w:hint="eastAsia" w:hAnsi="宋体" w:cs="宋体"/>
          <w:bCs/>
          <w:szCs w:val="21"/>
        </w:rPr>
        <w:t>评标报价</w:t>
      </w:r>
      <w:r>
        <w:rPr>
          <w:rFonts w:hint="eastAsia" w:hAnsi="宋体" w:cs="宋体"/>
          <w:bCs/>
        </w:rPr>
        <w:t>相同的，按</w:t>
      </w:r>
      <w:r>
        <w:rPr>
          <w:rFonts w:hint="eastAsia" w:hAnsi="宋体" w:cs="宋体"/>
          <w:bCs/>
          <w:spacing w:val="-12"/>
        </w:rPr>
        <w:t>产品技术性能分</w:t>
      </w:r>
      <w:r>
        <w:rPr>
          <w:rFonts w:hint="eastAsia" w:hAnsi="宋体" w:cs="宋体"/>
          <w:bCs/>
        </w:rPr>
        <w:t>由高到低顺序排列）。</w:t>
      </w:r>
      <w:r>
        <w:rPr>
          <w:rFonts w:hint="eastAsia" w:hAnsi="宋体" w:cs="宋体"/>
          <w:b/>
        </w:rPr>
        <w:t>授权磋商小组确定综合得分最高的第一成交候选人为成交人。</w:t>
      </w:r>
      <w:r>
        <w:rPr>
          <w:rFonts w:hint="eastAsia" w:hAnsi="宋体" w:cs="宋体"/>
          <w:bCs/>
        </w:rPr>
        <w:t>排名第一的成交候选人放弃中标、因不可抗力提出不能履行合同，或者磋商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其余以此类推。采购人也可以决定重新采购。</w:t>
      </w:r>
    </w:p>
    <w:p>
      <w:pPr>
        <w:pStyle w:val="5"/>
        <w:spacing w:line="360" w:lineRule="auto"/>
        <w:ind w:firstLine="420" w:firstLineChars="200"/>
        <w:rPr>
          <w:rFonts w:hAnsi="宋体" w:cs="宋体"/>
        </w:rPr>
      </w:pPr>
      <w:r>
        <w:rPr>
          <w:rFonts w:hint="eastAsia" w:hAnsi="宋体" w:cs="宋体"/>
          <w:bCs/>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p>
      <w:pPr>
        <w:snapToGrid w:val="0"/>
        <w:spacing w:line="360" w:lineRule="auto"/>
        <w:ind w:firstLine="422"/>
        <w:rPr>
          <w:rFonts w:ascii="宋体" w:hAnsi="宋体" w:cs="宋体"/>
          <w:szCs w:val="21"/>
        </w:rPr>
      </w:pPr>
    </w:p>
    <w:p>
      <w:bookmarkStart w:id="22" w:name="_GoBack"/>
      <w:bookmarkEnd w:id="22"/>
    </w:p>
    <w:p/>
    <w:p/>
    <w:p/>
    <w:p>
      <w:pPr>
        <w:pStyle w:val="4"/>
        <w:ind w:left="5250"/>
      </w:pPr>
    </w:p>
    <w:p>
      <w:pPr>
        <w:pStyle w:val="4"/>
        <w:ind w:left="5250"/>
      </w:pPr>
    </w:p>
    <w:p/>
    <w:sectPr>
      <w:footerReference r:id="rId3" w:type="default"/>
      <w:pgSz w:w="11906" w:h="16838"/>
      <w:pgMar w:top="1134" w:right="1134" w:bottom="1134" w:left="113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2" o:spid="_x0000_s4097" o:spt="202" type="#_x0000_t202" style="position:absolute;left:0pt;margin-top:0pt;height:144pt;width:144pt;mso-position-horizontal:center;mso-position-horizontal-relative:margin;mso-wrap-style:none;z-index:251659264;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- 7 -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zZmUxMTJmMzEwYzc3MTAxNjI1Y2M2ZjFjY2FjMGQifQ=="/>
  </w:docVars>
  <w:rsids>
    <w:rsidRoot w:val="60765B49"/>
    <w:rsid w:val="000B782A"/>
    <w:rsid w:val="00333C9B"/>
    <w:rsid w:val="005B536F"/>
    <w:rsid w:val="009C23D4"/>
    <w:rsid w:val="00CE6B76"/>
    <w:rsid w:val="00D66ABE"/>
    <w:rsid w:val="00DF5FEB"/>
    <w:rsid w:val="00E32FF8"/>
    <w:rsid w:val="00E509B8"/>
    <w:rsid w:val="00E6616B"/>
    <w:rsid w:val="00F94E64"/>
    <w:rsid w:val="3144146E"/>
    <w:rsid w:val="3C182E5F"/>
    <w:rsid w:val="422620CE"/>
    <w:rsid w:val="44BE4926"/>
    <w:rsid w:val="5DF30FAD"/>
    <w:rsid w:val="60765B49"/>
    <w:rsid w:val="64025E1B"/>
    <w:rsid w:val="644D16E1"/>
    <w:rsid w:val="65035BD1"/>
    <w:rsid w:val="6DEA79C5"/>
    <w:rsid w:val="7B8C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4"/>
    <w:qFormat/>
    <w:uiPriority w:val="0"/>
    <w:rPr>
      <w:rFonts w:ascii="Calibri" w:eastAsia="Calibri"/>
      <w:b/>
      <w:spacing w:val="-8"/>
      <w:sz w:val="44"/>
    </w:rPr>
  </w:style>
  <w:style w:type="paragraph" w:styleId="4">
    <w:name w:val="Date"/>
    <w:basedOn w:val="1"/>
    <w:next w:val="1"/>
    <w:qFormat/>
    <w:uiPriority w:val="0"/>
    <w:pPr>
      <w:ind w:left="100" w:leftChars="2500"/>
    </w:pPr>
    <w:rPr>
      <w:rFonts w:ascii="宋体" w:hAnsi="Courier New"/>
      <w:bCs/>
      <w:kern w:val="0"/>
      <w:sz w:val="24"/>
      <w:szCs w:val="20"/>
    </w:rPr>
  </w:style>
  <w:style w:type="paragraph" w:styleId="5">
    <w:name w:val="Plain Text"/>
    <w:basedOn w:val="1"/>
    <w:next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character" w:customStyle="1" w:styleId="11">
    <w:name w:val="font21"/>
    <w:basedOn w:val="10"/>
    <w:qFormat/>
    <w:uiPriority w:val="0"/>
    <w:rPr>
      <w:rFonts w:hint="eastAsia" w:ascii="宋体" w:hAnsi="宋体" w:eastAsia="宋体" w:cs="宋体"/>
      <w:color w:val="000000"/>
      <w:sz w:val="20"/>
      <w:szCs w:val="20"/>
      <w:u w:val="none"/>
    </w:rPr>
  </w:style>
  <w:style w:type="character" w:customStyle="1" w:styleId="12">
    <w:name w:val="font41"/>
    <w:basedOn w:val="10"/>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7675</Words>
  <Characters>8920</Characters>
  <Lines>70</Lines>
  <Paragraphs>19</Paragraphs>
  <TotalTime>1</TotalTime>
  <ScaleCrop>false</ScaleCrop>
  <LinksUpToDate>false</LinksUpToDate>
  <CharactersWithSpaces>9056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2023-04-03T09:42:00Z</dcterms:created>
  <dc:creator>小阿姨</dc:creator>
  <cp:lastModifiedBy>日月星辰</cp:lastModifiedBy>
  <dcterms:modified xsi:type="dcterms:W3CDTF">2023-04-27T02:07:05Z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68ECF29AF392481580F07D88F335976A_11</vt:lpwstr>
  </property>
</Properties>
</file>