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17"/>
        <w:ind w:left="-708" w:leftChars="-337"/>
        <w:rPr>
          <w:rFonts w:cs="宋体"/>
          <w:b/>
          <w:bCs/>
          <w:sz w:val="28"/>
          <w:szCs w:val="28"/>
        </w:rPr>
      </w:pPr>
      <w:r>
        <w:rPr>
          <w:rFonts w:hint="eastAsia" w:cs="宋体"/>
          <w:b/>
          <w:bCs/>
          <w:sz w:val="28"/>
          <w:szCs w:val="28"/>
        </w:rPr>
        <w:t>一、采购清单、技术规格参数、质量标准和要求</w:t>
      </w:r>
    </w:p>
    <w:p>
      <w:pPr>
        <w:pStyle w:val="17"/>
        <w:ind w:left="-708" w:leftChars="-337"/>
        <w:rPr>
          <w:sz w:val="28"/>
          <w:szCs w:val="28"/>
        </w:rPr>
      </w:pPr>
      <w:r>
        <w:rPr>
          <w:rFonts w:hint="eastAsia" w:cs="宋体"/>
          <w:b/>
          <w:bCs/>
        </w:rPr>
        <w:t>（一）采购需求：</w:t>
      </w:r>
      <w:r>
        <w:rPr>
          <w:b/>
          <w:bCs/>
        </w:rPr>
        <w:t> </w:t>
      </w:r>
    </w:p>
    <w:p>
      <w:pPr>
        <w:spacing w:line="360" w:lineRule="exact"/>
        <w:ind w:firstLine="422"/>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贺州市120承担着日常、危急、重伤病员的院前急救和转院运送工作以及重特大突发事件和灾害事故伤病员的院前急救工作。目前区县分中心120指挥调度信息化建设处于空白。本次项目通过升级贺州120指挥调度系统为区县提供信息系统统一服务平台，区县分中心通过数据及语音专线接入贺州市120指挥调度系统，为区县120指挥调度提供信息化支撑。</w:t>
      </w:r>
    </w:p>
    <w:p>
      <w:pPr>
        <w:spacing w:line="360" w:lineRule="exact"/>
        <w:ind w:firstLine="422"/>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为</w:t>
      </w:r>
      <w:r>
        <w:rPr>
          <w:rFonts w:hint="eastAsia" w:ascii="宋体" w:hAnsi="宋体" w:cs="宋体"/>
          <w:color w:val="000000" w:themeColor="text1"/>
          <w14:textFill>
            <w14:solidFill>
              <w14:schemeClr w14:val="tx1"/>
            </w14:solidFill>
          </w14:textFill>
        </w:rPr>
        <w:t>支持昭平县人民医院的院前医疗急救信息化</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根据对项目实际的初步评估和需求分析，为了确保项目的顺利进行并实现预期目标</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我院</w:t>
      </w:r>
      <w:r>
        <w:rPr>
          <w:rFonts w:hint="eastAsia" w:ascii="宋体" w:hAnsi="宋体" w:cs="宋体"/>
          <w:color w:val="000000" w:themeColor="text1"/>
          <w:lang w:eastAsia="zh-CN"/>
          <w14:textFill>
            <w14:solidFill>
              <w14:schemeClr w14:val="tx1"/>
            </w14:solidFill>
          </w14:textFill>
        </w:rPr>
        <w:t>对</w:t>
      </w:r>
      <w:r>
        <w:rPr>
          <w:rFonts w:hint="eastAsia" w:ascii="宋体" w:hAnsi="宋体" w:cs="宋体"/>
          <w:color w:val="000000" w:themeColor="text1"/>
          <w14:textFill>
            <w14:solidFill>
              <w14:schemeClr w14:val="tx1"/>
            </w14:solidFill>
          </w14:textFill>
        </w:rPr>
        <w:t>院前医疗急救所需的系统和设施设备</w:t>
      </w:r>
      <w:r>
        <w:rPr>
          <w:rFonts w:hint="eastAsia" w:ascii="宋体" w:hAnsi="宋体" w:cs="宋体"/>
          <w:color w:val="000000" w:themeColor="text1"/>
          <w:lang w:eastAsia="zh-CN"/>
          <w14:textFill>
            <w14:solidFill>
              <w14:schemeClr w14:val="tx1"/>
            </w14:solidFill>
          </w14:textFill>
        </w:rPr>
        <w:t>进行系统建设及设施设备购置</w:t>
      </w:r>
      <w:r>
        <w:rPr>
          <w:rFonts w:hint="eastAsia" w:ascii="宋体" w:hAnsi="宋体" w:cs="宋体"/>
          <w:color w:val="000000" w:themeColor="text1"/>
          <w14:textFill>
            <w14:solidFill>
              <w14:schemeClr w14:val="tx1"/>
            </w14:solidFill>
          </w14:textFill>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3777"/>
        <w:gridCol w:w="1763"/>
        <w:gridCol w:w="1150"/>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pPr>
              <w:pStyle w:val="5"/>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14:textFill>
                  <w14:solidFill>
                    <w14:schemeClr w14:val="tx1"/>
                  </w14:solidFill>
                </w14:textFill>
              </w:rPr>
              <w:t>序号</w:t>
            </w:r>
          </w:p>
        </w:tc>
        <w:tc>
          <w:tcPr>
            <w:tcW w:w="3777" w:type="dxa"/>
          </w:tcPr>
          <w:p>
            <w:pPr>
              <w:pStyle w:val="5"/>
              <w:jc w:val="center"/>
              <w:rPr>
                <w:rFonts w:hint="eastAsia" w:ascii="宋体" w:hAnsi="宋体" w:eastAsia="宋体" w:cs="宋体"/>
                <w:b w:val="0"/>
                <w:color w:val="000000" w:themeColor="text1"/>
                <w:spacing w:val="0"/>
                <w:sz w:val="21"/>
                <w:lang w:eastAsia="zh-CN"/>
                <w14:textFill>
                  <w14:solidFill>
                    <w14:schemeClr w14:val="tx1"/>
                  </w14:solidFill>
                </w14:textFill>
              </w:rPr>
            </w:pPr>
            <w:r>
              <w:rPr>
                <w:rFonts w:hint="eastAsia" w:ascii="宋体" w:hAnsi="宋体" w:eastAsia="宋体" w:cs="宋体"/>
                <w:b w:val="0"/>
                <w:color w:val="000000" w:themeColor="text1"/>
                <w:spacing w:val="0"/>
                <w:sz w:val="21"/>
                <w:lang w:eastAsia="zh-CN"/>
                <w14:textFill>
                  <w14:solidFill>
                    <w14:schemeClr w14:val="tx1"/>
                  </w14:solidFill>
                </w14:textFill>
              </w:rPr>
              <w:t>采购内容</w:t>
            </w:r>
          </w:p>
        </w:tc>
        <w:tc>
          <w:tcPr>
            <w:tcW w:w="1763" w:type="dxa"/>
          </w:tcPr>
          <w:p>
            <w:pPr>
              <w:pStyle w:val="5"/>
              <w:jc w:val="center"/>
              <w:rPr>
                <w:rFonts w:hint="eastAsia" w:ascii="宋体" w:hAnsi="宋体" w:eastAsia="宋体" w:cs="宋体"/>
                <w:b w:val="0"/>
                <w:color w:val="000000" w:themeColor="text1"/>
                <w:spacing w:val="0"/>
                <w:sz w:val="21"/>
                <w:lang w:eastAsia="zh-CN"/>
                <w14:textFill>
                  <w14:solidFill>
                    <w14:schemeClr w14:val="tx1"/>
                  </w14:solidFill>
                </w14:textFill>
              </w:rPr>
            </w:pPr>
            <w:r>
              <w:rPr>
                <w:rFonts w:hint="eastAsia" w:ascii="宋体" w:hAnsi="宋体" w:eastAsia="宋体" w:cs="宋体"/>
                <w:b w:val="0"/>
                <w:color w:val="000000" w:themeColor="text1"/>
                <w:spacing w:val="0"/>
                <w:sz w:val="21"/>
                <w:lang w:eastAsia="zh-CN"/>
                <w14:textFill>
                  <w14:solidFill>
                    <w14:schemeClr w14:val="tx1"/>
                  </w14:solidFill>
                </w14:textFill>
              </w:rPr>
              <w:t>类别</w:t>
            </w:r>
          </w:p>
        </w:tc>
        <w:tc>
          <w:tcPr>
            <w:tcW w:w="1150" w:type="dxa"/>
            <w:vAlign w:val="top"/>
          </w:tcPr>
          <w:p>
            <w:pPr>
              <w:pStyle w:val="5"/>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lang w:eastAsia="zh-CN"/>
                <w14:textFill>
                  <w14:solidFill>
                    <w14:schemeClr w14:val="tx1"/>
                  </w14:solidFill>
                </w14:textFill>
              </w:rPr>
              <w:t>单位</w:t>
            </w:r>
          </w:p>
        </w:tc>
        <w:tc>
          <w:tcPr>
            <w:tcW w:w="1113" w:type="dxa"/>
            <w:vAlign w:val="top"/>
          </w:tcPr>
          <w:p>
            <w:pPr>
              <w:pStyle w:val="5"/>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pPr>
              <w:pStyle w:val="5"/>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14:textFill>
                  <w14:solidFill>
                    <w14:schemeClr w14:val="tx1"/>
                  </w14:solidFill>
                </w14:textFill>
              </w:rPr>
              <w:t>1</w:t>
            </w:r>
          </w:p>
        </w:tc>
        <w:tc>
          <w:tcPr>
            <w:tcW w:w="3777" w:type="dxa"/>
            <w:vAlign w:val="center"/>
          </w:tcPr>
          <w:p>
            <w:pPr>
              <w:widowControl/>
              <w:ind w:left="0" w:leftChars="0" w:firstLine="0" w:firstLineChars="0"/>
              <w:jc w:val="center"/>
              <w:rPr>
                <w:rFonts w:hint="eastAsia" w:ascii="宋体" w:hAnsi="宋体" w:eastAsia="宋体" w:cs="宋体"/>
                <w:b w:val="0"/>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b w:val="0"/>
                <w:color w:val="000000" w:themeColor="text1"/>
                <w:spacing w:val="0"/>
                <w:kern w:val="2"/>
                <w:sz w:val="21"/>
                <w:szCs w:val="21"/>
                <w:lang w:val="en-US" w:eastAsia="zh-CN" w:bidi="ar-SA"/>
                <w14:textFill>
                  <w14:solidFill>
                    <w14:schemeClr w14:val="tx1"/>
                  </w14:solidFill>
                </w14:textFill>
              </w:rPr>
              <w:t>受理调度子系统</w:t>
            </w:r>
          </w:p>
        </w:tc>
        <w:tc>
          <w:tcPr>
            <w:tcW w:w="1763" w:type="dxa"/>
          </w:tcPr>
          <w:p>
            <w:pPr>
              <w:pStyle w:val="5"/>
              <w:jc w:val="center"/>
              <w:rPr>
                <w:rFonts w:hint="eastAsia" w:ascii="宋体" w:hAnsi="宋体" w:eastAsia="宋体" w:cs="宋体"/>
                <w:b w:val="0"/>
                <w:color w:val="000000" w:themeColor="text1"/>
                <w:spacing w:val="0"/>
                <w:sz w:val="21"/>
                <w:lang w:eastAsia="zh-CN"/>
                <w14:textFill>
                  <w14:solidFill>
                    <w14:schemeClr w14:val="tx1"/>
                  </w14:solidFill>
                </w14:textFill>
              </w:rPr>
            </w:pPr>
            <w:r>
              <w:rPr>
                <w:rFonts w:hint="eastAsia" w:ascii="宋体" w:hAnsi="宋体" w:eastAsia="宋体" w:cs="宋体"/>
                <w:b w:val="0"/>
                <w:color w:val="000000" w:themeColor="text1"/>
                <w:spacing w:val="0"/>
                <w:sz w:val="21"/>
                <w:lang w:eastAsia="zh-CN"/>
                <w14:textFill>
                  <w14:solidFill>
                    <w14:schemeClr w14:val="tx1"/>
                  </w14:solidFill>
                </w14:textFill>
              </w:rPr>
              <w:t>服务类</w:t>
            </w:r>
          </w:p>
        </w:tc>
        <w:tc>
          <w:tcPr>
            <w:tcW w:w="1150" w:type="dxa"/>
            <w:vAlign w:val="center"/>
          </w:tcPr>
          <w:p>
            <w:pPr>
              <w:widowControl/>
              <w:ind w:left="0" w:leftChars="0" w:firstLine="0" w:firstLineChars="0"/>
              <w:jc w:val="center"/>
              <w:rPr>
                <w:rFonts w:hint="eastAsia" w:ascii="宋体" w:hAnsi="宋体" w:eastAsia="宋体" w:cs="宋体"/>
                <w:b w:val="0"/>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b w:val="0"/>
                <w:color w:val="000000" w:themeColor="text1"/>
                <w:spacing w:val="0"/>
                <w:sz w:val="21"/>
                <w:lang w:eastAsia="zh-CN"/>
                <w14:textFill>
                  <w14:solidFill>
                    <w14:schemeClr w14:val="tx1"/>
                  </w14:solidFill>
                </w14:textFill>
              </w:rPr>
              <w:t>套</w:t>
            </w:r>
          </w:p>
        </w:tc>
        <w:tc>
          <w:tcPr>
            <w:tcW w:w="1113" w:type="dxa"/>
            <w:vAlign w:val="center"/>
          </w:tcPr>
          <w:p>
            <w:pPr>
              <w:widowControl/>
              <w:ind w:left="0" w:leftChars="0" w:firstLine="0" w:firstLineChars="0"/>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kern w:val="2"/>
                <w:sz w:val="21"/>
                <w:szCs w:val="21"/>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pPr>
              <w:pStyle w:val="5"/>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14:textFill>
                  <w14:solidFill>
                    <w14:schemeClr w14:val="tx1"/>
                  </w14:solidFill>
                </w14:textFill>
              </w:rPr>
              <w:t>2</w:t>
            </w:r>
          </w:p>
        </w:tc>
        <w:tc>
          <w:tcPr>
            <w:tcW w:w="3777" w:type="dxa"/>
            <w:vAlign w:val="center"/>
          </w:tcPr>
          <w:p>
            <w:pPr>
              <w:widowControl/>
              <w:ind w:left="0" w:leftChars="0" w:firstLine="0" w:firstLineChars="0"/>
              <w:jc w:val="center"/>
              <w:rPr>
                <w:rFonts w:hint="eastAsia" w:ascii="宋体" w:hAnsi="宋体" w:eastAsia="宋体" w:cs="宋体"/>
                <w:b w:val="0"/>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b w:val="0"/>
                <w:color w:val="000000" w:themeColor="text1"/>
                <w:spacing w:val="0"/>
                <w:kern w:val="2"/>
                <w:sz w:val="21"/>
                <w:szCs w:val="21"/>
                <w:lang w:val="en-US" w:eastAsia="zh-CN" w:bidi="ar-SA"/>
                <w14:textFill>
                  <w14:solidFill>
                    <w14:schemeClr w14:val="tx1"/>
                  </w14:solidFill>
                </w14:textFill>
              </w:rPr>
              <w:t>地理信息子系统</w:t>
            </w:r>
          </w:p>
        </w:tc>
        <w:tc>
          <w:tcPr>
            <w:tcW w:w="1763" w:type="dxa"/>
          </w:tcPr>
          <w:p>
            <w:pPr>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lang w:eastAsia="zh-CN"/>
                <w14:textFill>
                  <w14:solidFill>
                    <w14:schemeClr w14:val="tx1"/>
                  </w14:solidFill>
                </w14:textFill>
              </w:rPr>
              <w:t>服务类</w:t>
            </w:r>
          </w:p>
        </w:tc>
        <w:tc>
          <w:tcPr>
            <w:tcW w:w="1150" w:type="dxa"/>
            <w:vAlign w:val="center"/>
          </w:tcPr>
          <w:p>
            <w:pPr>
              <w:widowControl/>
              <w:ind w:left="0" w:leftChars="0" w:firstLine="0" w:firstLineChars="0"/>
              <w:jc w:val="center"/>
              <w:rPr>
                <w:rFonts w:hint="eastAsia" w:ascii="宋体" w:hAnsi="宋体" w:eastAsia="宋体" w:cs="宋体"/>
                <w:b w:val="0"/>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b w:val="0"/>
                <w:color w:val="000000" w:themeColor="text1"/>
                <w:spacing w:val="0"/>
                <w:sz w:val="21"/>
                <w:lang w:eastAsia="zh-CN"/>
                <w14:textFill>
                  <w14:solidFill>
                    <w14:schemeClr w14:val="tx1"/>
                  </w14:solidFill>
                </w14:textFill>
              </w:rPr>
              <w:t>套</w:t>
            </w:r>
          </w:p>
        </w:tc>
        <w:tc>
          <w:tcPr>
            <w:tcW w:w="1113" w:type="dxa"/>
            <w:vAlign w:val="center"/>
          </w:tcPr>
          <w:p>
            <w:pPr>
              <w:widowControl/>
              <w:ind w:left="0" w:leftChars="0" w:firstLine="0" w:firstLineChars="0"/>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kern w:val="2"/>
                <w:sz w:val="21"/>
                <w:szCs w:val="21"/>
                <w:lang w:val="en-US" w:eastAsia="zh-CN" w:bidi="ar-SA"/>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pPr>
              <w:pStyle w:val="5"/>
              <w:jc w:val="center"/>
              <w:rPr>
                <w:rFonts w:hint="eastAsia" w:ascii="宋体" w:hAnsi="宋体" w:eastAsia="宋体" w:cs="宋体"/>
                <w:b w:val="0"/>
                <w:color w:val="000000" w:themeColor="text1"/>
                <w:spacing w:val="0"/>
                <w:sz w:val="21"/>
                <w:lang w:val="en-US" w:eastAsia="zh-CN"/>
                <w14:textFill>
                  <w14:solidFill>
                    <w14:schemeClr w14:val="tx1"/>
                  </w14:solidFill>
                </w14:textFill>
              </w:rPr>
            </w:pPr>
            <w:r>
              <w:rPr>
                <w:rFonts w:hint="eastAsia" w:ascii="宋体" w:hAnsi="宋体" w:eastAsia="宋体" w:cs="宋体"/>
                <w:b w:val="0"/>
                <w:color w:val="000000" w:themeColor="text1"/>
                <w:spacing w:val="0"/>
                <w:sz w:val="21"/>
                <w:lang w:val="en-US" w:eastAsia="zh-CN"/>
                <w14:textFill>
                  <w14:solidFill>
                    <w14:schemeClr w14:val="tx1"/>
                  </w14:solidFill>
                </w14:textFill>
              </w:rPr>
              <w:t>3</w:t>
            </w:r>
          </w:p>
        </w:tc>
        <w:tc>
          <w:tcPr>
            <w:tcW w:w="3777" w:type="dxa"/>
            <w:vAlign w:val="center"/>
          </w:tcPr>
          <w:p>
            <w:pPr>
              <w:widowControl/>
              <w:ind w:left="0" w:leftChars="0" w:firstLine="0" w:firstLineChars="0"/>
              <w:jc w:val="center"/>
              <w:rPr>
                <w:rFonts w:hint="eastAsia" w:ascii="宋体" w:hAnsi="宋体" w:eastAsia="宋体" w:cs="宋体"/>
                <w:b w:val="0"/>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b w:val="0"/>
                <w:color w:val="000000" w:themeColor="text1"/>
                <w:spacing w:val="0"/>
                <w:kern w:val="2"/>
                <w:sz w:val="21"/>
                <w:szCs w:val="21"/>
                <w:lang w:val="en-US" w:eastAsia="zh-CN" w:bidi="ar-SA"/>
                <w14:textFill>
                  <w14:solidFill>
                    <w14:schemeClr w14:val="tx1"/>
                  </w14:solidFill>
                </w14:textFill>
              </w:rPr>
              <w:t>急救综合管理子系统</w:t>
            </w:r>
          </w:p>
        </w:tc>
        <w:tc>
          <w:tcPr>
            <w:tcW w:w="1763" w:type="dxa"/>
          </w:tcPr>
          <w:p>
            <w:pPr>
              <w:jc w:val="center"/>
              <w:rPr>
                <w:rFonts w:hint="eastAsia"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lang w:eastAsia="zh-CN"/>
                <w14:textFill>
                  <w14:solidFill>
                    <w14:schemeClr w14:val="tx1"/>
                  </w14:solidFill>
                </w14:textFill>
              </w:rPr>
              <w:t>服务类</w:t>
            </w:r>
          </w:p>
        </w:tc>
        <w:tc>
          <w:tcPr>
            <w:tcW w:w="1150" w:type="dxa"/>
            <w:vAlign w:val="center"/>
          </w:tcPr>
          <w:p>
            <w:pPr>
              <w:widowControl/>
              <w:ind w:left="0" w:leftChars="0" w:firstLine="0" w:firstLineChars="0"/>
              <w:jc w:val="center"/>
              <w:rPr>
                <w:rFonts w:hint="eastAsia" w:ascii="宋体" w:hAnsi="宋体" w:eastAsia="宋体" w:cs="宋体"/>
                <w:b w:val="0"/>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b w:val="0"/>
                <w:color w:val="000000" w:themeColor="text1"/>
                <w:spacing w:val="0"/>
                <w:sz w:val="21"/>
                <w:lang w:eastAsia="zh-CN"/>
                <w14:textFill>
                  <w14:solidFill>
                    <w14:schemeClr w14:val="tx1"/>
                  </w14:solidFill>
                </w14:textFill>
              </w:rPr>
              <w:t>套</w:t>
            </w:r>
          </w:p>
        </w:tc>
        <w:tc>
          <w:tcPr>
            <w:tcW w:w="1113" w:type="dxa"/>
            <w:vAlign w:val="center"/>
          </w:tcPr>
          <w:p>
            <w:pPr>
              <w:widowControl/>
              <w:ind w:left="0" w:leftChars="0" w:firstLine="0" w:firstLineChars="0"/>
              <w:jc w:val="center"/>
              <w:rPr>
                <w:rFonts w:hint="eastAsia"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kern w:val="2"/>
                <w:sz w:val="21"/>
                <w:szCs w:val="21"/>
                <w:lang w:val="en-US" w:eastAsia="zh-CN" w:bidi="ar-SA"/>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pPr>
              <w:pStyle w:val="5"/>
              <w:jc w:val="center"/>
              <w:rPr>
                <w:rFonts w:hint="eastAsia" w:ascii="宋体" w:hAnsi="宋体" w:eastAsia="宋体" w:cs="宋体"/>
                <w:b w:val="0"/>
                <w:color w:val="000000" w:themeColor="text1"/>
                <w:spacing w:val="0"/>
                <w:sz w:val="21"/>
                <w:lang w:val="en-US" w:eastAsia="zh-CN"/>
                <w14:textFill>
                  <w14:solidFill>
                    <w14:schemeClr w14:val="tx1"/>
                  </w14:solidFill>
                </w14:textFill>
              </w:rPr>
            </w:pPr>
            <w:r>
              <w:rPr>
                <w:rFonts w:hint="eastAsia" w:ascii="宋体" w:hAnsi="宋体" w:eastAsia="宋体" w:cs="宋体"/>
                <w:b w:val="0"/>
                <w:color w:val="000000" w:themeColor="text1"/>
                <w:spacing w:val="0"/>
                <w:sz w:val="21"/>
                <w:lang w:val="en-US" w:eastAsia="zh-CN"/>
                <w14:textFill>
                  <w14:solidFill>
                    <w14:schemeClr w14:val="tx1"/>
                  </w14:solidFill>
                </w14:textFill>
              </w:rPr>
              <w:t>4</w:t>
            </w:r>
          </w:p>
        </w:tc>
        <w:tc>
          <w:tcPr>
            <w:tcW w:w="3777" w:type="dxa"/>
            <w:vAlign w:val="center"/>
          </w:tcPr>
          <w:p>
            <w:pPr>
              <w:widowControl/>
              <w:ind w:left="0" w:leftChars="0" w:firstLine="0" w:firstLineChars="0"/>
              <w:jc w:val="center"/>
              <w:rPr>
                <w:rFonts w:hint="eastAsia" w:ascii="宋体" w:hAnsi="宋体" w:eastAsia="宋体" w:cs="宋体"/>
                <w:b w:val="0"/>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b w:val="0"/>
                <w:color w:val="000000" w:themeColor="text1"/>
                <w:spacing w:val="0"/>
                <w:kern w:val="2"/>
                <w:sz w:val="21"/>
                <w:szCs w:val="21"/>
                <w:lang w:val="en-US" w:eastAsia="zh-CN" w:bidi="ar-SA"/>
                <w14:textFill>
                  <w14:solidFill>
                    <w14:schemeClr w14:val="tx1"/>
                  </w14:solidFill>
                </w14:textFill>
              </w:rPr>
              <w:t>数据统计分析子系统</w:t>
            </w:r>
          </w:p>
        </w:tc>
        <w:tc>
          <w:tcPr>
            <w:tcW w:w="1763" w:type="dxa"/>
          </w:tcPr>
          <w:p>
            <w:pPr>
              <w:jc w:val="center"/>
              <w:rPr>
                <w:rFonts w:hint="eastAsia"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lang w:eastAsia="zh-CN"/>
                <w14:textFill>
                  <w14:solidFill>
                    <w14:schemeClr w14:val="tx1"/>
                  </w14:solidFill>
                </w14:textFill>
              </w:rPr>
              <w:t>服务类</w:t>
            </w:r>
          </w:p>
        </w:tc>
        <w:tc>
          <w:tcPr>
            <w:tcW w:w="1150" w:type="dxa"/>
            <w:vAlign w:val="center"/>
          </w:tcPr>
          <w:p>
            <w:pPr>
              <w:widowControl/>
              <w:ind w:left="0" w:leftChars="0" w:firstLine="0" w:firstLineChars="0"/>
              <w:jc w:val="center"/>
              <w:rPr>
                <w:rFonts w:hint="eastAsia" w:ascii="宋体" w:hAnsi="宋体" w:eastAsia="宋体" w:cs="宋体"/>
                <w:b w:val="0"/>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宋体"/>
                <w:b w:val="0"/>
                <w:color w:val="000000" w:themeColor="text1"/>
                <w:spacing w:val="0"/>
                <w:sz w:val="21"/>
                <w:lang w:eastAsia="zh-CN"/>
                <w14:textFill>
                  <w14:solidFill>
                    <w14:schemeClr w14:val="tx1"/>
                  </w14:solidFill>
                </w14:textFill>
              </w:rPr>
              <w:t>套</w:t>
            </w:r>
          </w:p>
        </w:tc>
        <w:tc>
          <w:tcPr>
            <w:tcW w:w="1113" w:type="dxa"/>
            <w:vAlign w:val="center"/>
          </w:tcPr>
          <w:p>
            <w:pPr>
              <w:widowControl/>
              <w:ind w:left="0" w:leftChars="0" w:firstLine="0" w:firstLineChars="0"/>
              <w:jc w:val="center"/>
              <w:rPr>
                <w:rFonts w:hint="eastAsia"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kern w:val="2"/>
                <w:sz w:val="21"/>
                <w:szCs w:val="21"/>
                <w:lang w:val="en-US" w:eastAsia="zh-CN" w:bidi="ar-SA"/>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5" w:type="dxa"/>
            <w:gridSpan w:val="5"/>
          </w:tcPr>
          <w:p>
            <w:pPr>
              <w:pStyle w:val="5"/>
              <w:jc w:val="center"/>
              <w:rPr>
                <w:rFonts w:ascii="宋体" w:hAnsi="宋体" w:eastAsia="宋体" w:cs="宋体"/>
                <w:b w:val="0"/>
                <w:color w:val="000000" w:themeColor="text1"/>
                <w:spacing w:val="0"/>
                <w:sz w:val="21"/>
                <w14:textFill>
                  <w14:solidFill>
                    <w14:schemeClr w14:val="tx1"/>
                  </w14:solidFill>
                </w14:textFill>
              </w:rPr>
            </w:pPr>
            <w:r>
              <w:rPr>
                <w:rFonts w:hint="eastAsia" w:ascii="宋体" w:hAnsi="宋体" w:eastAsia="宋体" w:cs="宋体"/>
                <w:b w:val="0"/>
                <w:color w:val="000000" w:themeColor="text1"/>
                <w:spacing w:val="0"/>
                <w:sz w:val="21"/>
                <w14:textFill>
                  <w14:solidFill>
                    <w14:schemeClr w14:val="tx1"/>
                  </w14:solidFill>
                </w14:textFill>
              </w:rPr>
              <w:t>总计（元）</w:t>
            </w:r>
            <w:r>
              <w:rPr>
                <w:rFonts w:hint="eastAsia" w:ascii="宋体" w:hAnsi="宋体" w:eastAsia="宋体" w:cs="宋体"/>
                <w:b w:val="0"/>
                <w:color w:val="000000" w:themeColor="text1"/>
                <w:spacing w:val="0"/>
                <w:sz w:val="21"/>
                <w:lang w:eastAsia="zh-CN"/>
                <w14:textFill>
                  <w14:solidFill>
                    <w14:schemeClr w14:val="tx1"/>
                  </w14:solidFill>
                </w14:textFill>
              </w:rPr>
              <w:t>：</w:t>
            </w:r>
            <w:r>
              <w:rPr>
                <w:rFonts w:hint="eastAsia" w:ascii="宋体" w:hAnsi="宋体" w:eastAsia="宋体" w:cs="宋体"/>
                <w:b w:val="0"/>
                <w:color w:val="000000" w:themeColor="text1"/>
                <w:spacing w:val="0"/>
                <w:sz w:val="21"/>
                <w14:textFill>
                  <w14:solidFill>
                    <w14:schemeClr w14:val="tx1"/>
                  </w14:solidFill>
                </w14:textFill>
              </w:rPr>
              <w:t>1</w:t>
            </w:r>
            <w:r>
              <w:rPr>
                <w:rFonts w:hint="eastAsia" w:ascii="宋体" w:hAnsi="宋体" w:eastAsia="宋体" w:cs="宋体"/>
                <w:b w:val="0"/>
                <w:color w:val="000000" w:themeColor="text1"/>
                <w:spacing w:val="0"/>
                <w:sz w:val="21"/>
                <w:lang w:val="en-US" w:eastAsia="zh-CN"/>
                <w14:textFill>
                  <w14:solidFill>
                    <w14:schemeClr w14:val="tx1"/>
                  </w14:solidFill>
                </w14:textFill>
              </w:rPr>
              <w:t>1</w:t>
            </w:r>
            <w:r>
              <w:rPr>
                <w:rFonts w:hint="eastAsia" w:ascii="宋体" w:hAnsi="宋体" w:eastAsia="宋体" w:cs="宋体"/>
                <w:b w:val="0"/>
                <w:color w:val="000000" w:themeColor="text1"/>
                <w:spacing w:val="0"/>
                <w:sz w:val="21"/>
                <w14:textFill>
                  <w14:solidFill>
                    <w14:schemeClr w14:val="tx1"/>
                  </w14:solidFill>
                </w14:textFill>
              </w:rPr>
              <w:t>0000</w:t>
            </w:r>
          </w:p>
        </w:tc>
      </w:tr>
    </w:tbl>
    <w:p>
      <w:pPr>
        <w:widowControl/>
        <w:numPr>
          <w:ilvl w:val="0"/>
          <w:numId w:val="1"/>
        </w:numPr>
        <w:spacing w:line="360" w:lineRule="auto"/>
        <w:ind w:left="-708" w:leftChars="-337"/>
        <w:jc w:val="left"/>
      </w:pPr>
      <w:r>
        <w:rPr>
          <w:rFonts w:hint="eastAsia" w:cs="宋体"/>
          <w:b/>
          <w:bCs/>
          <w:kern w:val="0"/>
          <w:sz w:val="24"/>
          <w:szCs w:val="24"/>
        </w:rPr>
        <w:t>技术规格参数</w:t>
      </w:r>
    </w:p>
    <w:p>
      <w:pPr>
        <w:pStyle w:val="17"/>
        <w:ind w:left="-708" w:leftChars="-337"/>
      </w:pPr>
      <w:r>
        <w:rPr>
          <w:rFonts w:hint="eastAsia"/>
        </w:rPr>
        <w:t xml:space="preserve">     </w:t>
      </w:r>
      <w:r>
        <w:rPr>
          <w:rFonts w:hint="eastAsia"/>
          <w:b/>
          <w:bCs/>
        </w:rPr>
        <w:t>1、项目技术参数要求</w:t>
      </w:r>
    </w:p>
    <w:tbl>
      <w:tblPr>
        <w:tblStyle w:val="14"/>
        <w:tblpPr w:leftFromText="180" w:rightFromText="180" w:vertAnchor="text" w:horzAnchor="page" w:tblpX="1145" w:tblpY="412"/>
        <w:tblOverlap w:val="never"/>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10"/>
        <w:gridCol w:w="960"/>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9" w:type="dxa"/>
            <w:vAlign w:val="center"/>
          </w:tcPr>
          <w:p>
            <w:pPr>
              <w:adjustRightIn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110" w:type="dxa"/>
            <w:vAlign w:val="center"/>
          </w:tcPr>
          <w:p>
            <w:pPr>
              <w:adjustRightIn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采购内容</w:t>
            </w:r>
          </w:p>
        </w:tc>
        <w:tc>
          <w:tcPr>
            <w:tcW w:w="960" w:type="dxa"/>
            <w:vAlign w:val="center"/>
          </w:tcPr>
          <w:p>
            <w:pPr>
              <w:adjustRightIn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7046" w:type="dxa"/>
            <w:vAlign w:val="center"/>
          </w:tcPr>
          <w:p>
            <w:pPr>
              <w:adjustRightIn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参数要求及说明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adjustRightIn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110" w:type="dxa"/>
            <w:vAlign w:val="center"/>
          </w:tcPr>
          <w:p>
            <w:pPr>
              <w:adjustRightIn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受理调度子系统</w:t>
            </w:r>
          </w:p>
        </w:tc>
        <w:tc>
          <w:tcPr>
            <w:tcW w:w="960" w:type="dxa"/>
            <w:vAlign w:val="center"/>
          </w:tcPr>
          <w:p>
            <w:pPr>
              <w:adjustRightIn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套</w:t>
            </w:r>
          </w:p>
        </w:tc>
        <w:tc>
          <w:tcPr>
            <w:tcW w:w="7046" w:type="dxa"/>
            <w:vAlign w:val="top"/>
          </w:tcPr>
          <w:p>
            <w:pPr>
              <w:spacing w:line="24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根据现有业务需求，结合贺州市120急救指挥业务需求及流程，建设指挥调度系统软件、相关统计报表。部署电子地理信息系统，支持网络地图、支持城市实时路况。</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1.坐席受理台</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系统每个呼叫受理座席都采用一机三屏的结构。第一屏显示受理调度工作界面；第二屏显示坐席监控及综合信息查询内；第三屏显示电子地图。用户能够利用鼠标和键盘提供的快捷键控制桌面系统在各个显示屏之间快速切换。</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2.UI</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UI即User Interface（用户界面）的简称。本次急救指挥调度系统升级，除了在业务功能上进行升级和扩展之外，将急救指挥调度软件的UI也将全面升级，使升级后的UI达到清晰、简洁、熟悉、响应、一致和美观。从而给用户带来更好的交互效果。</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3.智能推荐事件</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提供智能推荐事件功能，在受理过程中，根据进入系统的电话号码（固定电话、移动电话）、接车地址、现场地址、主诉症状等信息，系统综合上述信息将急救事件按照匹配度从高到低进行动态排序展示，供调度员综合决策。</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4.智能推荐车辆</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挥调度系统具有智能推荐车辆功能，在系统对呼救地址（三字段或经纬度）/接车地址定位时，地图做推荐车辆工作，并把推荐车辆的结果信息通过消息发给受理台，升级后的受理台上根据此顺序排序待派的车辆列表；以供受理员调度选择。</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5.智能地址提词</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支持地址搜索提示功能，系统支持强大的地址搜索提词功能，即受理员在接车地址、现场地址输入框中录入地址的过程中，系统智能提示相似地址，类似百度搜索功能。如此减少在受理员在受理过程中地址录入工作。</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6.重复呼救处理功能</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能提示限定时间内同一呼救电话或同一地段或同一医院再次呼入，限定时间可由管理员设置。系统根据一段时间内相同的呼救电话号码、相同或相近的呼救地点、相同的急救发生地点、案情及当事人等设定原则进行重复呼救提示，与疑似重复的呼救相关联，供急救受理员辨别确认。如有必要（如案情有新的发展），急救受理员可对重复急救受理信息进行补充。</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7.骚扰电话管理模块</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受理调度软件要求具有骚扰电话管理功能，当呼叫电话到达受理座席时，如果受理员认为某一个电话为骚扰电话时，可对骚扰电话进行加锁，将骚扰电话的电话号码添加到电话黑名单，骚扰电话的加锁时间由调度员设定，可以是几分钟、几小时、几天。在对骚扰电话进行加锁的同时，受理员还可以将骚扰电话转到IVR上播放设定的警告性录音。骚扰电话的每次骚扰呼叫将记录在系统数据库，操作员可对骚扰电话记录进行查询、统计分析。</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8.电子地图自动定位</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受理员应答呼救电话的同时，录音系统自动启动录音，系统同时电子地图屏上的电子地图根据呼叫电话（固话为装机地址，移动电话为手机位置信息）的位置信息自动定位在屏幕中心，按正常比例显示地图信息，并醒目显示附近的急救车辆、急救医院、重点建筑等信息。</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9.受理台计时监控功能</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系统自动对受理中任务计时监控、对调度派车过程计时监控、对待派任务计时监控，并按照计时时长不同按不同颜色进行醒目提醒。</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10.车辆历史轨迹快速查询</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受理台上通过组合条件可以查询历史急救事件，并支持快速查阅历史急救事件的车辆轨迹，根据急救车辆出车时间和返站时间，通过消息将该车辆id、出车时间、返站时间发送到GIS系统中，快速在GIS中将该任务的车辆历史行进轨迹展示出来。</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11.任务中车辆轨迹快速查询</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在受理台选中任务中车辆，可以快速查询任务中车辆轨迹信息，并快速在GIS中将该任务中的车辆轨迹展示出来。</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12.内外电话区分</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电话进入时，通过图标醒目提示该电话为内部电话，还是外部电话。</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可在系统后台通过配置，管理内部电话。</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13.电话预受理</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业务梳理，提出电话预受理功能，为受理环节，增加电话预受理过程，即电话进入系统后，受理员摘机受理，首先显示电话预受理界面，根据受理员受理情况，决定将本次电话归属到某一类型中，这里类型有咨询、投诉、骚扰、转院、急救、其他。比如，该电话为骚扰电话，那么选择“骚扰”即进入骚扰电话处理流程。如若错误选择，可以返回重新选择电话类型，再进入相应的处理流程。</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14.多模式调度指令下发</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提供多模式调度指令下发功能。</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模式一：急救中心直接调度车辆，将调度指令下发到急救车载终端。</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模式二：急救中心调度分站，即将调度指令下发到急救分站，再由分站下发调度指令到该分站某辆急救车。</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模式三：急救中心既可调度部分车辆，又可以调度部分分站。</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上述三种模式，可根据用户实际应用需求，通过参数配置完成。</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15.快捷改派车辆</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在急救事件列表中，选中需要改派的任务，点击该任务中的“改派”按钮。进入改派页面，选中需要取消的车辆，再选中替补的待命的车辆，点击确认，一键完成改派操作。</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16.一键取消派车</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在急救事件队列中选中某个急救任务，进入派车记录界面，可以清晰的查看该任务派车情况，并可查看每个车辆的状态情况。双击需要取消的车辆，进入该出车车辆的详情页面。</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17.电话录音</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在急救电话进入系统后，会自动形成电话录音，系统支持电话录音在线播放，也支持录音下载，同时支持电话回拨功能。</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18.消息提示机制</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各子系统之间的消息收发，均提供消息提醒机制，并以醒目的方式告知受理台。</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19.坐席动态监控</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坐席动态监控，系统可以通过坐席动态监控功能，监控其他受理台的工作情况，包含电话工作状态、坐席受理情况、录入接车地址信息等。</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20.车辆状态管理</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车辆队列中，提供快捷的方式选择车辆，即提供快捷的过滤条件（全部、待命、任务中、暂停调用、未值班），根据过滤条件可以过滤出需要的车辆，并在列表中醒目区域展示车辆总数量，系统除此之外，针对任务中的车辆，不同状态，以不同颜色醒目展示。</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21.智能动态车辆列表</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在受理过程中，呼救位置在电子地图上自动标注，此时会将待命中的车辆按照距离标注地点的距离、每个车辆的出车次数，综合智能排序，并动态变换车辆列表。</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22.权限管理功能</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用户对系统的所有功能和资源进行访问都需要一定的权限，系统采用基于角色的权限分配机制。 首先，由系统管理员定义系统的每种角色及其业务操作集合，这都应该通过友好的用户操作界面来完成。系统中的每个操作员都属于某一种角色，该用户继承角色的权限。当用户登录系统后，所见到的只是它有权访问的功能模块。</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23.信息查询模块</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在没有120电话呼入时，受理调度台可监控全市急救事件情况。受理调度系统可以对受理、调度产生的各种信息及调度中所要用到的急救资源信息进行查询。</w:t>
            </w:r>
          </w:p>
          <w:p>
            <w:pPr>
              <w:pStyle w:val="11"/>
              <w:widowControl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24.与智能车载终端平滑对接</w:t>
            </w:r>
          </w:p>
          <w:p>
            <w:pPr>
              <w:pStyle w:val="11"/>
              <w:widowControl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升级后，支持与已采购的智能车载终端（急救通PAD）无缝对接，平滑过渡，升级后的急救指挥调度系统可以对智能车载终端下发调度指令和公告信息，实时接收车辆的位置信息；智能车载终端可以反馈车辆节点时间信息，反馈突发事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adjustRightIn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110" w:type="dxa"/>
            <w:vAlign w:val="center"/>
          </w:tcPr>
          <w:p>
            <w:pPr>
              <w:adjustRightIn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地理信息子系统</w:t>
            </w:r>
          </w:p>
        </w:tc>
        <w:tc>
          <w:tcPr>
            <w:tcW w:w="960" w:type="dxa"/>
            <w:vAlign w:val="center"/>
          </w:tcPr>
          <w:p>
            <w:pPr>
              <w:adjustRightIn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1套</w:t>
            </w:r>
          </w:p>
        </w:tc>
        <w:tc>
          <w:tcPr>
            <w:tcW w:w="7046" w:type="dxa"/>
            <w:vAlign w:val="top"/>
          </w:tcPr>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GIS系统地图服务端能对地图底图数据进行自动更新，图源可有多种来源，可支持百度、高德、天地图等公开的数据来源。</w:t>
            </w:r>
          </w:p>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GIS系统可根据急救事件，智能推荐送往医院、智能推荐调度车辆、智能推荐行车路径。</w:t>
            </w:r>
          </w:p>
          <w:p>
            <w:pPr>
              <w:spacing w:line="240" w:lineRule="auto"/>
              <w:ind w:left="0" w:leftChars="0"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1.车辆推荐</w:t>
            </w:r>
          </w:p>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支持根据事发现场地点定位计算出所有分站和救护车辆距离现场地址的距离，并根据相离距离的近远顺序提供待命或返站急救车（医院）的列表供调度员参考。</w:t>
            </w:r>
          </w:p>
          <w:p>
            <w:pPr>
              <w:spacing w:line="240" w:lineRule="auto"/>
              <w:ind w:left="0" w:leftChars="0"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2.到院距离估算 </w:t>
            </w:r>
          </w:p>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根据车辆实时位置离目标位置以及车速、路况、行驶路线等因素计算出所需要的时间。</w:t>
            </w:r>
          </w:p>
          <w:p>
            <w:pPr>
              <w:spacing w:line="240" w:lineRule="auto"/>
              <w:ind w:left="0" w:leftChars="0"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3.实时路况</w:t>
            </w:r>
          </w:p>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支持实时路况信息查询功能，可以通过实时路况信息，来选择、调整急救车的行进路径。辅助调度员决策急救车行驶路径。</w:t>
            </w:r>
          </w:p>
          <w:p>
            <w:pPr>
              <w:spacing w:line="240" w:lineRule="auto"/>
              <w:ind w:left="0" w:leftChars="0"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4.路径规划 </w:t>
            </w:r>
          </w:p>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支持自动标注接车地址，GIS自动进行路径规划，并准守最快、最短的原则进行路径推荐；系统可以根据道路的宽窄、距离的远近、红绿灯的多少、人(车)流量的大小等因素提供几种行驶路线，同时行驶路线要用线条标示处理进行显示。</w:t>
            </w:r>
          </w:p>
          <w:p>
            <w:pPr>
              <w:spacing w:line="240" w:lineRule="auto"/>
              <w:ind w:left="0" w:leftChars="0"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5.GIS截屏</w:t>
            </w:r>
          </w:p>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推荐车辆时，若一定范围以内没有可供调派的车辆，GIS系统将当时的地图数据保存下来，供事后调查取证。</w:t>
            </w:r>
          </w:p>
          <w:p>
            <w:pPr>
              <w:spacing w:line="240" w:lineRule="auto"/>
              <w:ind w:left="0" w:leftChars="0"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6.组织机构</w:t>
            </w:r>
          </w:p>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在GIS系统中，不仅可以跟踪车辆，还可以查看每个车辆隶属那个急救机构，同时可以查看每个急救机构下有哪些急救车辆，鼠标移至车辆上可以展示车辆的静态信息。</w:t>
            </w:r>
          </w:p>
          <w:p>
            <w:pPr>
              <w:spacing w:line="240" w:lineRule="auto"/>
              <w:ind w:left="0" w:leftChars="0"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7.车辆监控</w:t>
            </w:r>
          </w:p>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在GIS中可以实时监控各市县急救车辆的工作状态（在线、离线、待命、任务中等等）。</w:t>
            </w:r>
          </w:p>
          <w:p>
            <w:pPr>
              <w:spacing w:line="240" w:lineRule="auto"/>
              <w:ind w:left="0" w:leftChars="0"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8.多视图车辆跟踪</w:t>
            </w:r>
          </w:p>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通过GIS系统可以实时跟踪任务中的车辆的行进情况，并支持多视图车辆即跟踪多辆急救车辆。</w:t>
            </w:r>
          </w:p>
          <w:p>
            <w:pPr>
              <w:spacing w:line="240" w:lineRule="auto"/>
              <w:ind w:left="0" w:leftChars="0"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9.车辆轨迹回放</w:t>
            </w:r>
          </w:p>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在GIS系统中，通过选择车辆查询日期等条件，可以查询某个车辆历史行进轨迹，根据不同的组合查询条件，在GIS系统中详细展示车辆历史回放情况。</w:t>
            </w:r>
          </w:p>
          <w:p>
            <w:pPr>
              <w:spacing w:line="240" w:lineRule="auto"/>
              <w:ind w:left="0" w:leftChars="0"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10.急救资源展示</w:t>
            </w:r>
          </w:p>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在GIS系统中可查询展示各个急救中心、急救站点、各大网络医院以及其他医疗机构等，查询各个急救资源点时可以显示单位名称、单位简介等，对于医疗机构，比如各大医院，可以展示医院专长、医院简介、专家队伍、联系电话等，如果部分医院可以将病床位动态信息开放的话，可以在GIS中查询到各大医院的病床位等动态急救资源信息。</w:t>
            </w:r>
          </w:p>
          <w:p>
            <w:pPr>
              <w:spacing w:line="240" w:lineRule="auto"/>
              <w:ind w:left="0" w:leftChars="0"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11.软电话功能</w:t>
            </w:r>
          </w:p>
          <w:p>
            <w:pPr>
              <w:spacing w:line="24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在GIS系统中，选中急救车辆或者各个医疗机构时，可以直接一键呼叫急救车辆的车载电话或者医院在GIS中的电话，实现一键呼叫功能。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adjustRightInd/>
              <w:spacing w:line="360" w:lineRule="auto"/>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110" w:type="dxa"/>
            <w:vAlign w:val="center"/>
          </w:tcPr>
          <w:p>
            <w:pPr>
              <w:adjustRightInd/>
              <w:spacing w:line="360"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急救综合管理子系统</w:t>
            </w:r>
          </w:p>
        </w:tc>
        <w:tc>
          <w:tcPr>
            <w:tcW w:w="960" w:type="dxa"/>
            <w:vAlign w:val="center"/>
          </w:tcPr>
          <w:p>
            <w:pPr>
              <w:adjustRightInd/>
              <w:spacing w:line="360" w:lineRule="auto"/>
              <w:ind w:left="0" w:leftChars="0"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1套</w:t>
            </w:r>
          </w:p>
        </w:tc>
        <w:tc>
          <w:tcPr>
            <w:tcW w:w="7046" w:type="dxa"/>
            <w:vAlign w:val="top"/>
          </w:tcPr>
          <w:p>
            <w:pPr>
              <w:spacing w:line="240" w:lineRule="auto"/>
              <w:ind w:firstLine="480" w:firstLineChars="200"/>
              <w:jc w:val="left"/>
              <w:rPr>
                <w:rFonts w:hint="eastAsia"/>
                <w:sz w:val="24"/>
                <w:szCs w:val="24"/>
                <w:lang w:eastAsia="zh-CN"/>
              </w:rPr>
            </w:pPr>
            <w:r>
              <w:rPr>
                <w:rFonts w:hint="eastAsia"/>
                <w:sz w:val="24"/>
                <w:szCs w:val="24"/>
                <w:lang w:eastAsia="zh-CN"/>
              </w:rPr>
              <w:t>包含</w:t>
            </w:r>
            <w:r>
              <w:rPr>
                <w:rFonts w:hint="eastAsia"/>
                <w:sz w:val="24"/>
                <w:szCs w:val="24"/>
              </w:rPr>
              <w:t>综合办公</w:t>
            </w:r>
            <w:r>
              <w:rPr>
                <w:rFonts w:hint="eastAsia"/>
                <w:sz w:val="24"/>
                <w:szCs w:val="24"/>
                <w:lang w:eastAsia="zh-CN"/>
              </w:rPr>
              <w:t>、</w:t>
            </w:r>
            <w:r>
              <w:rPr>
                <w:rFonts w:hint="eastAsia"/>
                <w:sz w:val="24"/>
                <w:szCs w:val="24"/>
              </w:rPr>
              <w:t>急救动态管理</w:t>
            </w:r>
            <w:r>
              <w:rPr>
                <w:rFonts w:hint="eastAsia"/>
                <w:sz w:val="24"/>
                <w:szCs w:val="24"/>
                <w:lang w:eastAsia="zh-CN"/>
              </w:rPr>
              <w:t>、</w:t>
            </w:r>
            <w:r>
              <w:rPr>
                <w:rFonts w:hint="eastAsia"/>
                <w:sz w:val="24"/>
                <w:szCs w:val="24"/>
              </w:rPr>
              <w:t>急救电子病历管理</w:t>
            </w:r>
            <w:r>
              <w:rPr>
                <w:rFonts w:hint="eastAsia"/>
                <w:sz w:val="24"/>
                <w:szCs w:val="24"/>
                <w:lang w:eastAsia="zh-CN"/>
              </w:rPr>
              <w:t>、</w:t>
            </w:r>
            <w:r>
              <w:rPr>
                <w:rFonts w:hint="eastAsia"/>
                <w:sz w:val="24"/>
                <w:szCs w:val="24"/>
              </w:rPr>
              <w:t>车辆管理</w:t>
            </w:r>
            <w:r>
              <w:rPr>
                <w:rFonts w:hint="eastAsia"/>
                <w:sz w:val="24"/>
                <w:szCs w:val="24"/>
                <w:lang w:eastAsia="zh-CN"/>
              </w:rPr>
              <w:t>、</w:t>
            </w:r>
            <w:r>
              <w:rPr>
                <w:rFonts w:hint="eastAsia"/>
                <w:sz w:val="24"/>
                <w:szCs w:val="24"/>
              </w:rPr>
              <w:t>药品管理</w:t>
            </w:r>
            <w:r>
              <w:rPr>
                <w:rFonts w:hint="eastAsia"/>
                <w:sz w:val="24"/>
                <w:szCs w:val="24"/>
                <w:lang w:eastAsia="zh-CN"/>
              </w:rPr>
              <w:t>、</w:t>
            </w:r>
            <w:r>
              <w:rPr>
                <w:rFonts w:hint="eastAsia"/>
                <w:sz w:val="24"/>
                <w:szCs w:val="24"/>
              </w:rPr>
              <w:t>设备物资管理</w:t>
            </w:r>
            <w:r>
              <w:rPr>
                <w:rFonts w:hint="eastAsia"/>
                <w:sz w:val="24"/>
                <w:szCs w:val="24"/>
                <w:lang w:eastAsia="zh-CN"/>
              </w:rPr>
              <w:t>、</w:t>
            </w:r>
            <w:r>
              <w:rPr>
                <w:rFonts w:hint="eastAsia"/>
                <w:sz w:val="24"/>
                <w:szCs w:val="24"/>
              </w:rPr>
              <w:t>人员管理</w:t>
            </w:r>
            <w:r>
              <w:rPr>
                <w:rFonts w:hint="eastAsia"/>
                <w:sz w:val="24"/>
                <w:szCs w:val="24"/>
                <w:lang w:eastAsia="zh-CN"/>
              </w:rPr>
              <w:t>、</w:t>
            </w:r>
            <w:r>
              <w:rPr>
                <w:rFonts w:hint="eastAsia"/>
                <w:sz w:val="24"/>
                <w:szCs w:val="24"/>
              </w:rPr>
              <w:t>系统管理</w:t>
            </w:r>
            <w:r>
              <w:rPr>
                <w:rFonts w:hint="eastAsia"/>
                <w:sz w:val="24"/>
                <w:szCs w:val="24"/>
                <w:lang w:eastAsia="zh-CN"/>
              </w:rPr>
              <w:t>等。</w:t>
            </w:r>
          </w:p>
          <w:p>
            <w:pPr>
              <w:numPr>
                <w:ilvl w:val="0"/>
                <w:numId w:val="2"/>
              </w:numPr>
              <w:spacing w:line="240" w:lineRule="auto"/>
              <w:ind w:firstLine="480" w:firstLineChars="200"/>
              <w:jc w:val="left"/>
              <w:rPr>
                <w:sz w:val="24"/>
                <w:szCs w:val="24"/>
              </w:rPr>
            </w:pPr>
            <w:r>
              <w:rPr>
                <w:rFonts w:hint="eastAsia"/>
                <w:sz w:val="24"/>
                <w:szCs w:val="24"/>
              </w:rPr>
              <w:t>综合</w:t>
            </w:r>
            <w:r>
              <w:rPr>
                <w:sz w:val="24"/>
                <w:szCs w:val="24"/>
              </w:rPr>
              <w:t>办公功能包括了办公邮件的收发、工作策划</w:t>
            </w:r>
            <w:r>
              <w:rPr>
                <w:rFonts w:hint="eastAsia"/>
                <w:sz w:val="24"/>
                <w:szCs w:val="24"/>
              </w:rPr>
              <w:t>与安排</w:t>
            </w:r>
            <w:r>
              <w:rPr>
                <w:sz w:val="24"/>
                <w:szCs w:val="24"/>
              </w:rPr>
              <w:t>、工作汇报、公告信息、值班编排</w:t>
            </w:r>
            <w:r>
              <w:rPr>
                <w:rFonts w:hint="eastAsia"/>
                <w:sz w:val="24"/>
                <w:szCs w:val="24"/>
              </w:rPr>
              <w:t>、</w:t>
            </w:r>
            <w:r>
              <w:rPr>
                <w:sz w:val="24"/>
                <w:szCs w:val="24"/>
              </w:rPr>
              <w:t>培训计划</w:t>
            </w:r>
            <w:r>
              <w:rPr>
                <w:rFonts w:hint="eastAsia"/>
                <w:sz w:val="24"/>
                <w:szCs w:val="24"/>
              </w:rPr>
              <w:t>安排</w:t>
            </w:r>
            <w:r>
              <w:rPr>
                <w:sz w:val="24"/>
                <w:szCs w:val="24"/>
              </w:rPr>
              <w:t>、中心简报、文件管理</w:t>
            </w:r>
            <w:r>
              <w:rPr>
                <w:rFonts w:hint="eastAsia"/>
                <w:sz w:val="24"/>
                <w:szCs w:val="24"/>
              </w:rPr>
              <w:t>等常用的日常办公功能模。以及急救中心有关的</w:t>
            </w:r>
            <w:r>
              <w:rPr>
                <w:sz w:val="24"/>
                <w:szCs w:val="24"/>
              </w:rPr>
              <w:t>工作流程、规章制度等</w:t>
            </w:r>
            <w:r>
              <w:rPr>
                <w:rFonts w:hint="eastAsia"/>
                <w:sz w:val="24"/>
                <w:szCs w:val="24"/>
              </w:rPr>
              <w:t>信息阅览</w:t>
            </w:r>
            <w:r>
              <w:rPr>
                <w:sz w:val="24"/>
                <w:szCs w:val="24"/>
              </w:rPr>
              <w:t>模块。</w:t>
            </w:r>
          </w:p>
          <w:p>
            <w:pPr>
              <w:numPr>
                <w:ilvl w:val="0"/>
                <w:numId w:val="2"/>
              </w:numPr>
              <w:spacing w:line="240" w:lineRule="auto"/>
              <w:ind w:firstLine="480" w:firstLineChars="200"/>
              <w:jc w:val="left"/>
              <w:rPr>
                <w:rFonts w:hint="eastAsia"/>
                <w:sz w:val="24"/>
                <w:szCs w:val="24"/>
                <w:lang w:eastAsia="zh-CN"/>
              </w:rPr>
            </w:pPr>
            <w:r>
              <w:rPr>
                <w:rFonts w:hint="eastAsia"/>
                <w:sz w:val="24"/>
                <w:szCs w:val="24"/>
              </w:rPr>
              <w:t>急救动态管理模块可实时显示急救中心的当前工作动态，包括当日受理电话数、出车数。可详细查看受理、调度、派车、出车、救治患者的详细信息</w:t>
            </w:r>
            <w:r>
              <w:rPr>
                <w:rFonts w:hint="eastAsia"/>
                <w:sz w:val="24"/>
                <w:szCs w:val="24"/>
                <w:lang w:eastAsia="zh-CN"/>
              </w:rPr>
              <w:t>及统计</w:t>
            </w:r>
            <w:r>
              <w:rPr>
                <w:rFonts w:hint="eastAsia"/>
                <w:sz w:val="24"/>
                <w:szCs w:val="24"/>
              </w:rPr>
              <w:t>。</w:t>
            </w:r>
          </w:p>
          <w:p>
            <w:pPr>
              <w:numPr>
                <w:ilvl w:val="0"/>
                <w:numId w:val="2"/>
              </w:numPr>
              <w:spacing w:line="240" w:lineRule="auto"/>
              <w:ind w:firstLine="480" w:firstLineChars="200"/>
              <w:jc w:val="left"/>
              <w:rPr>
                <w:rFonts w:hint="eastAsia"/>
                <w:sz w:val="24"/>
                <w:szCs w:val="24"/>
                <w:lang w:eastAsia="zh-CN"/>
              </w:rPr>
            </w:pPr>
            <w:r>
              <w:rPr>
                <w:rFonts w:hint="eastAsia"/>
                <w:sz w:val="24"/>
                <w:szCs w:val="24"/>
                <w:lang w:eastAsia="zh-CN"/>
              </w:rPr>
              <w:t>急救电子病历管理模块：出车任务结束后，医生或者其他人员可对本次出车的救治患者进行急救电子病历的录入和登记。可通过车载电脑、手持终端、分站联网计算机终端等多种途径进行急救患者电子病理的录入。录入的电子病历可进行保存和提交的操作。保存后的病历仍然可以修改，病历一旦提交后，将不能进行修改。</w:t>
            </w:r>
          </w:p>
          <w:p>
            <w:pPr>
              <w:numPr>
                <w:ilvl w:val="0"/>
                <w:numId w:val="2"/>
              </w:numPr>
              <w:spacing w:line="240" w:lineRule="auto"/>
              <w:ind w:firstLine="480" w:firstLineChars="200"/>
              <w:jc w:val="left"/>
              <w:rPr>
                <w:rFonts w:hint="eastAsia"/>
                <w:sz w:val="24"/>
                <w:szCs w:val="24"/>
                <w:lang w:eastAsia="zh-CN"/>
              </w:rPr>
            </w:pPr>
            <w:r>
              <w:rPr>
                <w:rFonts w:hint="eastAsia"/>
                <w:sz w:val="24"/>
                <w:szCs w:val="24"/>
                <w:lang w:eastAsia="zh-CN"/>
              </w:rPr>
              <w:t>车辆管理模块支持</w:t>
            </w:r>
            <w:r>
              <w:rPr>
                <w:rFonts w:hint="eastAsia" w:ascii="宋体" w:hAnsi="宋体"/>
                <w:sz w:val="24"/>
                <w:szCs w:val="24"/>
              </w:rPr>
              <w:t>车辆基础信息</w:t>
            </w:r>
            <w:r>
              <w:rPr>
                <w:rFonts w:hint="eastAsia" w:ascii="宋体" w:hAnsi="宋体"/>
                <w:sz w:val="24"/>
                <w:szCs w:val="24"/>
                <w:lang w:eastAsia="zh-CN"/>
              </w:rPr>
              <w:t>、</w:t>
            </w:r>
            <w:r>
              <w:rPr>
                <w:rFonts w:hint="eastAsia" w:ascii="宋体" w:hAnsi="宋体"/>
                <w:sz w:val="24"/>
                <w:szCs w:val="24"/>
              </w:rPr>
              <w:t>维护保养</w:t>
            </w:r>
            <w:r>
              <w:rPr>
                <w:rFonts w:hint="eastAsia" w:ascii="宋体" w:hAnsi="宋体"/>
                <w:sz w:val="24"/>
                <w:szCs w:val="24"/>
                <w:lang w:eastAsia="zh-CN"/>
              </w:rPr>
              <w:t>、</w:t>
            </w:r>
            <w:r>
              <w:rPr>
                <w:rFonts w:hint="eastAsia" w:ascii="宋体" w:hAnsi="宋体"/>
                <w:sz w:val="24"/>
                <w:szCs w:val="24"/>
              </w:rPr>
              <w:t>消耗燃料</w:t>
            </w:r>
            <w:r>
              <w:rPr>
                <w:rFonts w:hint="eastAsia" w:ascii="宋体" w:hAnsi="宋体"/>
                <w:sz w:val="24"/>
                <w:szCs w:val="24"/>
                <w:lang w:eastAsia="zh-CN"/>
              </w:rPr>
              <w:t>、</w:t>
            </w:r>
            <w:r>
              <w:rPr>
                <w:rFonts w:hint="eastAsia" w:ascii="宋体" w:hAnsi="宋体"/>
                <w:sz w:val="24"/>
                <w:szCs w:val="24"/>
              </w:rPr>
              <w:t>保险</w:t>
            </w:r>
            <w:r>
              <w:rPr>
                <w:rFonts w:hint="eastAsia" w:ascii="宋体" w:hAnsi="宋体"/>
                <w:sz w:val="24"/>
                <w:szCs w:val="24"/>
                <w:lang w:eastAsia="zh-CN"/>
              </w:rPr>
              <w:t>、</w:t>
            </w:r>
            <w:r>
              <w:rPr>
                <w:rFonts w:hint="eastAsia" w:ascii="宋体" w:hAnsi="宋体"/>
                <w:sz w:val="24"/>
                <w:szCs w:val="24"/>
              </w:rPr>
              <w:t>车载设备</w:t>
            </w:r>
            <w:r>
              <w:rPr>
                <w:rFonts w:hint="eastAsia" w:ascii="宋体" w:hAnsi="宋体"/>
                <w:sz w:val="24"/>
                <w:szCs w:val="24"/>
                <w:lang w:eastAsia="zh-CN"/>
              </w:rPr>
              <w:t>、</w:t>
            </w:r>
            <w:r>
              <w:rPr>
                <w:rFonts w:hint="eastAsia" w:ascii="宋体" w:hAnsi="宋体"/>
                <w:sz w:val="24"/>
                <w:szCs w:val="24"/>
              </w:rPr>
              <w:t>事故</w:t>
            </w:r>
            <w:r>
              <w:rPr>
                <w:rFonts w:hint="eastAsia" w:ascii="宋体" w:hAnsi="宋体"/>
                <w:sz w:val="24"/>
                <w:szCs w:val="24"/>
                <w:lang w:eastAsia="zh-CN"/>
              </w:rPr>
              <w:t>等信息管理。</w:t>
            </w:r>
          </w:p>
          <w:p>
            <w:pPr>
              <w:numPr>
                <w:ilvl w:val="0"/>
                <w:numId w:val="2"/>
              </w:numPr>
              <w:spacing w:line="240" w:lineRule="auto"/>
              <w:ind w:firstLine="480" w:firstLineChars="200"/>
              <w:jc w:val="left"/>
              <w:rPr>
                <w:rFonts w:hint="eastAsia"/>
                <w:sz w:val="24"/>
                <w:szCs w:val="24"/>
                <w:lang w:eastAsia="zh-CN"/>
              </w:rPr>
            </w:pPr>
            <w:r>
              <w:rPr>
                <w:rFonts w:hint="eastAsia" w:ascii="宋体" w:hAnsi="宋体"/>
                <w:sz w:val="24"/>
                <w:szCs w:val="24"/>
              </w:rPr>
              <w:t>药品管理包括药品入/出库登记，药品查询，入库查询、领取查询、药品过期预警等功能。出入库流程为中心库存分配给具体分站，分站再具体分配到车辆。</w:t>
            </w:r>
          </w:p>
          <w:p>
            <w:pPr>
              <w:numPr>
                <w:ilvl w:val="0"/>
                <w:numId w:val="2"/>
              </w:numPr>
              <w:spacing w:line="240" w:lineRule="auto"/>
              <w:ind w:firstLine="480" w:firstLineChars="200"/>
              <w:jc w:val="left"/>
              <w:rPr>
                <w:rFonts w:hint="eastAsia"/>
                <w:sz w:val="24"/>
                <w:szCs w:val="24"/>
                <w:lang w:eastAsia="zh-CN"/>
              </w:rPr>
            </w:pPr>
            <w:r>
              <w:rPr>
                <w:rFonts w:hint="eastAsia" w:ascii="宋体" w:hAnsi="宋体"/>
                <w:sz w:val="24"/>
                <w:szCs w:val="24"/>
                <w:lang w:eastAsia="zh-CN"/>
              </w:rPr>
              <w:t>设备管理</w:t>
            </w:r>
            <w:r>
              <w:rPr>
                <w:rFonts w:hint="eastAsia" w:ascii="宋体" w:hAnsi="宋体"/>
                <w:sz w:val="24"/>
                <w:szCs w:val="24"/>
              </w:rPr>
              <w:t>模块可完成对急救中心的全部设备进行登记造册、申购、出/入库等管理操作。</w:t>
            </w:r>
          </w:p>
          <w:p>
            <w:pPr>
              <w:numPr>
                <w:ilvl w:val="0"/>
                <w:numId w:val="2"/>
              </w:numPr>
              <w:spacing w:line="240" w:lineRule="auto"/>
              <w:ind w:firstLine="480" w:firstLineChars="200"/>
              <w:jc w:val="left"/>
              <w:rPr>
                <w:rFonts w:hint="eastAsia"/>
                <w:sz w:val="24"/>
                <w:szCs w:val="24"/>
                <w:lang w:eastAsia="zh-CN"/>
              </w:rPr>
            </w:pPr>
            <w:r>
              <w:rPr>
                <w:rFonts w:hint="eastAsia" w:ascii="宋体" w:hAnsi="宋体"/>
                <w:sz w:val="24"/>
                <w:szCs w:val="24"/>
                <w:lang w:eastAsia="zh-CN"/>
              </w:rPr>
              <w:t>人员管理模块支持</w:t>
            </w:r>
            <w:r>
              <w:rPr>
                <w:rFonts w:hint="eastAsia" w:ascii="宋体" w:hAnsi="宋体"/>
                <w:sz w:val="24"/>
                <w:szCs w:val="24"/>
              </w:rPr>
              <w:t>对急救中心全体工作人员建立人事档案，包括人员信息录入、查询和修改等功能。可录入员工每日的出勤情况，分别包括上午、下午和夜晚的出勤考勤结果并保存。</w:t>
            </w:r>
          </w:p>
          <w:p>
            <w:pPr>
              <w:numPr>
                <w:ilvl w:val="0"/>
                <w:numId w:val="2"/>
              </w:numPr>
              <w:spacing w:line="240" w:lineRule="auto"/>
              <w:ind w:firstLine="480" w:firstLineChars="200"/>
              <w:jc w:val="left"/>
              <w:rPr>
                <w:rFonts w:hint="eastAsia"/>
                <w:sz w:val="24"/>
                <w:szCs w:val="24"/>
                <w:lang w:eastAsia="zh-CN"/>
              </w:rPr>
            </w:pPr>
            <w:r>
              <w:rPr>
                <w:rFonts w:hint="eastAsia"/>
                <w:sz w:val="24"/>
                <w:szCs w:val="24"/>
              </w:rPr>
              <w:t>系统管理</w:t>
            </w:r>
            <w:r>
              <w:rPr>
                <w:rFonts w:hint="eastAsia"/>
                <w:sz w:val="24"/>
                <w:szCs w:val="24"/>
                <w:lang w:eastAsia="zh-CN"/>
              </w:rPr>
              <w:t>模块</w:t>
            </w:r>
            <w:r>
              <w:rPr>
                <w:rFonts w:hint="eastAsia" w:ascii="宋体" w:hAnsi="宋体"/>
                <w:sz w:val="24"/>
                <w:szCs w:val="24"/>
              </w:rPr>
              <w:t>根据急救中心的实际情况，定义若干角色，并对角色进行授权操作。</w:t>
            </w:r>
          </w:p>
          <w:p>
            <w:pPr>
              <w:pStyle w:val="11"/>
              <w:widowControl w:val="0"/>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adjustRightInd/>
              <w:spacing w:line="360" w:lineRule="auto"/>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110" w:type="dxa"/>
            <w:vAlign w:val="center"/>
          </w:tcPr>
          <w:p>
            <w:pPr>
              <w:adjustRightInd/>
              <w:spacing w:line="360"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数据统计分析子系统</w:t>
            </w:r>
          </w:p>
        </w:tc>
        <w:tc>
          <w:tcPr>
            <w:tcW w:w="960" w:type="dxa"/>
            <w:vAlign w:val="center"/>
          </w:tcPr>
          <w:p>
            <w:pPr>
              <w:adjustRightInd/>
              <w:spacing w:line="360" w:lineRule="auto"/>
              <w:ind w:left="0" w:leftChars="0"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1套</w:t>
            </w:r>
          </w:p>
        </w:tc>
        <w:tc>
          <w:tcPr>
            <w:tcW w:w="7046" w:type="dxa"/>
            <w:vAlign w:val="top"/>
          </w:tcPr>
          <w:p>
            <w:pPr>
              <w:numPr>
                <w:ilvl w:val="0"/>
                <w:numId w:val="3"/>
              </w:numPr>
              <w:spacing w:line="240" w:lineRule="auto"/>
              <w:ind w:left="0" w:leftChars="0" w:firstLine="0" w:firstLineChars="0"/>
              <w:jc w:val="left"/>
              <w:rPr>
                <w:rFonts w:hint="eastAsia"/>
                <w:sz w:val="24"/>
                <w:szCs w:val="24"/>
              </w:rPr>
            </w:pPr>
            <w:r>
              <w:rPr>
                <w:rFonts w:hint="eastAsia"/>
                <w:sz w:val="24"/>
                <w:szCs w:val="24"/>
              </w:rPr>
              <w:t>全局报表</w:t>
            </w:r>
            <w:r>
              <w:rPr>
                <w:rFonts w:hint="eastAsia"/>
                <w:sz w:val="24"/>
                <w:szCs w:val="24"/>
                <w:lang w:eastAsia="zh-CN"/>
              </w:rPr>
              <w:t>，包含</w:t>
            </w:r>
            <w:r>
              <w:rPr>
                <w:rFonts w:hint="eastAsia"/>
                <w:sz w:val="24"/>
                <w:szCs w:val="24"/>
              </w:rPr>
              <w:t>业务压力主要统计</w:t>
            </w:r>
            <w:r>
              <w:rPr>
                <w:rFonts w:hint="eastAsia"/>
                <w:sz w:val="24"/>
                <w:szCs w:val="24"/>
                <w:lang w:eastAsia="zh-CN"/>
              </w:rPr>
              <w:t>、</w:t>
            </w:r>
            <w:r>
              <w:rPr>
                <w:rFonts w:hint="eastAsia"/>
                <w:sz w:val="24"/>
                <w:szCs w:val="24"/>
              </w:rPr>
              <w:t>业务效率主要统计</w:t>
            </w:r>
            <w:r>
              <w:rPr>
                <w:rFonts w:hint="eastAsia"/>
                <w:sz w:val="24"/>
                <w:szCs w:val="24"/>
                <w:lang w:eastAsia="zh-CN"/>
              </w:rPr>
              <w:t>、呼车者类型主要统计、来电类型主要统计、</w:t>
            </w:r>
            <w:r>
              <w:rPr>
                <w:rFonts w:hint="eastAsia"/>
                <w:sz w:val="24"/>
                <w:szCs w:val="24"/>
              </w:rPr>
              <w:t>特殊事件主要统计</w:t>
            </w:r>
            <w:r>
              <w:rPr>
                <w:rFonts w:hint="eastAsia"/>
                <w:sz w:val="24"/>
                <w:szCs w:val="24"/>
                <w:lang w:eastAsia="zh-CN"/>
              </w:rPr>
              <w:t>等。</w:t>
            </w:r>
          </w:p>
          <w:p>
            <w:pPr>
              <w:numPr>
                <w:ilvl w:val="0"/>
                <w:numId w:val="0"/>
              </w:numPr>
              <w:spacing w:line="240" w:lineRule="auto"/>
              <w:ind w:firstLine="480" w:firstLineChars="200"/>
              <w:jc w:val="left"/>
              <w:rPr>
                <w:rFonts w:hint="eastAsia"/>
                <w:sz w:val="24"/>
                <w:szCs w:val="24"/>
                <w:lang w:eastAsia="zh-CN"/>
              </w:rPr>
            </w:pPr>
            <w:r>
              <w:rPr>
                <w:rFonts w:hint="eastAsia"/>
                <w:sz w:val="24"/>
                <w:szCs w:val="24"/>
              </w:rPr>
              <w:t>业务压力主要统计 受理、调度、出车、患者的汇总</w:t>
            </w:r>
            <w:r>
              <w:rPr>
                <w:rFonts w:hint="eastAsia"/>
                <w:sz w:val="24"/>
                <w:szCs w:val="24"/>
                <w:lang w:eastAsia="zh-CN"/>
              </w:rPr>
              <w:t>；</w:t>
            </w:r>
          </w:p>
          <w:p>
            <w:pPr>
              <w:numPr>
                <w:ilvl w:val="0"/>
                <w:numId w:val="0"/>
              </w:numPr>
              <w:spacing w:line="240" w:lineRule="auto"/>
              <w:ind w:leftChars="0" w:firstLine="480" w:firstLineChars="200"/>
              <w:jc w:val="left"/>
              <w:rPr>
                <w:rFonts w:hint="eastAsia"/>
                <w:sz w:val="24"/>
                <w:szCs w:val="24"/>
                <w:lang w:eastAsia="zh-CN"/>
              </w:rPr>
            </w:pPr>
            <w:r>
              <w:rPr>
                <w:rFonts w:hint="eastAsia"/>
                <w:sz w:val="24"/>
                <w:szCs w:val="24"/>
              </w:rPr>
              <w:t>业务效率主要统计 受理、调度、出车的用时</w:t>
            </w:r>
            <w:r>
              <w:rPr>
                <w:rFonts w:hint="eastAsia"/>
                <w:sz w:val="24"/>
                <w:szCs w:val="24"/>
                <w:lang w:eastAsia="zh-CN"/>
              </w:rPr>
              <w:t>；</w:t>
            </w:r>
          </w:p>
          <w:p>
            <w:pPr>
              <w:numPr>
                <w:ilvl w:val="0"/>
                <w:numId w:val="0"/>
              </w:numPr>
              <w:spacing w:line="240" w:lineRule="auto"/>
              <w:ind w:leftChars="0" w:firstLine="480" w:firstLineChars="200"/>
              <w:jc w:val="left"/>
              <w:rPr>
                <w:rFonts w:hint="eastAsia"/>
                <w:sz w:val="24"/>
                <w:szCs w:val="24"/>
                <w:lang w:eastAsia="zh-CN"/>
              </w:rPr>
            </w:pPr>
            <w:r>
              <w:rPr>
                <w:rFonts w:hint="eastAsia"/>
                <w:sz w:val="24"/>
                <w:szCs w:val="24"/>
                <w:lang w:eastAsia="zh-CN"/>
              </w:rPr>
              <w:t>呼车者类型主要统计受理台上的呼车者数量；</w:t>
            </w:r>
          </w:p>
          <w:p>
            <w:pPr>
              <w:numPr>
                <w:ilvl w:val="0"/>
                <w:numId w:val="0"/>
              </w:numPr>
              <w:spacing w:line="240" w:lineRule="auto"/>
              <w:ind w:leftChars="0" w:firstLine="480" w:firstLineChars="200"/>
              <w:jc w:val="left"/>
              <w:rPr>
                <w:rFonts w:hint="eastAsia"/>
                <w:sz w:val="24"/>
                <w:szCs w:val="24"/>
                <w:lang w:eastAsia="zh-CN"/>
              </w:rPr>
            </w:pPr>
            <w:r>
              <w:rPr>
                <w:rFonts w:hint="eastAsia"/>
                <w:sz w:val="24"/>
                <w:szCs w:val="24"/>
                <w:lang w:eastAsia="zh-CN"/>
              </w:rPr>
              <w:t>来电类型主要统计受理界面上的来电类型数量；</w:t>
            </w:r>
          </w:p>
          <w:p>
            <w:pPr>
              <w:numPr>
                <w:ilvl w:val="0"/>
                <w:numId w:val="0"/>
              </w:numPr>
              <w:spacing w:line="240" w:lineRule="auto"/>
              <w:ind w:leftChars="0" w:firstLine="480" w:firstLineChars="200"/>
              <w:jc w:val="left"/>
              <w:rPr>
                <w:rFonts w:hint="eastAsia"/>
                <w:sz w:val="24"/>
                <w:szCs w:val="24"/>
              </w:rPr>
            </w:pPr>
            <w:r>
              <w:rPr>
                <w:rFonts w:hint="eastAsia"/>
                <w:sz w:val="24"/>
                <w:szCs w:val="24"/>
              </w:rPr>
              <w:t>特殊事件主要统计出车过程中遇到的特殊事件。</w:t>
            </w:r>
          </w:p>
          <w:p>
            <w:pPr>
              <w:numPr>
                <w:ilvl w:val="0"/>
                <w:numId w:val="0"/>
              </w:numPr>
              <w:spacing w:line="240" w:lineRule="auto"/>
              <w:ind w:leftChars="0"/>
              <w:jc w:val="left"/>
              <w:rPr>
                <w:rFonts w:hint="eastAsia"/>
                <w:sz w:val="24"/>
                <w:szCs w:val="24"/>
                <w:lang w:eastAsia="zh-CN"/>
              </w:rPr>
            </w:pPr>
            <w:r>
              <w:rPr>
                <w:rFonts w:hint="eastAsia"/>
                <w:sz w:val="24"/>
                <w:szCs w:val="24"/>
              </w:rPr>
              <w:t>2.详细报表</w:t>
            </w:r>
            <w:r>
              <w:rPr>
                <w:rFonts w:hint="eastAsia"/>
                <w:sz w:val="24"/>
                <w:szCs w:val="24"/>
                <w:lang w:eastAsia="zh-CN"/>
              </w:rPr>
              <w:t>，包含调度员（摘机用时、受理用时、调度用时）统计、随车人员（医生现场救治结果、医生出车数、护士出车数、担架员出车数）统计、驾驶员（出车里程、出车响应用时、到达现场用时、急救用时、出车一览）统计、患者（呼叫症状、初步诊断）统计、出车（出车数、里程、平均出车响应时间、到达时间、）统计等。</w:t>
            </w:r>
          </w:p>
        </w:tc>
      </w:tr>
    </w:tbl>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项目基本要求</w:t>
      </w:r>
    </w:p>
    <w:p>
      <w:pPr>
        <w:pStyle w:val="17"/>
        <w:ind w:left="-708" w:leftChars="-337"/>
        <w:rPr>
          <w:rFonts w:ascii="宋体" w:hAnsi="宋体" w:cs="宋体"/>
        </w:rPr>
      </w:pPr>
      <w:r>
        <w:rPr>
          <w:rFonts w:hint="eastAsia" w:ascii="宋体" w:hAnsi="宋体" w:cs="宋体"/>
        </w:rPr>
        <w:t>1、要求</w:t>
      </w:r>
      <w:r>
        <w:rPr>
          <w:rFonts w:hint="eastAsia" w:ascii="宋体" w:hAnsi="宋体" w:cs="宋体"/>
          <w:lang w:eastAsia="zh-CN"/>
        </w:rPr>
        <w:t>按照结合贺州市120急救指挥业务需求及流程，完成本次项目建设</w:t>
      </w:r>
      <w:r>
        <w:rPr>
          <w:rFonts w:hint="eastAsia" w:ascii="宋体" w:hAnsi="宋体" w:cs="宋体"/>
        </w:rPr>
        <w:t>。</w:t>
      </w:r>
    </w:p>
    <w:p>
      <w:pPr>
        <w:pStyle w:val="17"/>
        <w:ind w:left="-708" w:leftChars="-337"/>
        <w:rPr>
          <w:rFonts w:ascii="宋体" w:hAnsi="宋体" w:cs="宋体"/>
        </w:rPr>
      </w:pPr>
      <w:r>
        <w:rPr>
          <w:rFonts w:hint="eastAsia" w:ascii="宋体" w:hAnsi="宋体" w:cs="宋体"/>
        </w:rPr>
        <w:t>2、要求厂商派工程师驻场完成项目实施工作。</w:t>
      </w:r>
    </w:p>
    <w:p>
      <w:pPr>
        <w:pStyle w:val="17"/>
        <w:ind w:left="-708" w:leftChars="-337"/>
        <w:rPr>
          <w:rFonts w:cs="宋体"/>
        </w:rPr>
      </w:pPr>
      <w:r>
        <w:rPr>
          <w:rFonts w:hint="eastAsia" w:ascii="宋体" w:hAnsi="宋体" w:cs="宋体"/>
        </w:rPr>
        <w:t>3、</w:t>
      </w:r>
      <w:r>
        <w:rPr>
          <w:rFonts w:hint="eastAsia" w:cs="宋体"/>
        </w:rPr>
        <w:t>项目实施过程及时与使用科室沟通协作，满足使用科室需求。</w:t>
      </w:r>
      <w:r>
        <w:t xml:space="preserve"> </w:t>
      </w:r>
    </w:p>
    <w:p>
      <w:pPr>
        <w:pStyle w:val="17"/>
        <w:ind w:left="-708" w:leftChars="-337"/>
        <w:rPr>
          <w:rFonts w:cs="宋体"/>
          <w:b/>
          <w:bCs/>
        </w:rPr>
      </w:pPr>
      <w:r>
        <w:rPr>
          <w:rFonts w:hint="eastAsia" w:cs="宋体"/>
          <w:b/>
          <w:bCs/>
        </w:rPr>
        <w:t>（四）商务要求</w:t>
      </w:r>
    </w:p>
    <w:p>
      <w:pPr>
        <w:pStyle w:val="17"/>
        <w:ind w:left="-708" w:leftChars="-337"/>
        <w:rPr>
          <w:rFonts w:cs="宋体"/>
        </w:rPr>
      </w:pPr>
      <w:r>
        <w:rPr>
          <w:rFonts w:hint="eastAsia" w:cs="宋体"/>
          <w:b/>
          <w:bCs/>
        </w:rPr>
        <w:t>1、投标人资格要求</w:t>
      </w:r>
    </w:p>
    <w:p>
      <w:pPr>
        <w:pStyle w:val="17"/>
        <w:ind w:left="-708" w:leftChars="-337"/>
        <w:rPr>
          <w:rFonts w:cs="宋体"/>
        </w:rPr>
      </w:pPr>
      <w:r>
        <w:rPr>
          <w:rFonts w:hint="eastAsia" w:cs="宋体"/>
        </w:rPr>
        <w:t>1）投标人为独立法人，并具备统一社会信用代码。</w:t>
      </w:r>
    </w:p>
    <w:p>
      <w:pPr>
        <w:pStyle w:val="17"/>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17"/>
        <w:ind w:left="-708" w:leftChars="-337"/>
        <w:rPr>
          <w:rFonts w:cs="宋体"/>
        </w:rPr>
      </w:pPr>
      <w:r>
        <w:rPr>
          <w:rFonts w:hint="eastAsia" w:cs="宋体"/>
        </w:rPr>
        <w:t>3）被列入我院投标人黑名单（在我院招投标活动中存在2次违规行为）未满3年的投标人将被拒绝其参与本次招投标活动。</w:t>
      </w:r>
    </w:p>
    <w:p>
      <w:pPr>
        <w:pStyle w:val="17"/>
        <w:ind w:left="-708" w:leftChars="-337"/>
        <w:rPr>
          <w:rFonts w:cs="宋体"/>
          <w:color w:val="auto"/>
        </w:rPr>
      </w:pPr>
      <w:r>
        <w:rPr>
          <w:rFonts w:hint="eastAsia" w:ascii="宋体" w:hAnsi="宋体" w:cs="宋体"/>
        </w:rPr>
        <w:t>4）</w:t>
      </w:r>
      <w:r>
        <w:rPr>
          <w:rFonts w:hint="eastAsia" w:ascii="宋体" w:hAnsi="宋体" w:cs="宋体"/>
          <w:color w:val="auto"/>
        </w:rPr>
        <w:t>本项目不接收联合体投标</w:t>
      </w:r>
      <w:r>
        <w:rPr>
          <w:rFonts w:hint="eastAsia" w:cs="宋体"/>
          <w:color w:val="auto"/>
        </w:rPr>
        <w:t>。</w:t>
      </w:r>
    </w:p>
    <w:p>
      <w:pPr>
        <w:pStyle w:val="17"/>
        <w:ind w:left="-708" w:leftChars="-337"/>
      </w:pPr>
      <w:r>
        <w:rPr>
          <w:rFonts w:hint="eastAsia"/>
          <w:b/>
          <w:bCs/>
        </w:rPr>
        <w:t>2、售后服务和资质</w:t>
      </w:r>
    </w:p>
    <w:p>
      <w:pPr>
        <w:pStyle w:val="17"/>
        <w:ind w:left="-708" w:leftChars="-337"/>
      </w:pPr>
      <w:r>
        <w:rPr>
          <w:rFonts w:hint="eastAsia"/>
        </w:rPr>
        <w:t>1）维保期：项目完成后，甲乙双方共同进行验收，软件维保期为验收合格之日起1年。</w:t>
      </w:r>
    </w:p>
    <w:p>
      <w:pPr>
        <w:pStyle w:val="17"/>
        <w:ind w:left="-708" w:leftChars="-337"/>
      </w:pPr>
      <w:r>
        <w:rPr>
          <w:rFonts w:hint="eastAsia" w:cs="宋体"/>
        </w:rPr>
        <w:t>2）项目地点：</w:t>
      </w:r>
      <w:r>
        <w:rPr>
          <w:rFonts w:hint="eastAsia" w:ascii="宋体" w:hAnsi="宋体" w:cs="宋体"/>
          <w:color w:val="333333"/>
          <w:shd w:val="clear" w:color="auto" w:fill="FFFFFF"/>
        </w:rPr>
        <w:t>广西壮族自治区梧州市万秀区西江四路金鸡冲1号</w:t>
      </w:r>
      <w:r>
        <w:rPr>
          <w:rFonts w:hint="eastAsia" w:ascii="宋体" w:hAnsi="宋体" w:cs="宋体"/>
        </w:rPr>
        <w:t>。</w:t>
      </w:r>
      <w:r>
        <w:t xml:space="preserve">     </w:t>
      </w:r>
    </w:p>
    <w:p>
      <w:pPr>
        <w:pStyle w:val="17"/>
        <w:ind w:left="-708" w:leftChars="-337"/>
      </w:pPr>
      <w:r>
        <w:rPr>
          <w:rFonts w:hint="eastAsia"/>
        </w:rPr>
        <w:t>3）付款条件：</w:t>
      </w:r>
    </w:p>
    <w:p>
      <w:pPr>
        <w:pStyle w:val="17"/>
        <w:ind w:left="-708" w:leftChars="-337" w:firstLine="420"/>
        <w:rPr>
          <w:rFonts w:ascii="宋体" w:hAnsi="宋体" w:cs="宋体"/>
        </w:rPr>
      </w:pPr>
      <w:r>
        <w:rPr>
          <w:rFonts w:hint="eastAsia" w:ascii="宋体" w:hAnsi="宋体" w:cs="宋体"/>
        </w:rPr>
        <w:t xml:space="preserve">第一期付款时间及金额：签订服务合同后15个工作日内完成项目的软件开发、测试、硬件配置、实施及与现有血透系统的对接工作，完成项目的全部系统建设，并通过甲方组织验收确认合格后，投标人方开具合同款95%的发票给甲方，甲方在收到发票后30个工作日内按发票金额付款。 </w:t>
      </w:r>
    </w:p>
    <w:p>
      <w:pPr>
        <w:pStyle w:val="17"/>
        <w:ind w:left="-708" w:leftChars="-337" w:firstLine="420"/>
      </w:pPr>
      <w:r>
        <w:rPr>
          <w:rFonts w:hint="eastAsia" w:ascii="宋体" w:hAnsi="宋体" w:cs="宋体"/>
        </w:rPr>
        <w:t>第二期付款时间及金额：完成第一笔付款且投入正常使用1年后，投标人方开具合同款5%的发票给甲方，甲方在收到发票后30个工作日内按发票金额付款。</w:t>
      </w:r>
    </w:p>
    <w:p>
      <w:pPr>
        <w:pStyle w:val="17"/>
        <w:ind w:left="-708" w:leftChars="-337"/>
        <w:rPr>
          <w:rFonts w:ascii="宋体" w:hAnsi="宋体" w:cs="宋体"/>
        </w:rPr>
      </w:pPr>
      <w:r>
        <w:rPr>
          <w:rFonts w:hint="eastAsia"/>
        </w:rPr>
        <w:t>4）</w:t>
      </w:r>
      <w:r>
        <w:rPr>
          <w:rFonts w:hint="eastAsia" w:ascii="宋体" w:hAnsi="宋体" w:cs="宋体"/>
        </w:rPr>
        <w:t>售后服务：乙方提供7*24小时的技术支持（包括邮件、电话、远程运维、现场服务等方式），保证有足够的人员负责本系统的运维工作，并保证2小时内对用户的运维请求给予响应。</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sdtPr>
        <w:sdtEndPr>
          <w:rPr>
            <w:rFonts w:hint="eastAsia" w:cs="宋体"/>
            <w:color w:val="FF0000"/>
            <w:kern w:val="0"/>
            <w:sz w:val="24"/>
            <w:szCs w:val="24"/>
            <w:u w:val="single"/>
            <w:lang w:val="en-US" w:eastAsia="zh-CN"/>
          </w:rPr>
        </w:sdtEndPr>
        <w:sdtContent>
          <w:r>
            <w:rPr>
              <w:rFonts w:hint="eastAsia" w:cs="宋体"/>
              <w:color w:val="FF0000"/>
              <w:kern w:val="0"/>
              <w:sz w:val="24"/>
              <w:szCs w:val="24"/>
              <w:u w:val="single"/>
              <w:lang w:val="en-US" w:eastAsia="zh-CN"/>
            </w:rPr>
            <w:t>15</w:t>
          </w:r>
          <w:r>
            <w:rPr>
              <w:rFonts w:hint="eastAsia" w:cs="宋体"/>
              <w:color w:val="FF0000"/>
              <w:kern w:val="0"/>
              <w:sz w:val="24"/>
              <w:szCs w:val="24"/>
              <w:u w:val="single"/>
            </w:rPr>
            <w:t>个</w:t>
          </w:r>
          <w:r>
            <w:rPr>
              <w:rFonts w:hint="eastAsia" w:cs="宋体"/>
              <w:color w:val="FF0000"/>
              <w:kern w:val="0"/>
              <w:sz w:val="24"/>
              <w:szCs w:val="24"/>
              <w:u w:val="single"/>
              <w:lang w:eastAsia="zh-CN"/>
            </w:rPr>
            <w:t>历</w:t>
          </w:r>
        </w:sdtContent>
      </w:sdt>
      <w:r>
        <w:rPr>
          <w:rFonts w:hint="eastAsia" w:cs="宋体"/>
          <w:color w:val="FF0000"/>
          <w:kern w:val="0"/>
          <w:sz w:val="24"/>
          <w:szCs w:val="24"/>
          <w:u w:val="single"/>
          <w:lang w:val="en-US" w:eastAsia="zh-CN"/>
        </w:rPr>
        <w:t>日内</w:t>
      </w:r>
      <w:r>
        <w:rPr>
          <w:rFonts w:hint="eastAsia" w:cs="宋体"/>
          <w:kern w:val="0"/>
          <w:sz w:val="24"/>
          <w:szCs w:val="24"/>
        </w:rPr>
        <w:t>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rPr>
        <w:t>三</w:t>
      </w:r>
      <w:r>
        <w:rPr>
          <w:rFonts w:hint="eastAsia" w:cs="宋体"/>
          <w:b/>
          <w:bCs/>
          <w:kern w:val="0"/>
          <w:sz w:val="28"/>
          <w:szCs w:val="28"/>
        </w:rPr>
        <w:t>、其他</w:t>
      </w:r>
    </w:p>
    <w:p>
      <w:pPr>
        <w:pStyle w:val="17"/>
      </w:pPr>
      <w:r>
        <w:rPr>
          <w:rFonts w:hint="eastAsia"/>
        </w:rPr>
        <w:t>无。</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spacing w:line="360" w:lineRule="auto"/>
        <w:ind w:firstLine="422" w:firstLineChars="200"/>
        <w:jc w:val="left"/>
        <w:rPr>
          <w:kern w:val="0"/>
          <w:sz w:val="24"/>
          <w:szCs w:val="24"/>
        </w:rPr>
      </w:pPr>
      <w:r>
        <w:rPr>
          <w:b/>
          <w:bCs/>
          <w:kern w:val="0"/>
        </w:rPr>
        <w:br w:type="page"/>
      </w:r>
    </w:p>
    <w:p>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 xml:space="preserve">评委会将对确定为实质性响应招标文件要求的投标文件进行评价和比较，评标方法采用 </w:t>
      </w:r>
      <w:r>
        <w:rPr>
          <w:rFonts w:hint="eastAsia" w:cs="宋体"/>
          <w:b/>
          <w:bCs/>
          <w:kern w:val="0"/>
          <w:sz w:val="24"/>
          <w:szCs w:val="24"/>
          <w:u w:val="single"/>
        </w:rPr>
        <w:t>综合评分法</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widowControl/>
        <w:spacing w:line="360" w:lineRule="auto"/>
        <w:ind w:firstLine="482" w:firstLineChars="200"/>
        <w:jc w:val="left"/>
      </w:pP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r>
        <w:t xml:space="preserve"> </w:t>
      </w:r>
    </w:p>
    <w:p>
      <w:pPr>
        <w:pStyle w:val="17"/>
        <w:ind w:firstLine="480" w:firstLineChars="200"/>
        <w:rPr>
          <w:rFonts w:hint="eastAsia" w:eastAsia="宋体"/>
          <w:lang w:eastAsia="zh-CN"/>
        </w:rPr>
      </w:pPr>
      <w:r>
        <w:rPr>
          <w:rFonts w:hint="eastAsia" w:ascii="宋体" w:hAnsi="宋体" w:eastAsia="宋体" w:cs="宋体"/>
          <w:sz w:val="24"/>
          <w:szCs w:val="24"/>
        </w:rPr>
        <w:t>本项目，技术评审表的主要内容如下</w:t>
      </w:r>
      <w:r>
        <w:rPr>
          <w:rFonts w:hint="eastAsia" w:ascii="宋体" w:hAnsi="宋体" w:eastAsia="宋体" w:cs="宋体"/>
          <w:sz w:val="24"/>
          <w:szCs w:val="24"/>
          <w:lang w:eastAsia="zh-CN"/>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8"/>
        <w:gridCol w:w="5409"/>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Header/>
          <w:jc w:val="center"/>
        </w:trPr>
        <w:tc>
          <w:tcPr>
            <w:tcW w:w="709" w:type="dxa"/>
            <w:shd w:val="clear" w:color="000000" w:fill="BFBFBF"/>
            <w:vAlign w:val="center"/>
          </w:tcPr>
          <w:p>
            <w:pPr>
              <w:pStyle w:val="31"/>
              <w:spacing w:line="276" w:lineRule="auto"/>
              <w:jc w:val="both"/>
              <w:rPr>
                <w:rFonts w:hint="eastAsia" w:ascii="宋体" w:hAnsi="宋体" w:eastAsia="宋体" w:cs="宋体"/>
                <w:sz w:val="24"/>
                <w:szCs w:val="24"/>
              </w:rPr>
            </w:pPr>
            <w:r>
              <w:rPr>
                <w:rFonts w:hint="eastAsia" w:ascii="宋体" w:hAnsi="宋体" w:eastAsia="宋体" w:cs="宋体"/>
                <w:sz w:val="24"/>
                <w:szCs w:val="24"/>
              </w:rPr>
              <w:t>序号</w:t>
            </w:r>
          </w:p>
        </w:tc>
        <w:tc>
          <w:tcPr>
            <w:tcW w:w="2388" w:type="dxa"/>
            <w:shd w:val="clear" w:color="000000" w:fill="BFBFBF"/>
            <w:vAlign w:val="center"/>
          </w:tcPr>
          <w:p>
            <w:pPr>
              <w:pStyle w:val="31"/>
              <w:spacing w:line="276" w:lineRule="auto"/>
              <w:jc w:val="both"/>
              <w:rPr>
                <w:rFonts w:hint="eastAsia" w:ascii="宋体" w:hAnsi="宋体" w:eastAsia="宋体" w:cs="宋体"/>
                <w:sz w:val="24"/>
                <w:szCs w:val="24"/>
              </w:rPr>
            </w:pPr>
            <w:r>
              <w:rPr>
                <w:rFonts w:hint="eastAsia" w:ascii="宋体" w:hAnsi="宋体" w:eastAsia="宋体" w:cs="宋体"/>
                <w:sz w:val="24"/>
                <w:szCs w:val="24"/>
              </w:rPr>
              <w:t>评审项</w:t>
            </w:r>
          </w:p>
        </w:tc>
        <w:tc>
          <w:tcPr>
            <w:tcW w:w="5409" w:type="dxa"/>
            <w:shd w:val="clear" w:color="000000" w:fill="BFBFBF"/>
            <w:vAlign w:val="center"/>
          </w:tcPr>
          <w:p>
            <w:pPr>
              <w:pStyle w:val="31"/>
              <w:spacing w:line="276" w:lineRule="auto"/>
              <w:jc w:val="both"/>
              <w:rPr>
                <w:rFonts w:hint="eastAsia" w:ascii="宋体" w:hAnsi="宋体" w:eastAsia="宋体" w:cs="宋体"/>
                <w:sz w:val="24"/>
                <w:szCs w:val="24"/>
              </w:rPr>
            </w:pPr>
            <w:r>
              <w:rPr>
                <w:rFonts w:hint="eastAsia" w:ascii="宋体" w:hAnsi="宋体" w:eastAsia="宋体" w:cs="宋体"/>
                <w:sz w:val="24"/>
                <w:szCs w:val="24"/>
              </w:rPr>
              <w:t>评审内容</w:t>
            </w:r>
          </w:p>
        </w:tc>
        <w:tc>
          <w:tcPr>
            <w:tcW w:w="743" w:type="dxa"/>
            <w:shd w:val="clear" w:color="000000" w:fill="BFBFBF"/>
            <w:vAlign w:val="center"/>
          </w:tcPr>
          <w:p>
            <w:pPr>
              <w:pStyle w:val="31"/>
              <w:spacing w:line="276" w:lineRule="auto"/>
              <w:jc w:val="left"/>
              <w:rPr>
                <w:rFonts w:hint="eastAsia" w:ascii="宋体" w:hAnsi="宋体" w:eastAsia="宋体" w:cs="宋体"/>
                <w:sz w:val="24"/>
                <w:szCs w:val="24"/>
              </w:rPr>
            </w:pPr>
            <w:r>
              <w:rPr>
                <w:rFonts w:hint="eastAsia" w:ascii="宋体" w:hAnsi="宋体" w:eastAsia="宋体" w:cs="宋体"/>
                <w:sz w:val="24"/>
                <w:szCs w:val="24"/>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09" w:type="dxa"/>
            <w:vAlign w:val="center"/>
          </w:tcPr>
          <w:p>
            <w:pPr>
              <w:pStyle w:val="32"/>
              <w:spacing w:line="276" w:lineRule="auto"/>
              <w:jc w:val="both"/>
              <w:rPr>
                <w:rFonts w:hint="eastAsia" w:ascii="宋体" w:hAnsi="宋体" w:eastAsia="宋体" w:cs="宋体"/>
                <w:sz w:val="24"/>
                <w:szCs w:val="24"/>
              </w:rPr>
            </w:pPr>
            <w:r>
              <w:rPr>
                <w:rFonts w:hint="eastAsia" w:ascii="宋体" w:hAnsi="宋体" w:eastAsia="宋体" w:cs="宋体"/>
                <w:sz w:val="24"/>
                <w:szCs w:val="24"/>
              </w:rPr>
              <w:t>1</w:t>
            </w:r>
          </w:p>
        </w:tc>
        <w:tc>
          <w:tcPr>
            <w:tcW w:w="2388" w:type="dxa"/>
            <w:vAlign w:val="center"/>
          </w:tcPr>
          <w:p>
            <w:pPr>
              <w:autoSpaceDE w:val="0"/>
              <w:autoSpaceDN w:val="0"/>
              <w:spacing w:line="276" w:lineRule="auto"/>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服务支撑能力（</w:t>
            </w:r>
            <w:r>
              <w:rPr>
                <w:rFonts w:hint="eastAsia" w:ascii="宋体" w:hAnsi="宋体" w:cs="宋体"/>
                <w:kern w:val="2"/>
                <w:sz w:val="24"/>
                <w:szCs w:val="24"/>
                <w:lang w:val="en-US" w:eastAsia="zh-CN"/>
              </w:rPr>
              <w:t>10</w:t>
            </w:r>
            <w:r>
              <w:rPr>
                <w:rFonts w:hint="eastAsia" w:ascii="宋体" w:hAnsi="宋体" w:eastAsia="宋体" w:cs="宋体"/>
                <w:kern w:val="2"/>
                <w:sz w:val="24"/>
                <w:szCs w:val="24"/>
              </w:rPr>
              <w:t>分）</w:t>
            </w:r>
          </w:p>
        </w:tc>
        <w:tc>
          <w:tcPr>
            <w:tcW w:w="5409" w:type="dxa"/>
            <w:vAlign w:val="center"/>
          </w:tcPr>
          <w:p>
            <w:pPr>
              <w:autoSpaceDE w:val="0"/>
              <w:autoSpaceDN w:val="0"/>
              <w:spacing w:line="276" w:lineRule="auto"/>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本地服务机构响应要求：</w:t>
            </w:r>
          </w:p>
          <w:p>
            <w:pPr>
              <w:autoSpaceDE w:val="0"/>
              <w:autoSpaceDN w:val="0"/>
              <w:spacing w:line="276"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投标人在广西贺州市设有办事机构/售后服务机构，或承诺30天内在广西贺州市设有办事机构/售后服务机构，能提供及时的本地化维护服务响应措施得</w:t>
            </w:r>
            <w:r>
              <w:rPr>
                <w:rFonts w:hint="eastAsia" w:ascii="宋体" w:hAnsi="宋体" w:cs="宋体"/>
                <w:kern w:val="2"/>
                <w:sz w:val="24"/>
                <w:szCs w:val="24"/>
                <w:lang w:val="en-US" w:eastAsia="zh-CN"/>
              </w:rPr>
              <w:t>5</w:t>
            </w:r>
            <w:r>
              <w:rPr>
                <w:rFonts w:hint="eastAsia" w:ascii="宋体" w:hAnsi="宋体" w:eastAsia="宋体" w:cs="宋体"/>
                <w:kern w:val="2"/>
                <w:sz w:val="24"/>
                <w:szCs w:val="24"/>
              </w:rPr>
              <w:t>分。</w:t>
            </w:r>
          </w:p>
          <w:p>
            <w:pPr>
              <w:autoSpaceDE w:val="0"/>
              <w:autoSpaceDN w:val="0"/>
              <w:spacing w:line="276" w:lineRule="auto"/>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售后服务支撑响应要求：</w:t>
            </w:r>
          </w:p>
          <w:p>
            <w:pPr>
              <w:autoSpaceDE w:val="0"/>
              <w:autoSpaceDN w:val="0"/>
              <w:spacing w:line="276"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0.5小时内响应得5分，2小时内响应得3分，4小时内响应得2分，超出4小时响应不得分。</w:t>
            </w:r>
          </w:p>
          <w:p>
            <w:pPr>
              <w:autoSpaceDE w:val="0"/>
              <w:autoSpaceDN w:val="0"/>
              <w:spacing w:line="276" w:lineRule="auto"/>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备注：提供的办事机构/售后服务机构须附有房屋产权证书或租赁合同或营业执照等证明材料，否则不计入内。</w:t>
            </w:r>
          </w:p>
        </w:tc>
        <w:tc>
          <w:tcPr>
            <w:tcW w:w="743" w:type="dxa"/>
            <w:vAlign w:val="center"/>
          </w:tcPr>
          <w:p>
            <w:pPr>
              <w:pStyle w:val="32"/>
              <w:spacing w:line="276"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09" w:type="dxa"/>
            <w:vAlign w:val="center"/>
          </w:tcPr>
          <w:p>
            <w:pPr>
              <w:pStyle w:val="32"/>
              <w:spacing w:line="276" w:lineRule="auto"/>
              <w:jc w:val="both"/>
              <w:rPr>
                <w:rFonts w:hint="eastAsia" w:ascii="宋体" w:hAnsi="宋体" w:eastAsia="宋体" w:cs="宋体"/>
                <w:sz w:val="24"/>
                <w:szCs w:val="24"/>
              </w:rPr>
            </w:pPr>
            <w:r>
              <w:rPr>
                <w:rFonts w:hint="eastAsia" w:ascii="宋体" w:hAnsi="宋体" w:eastAsia="宋体" w:cs="宋体"/>
                <w:sz w:val="24"/>
                <w:szCs w:val="24"/>
              </w:rPr>
              <w:t>2</w:t>
            </w:r>
          </w:p>
        </w:tc>
        <w:tc>
          <w:tcPr>
            <w:tcW w:w="2388" w:type="dxa"/>
            <w:vAlign w:val="center"/>
          </w:tcPr>
          <w:p>
            <w:pPr>
              <w:pStyle w:val="32"/>
              <w:spacing w:line="276" w:lineRule="auto"/>
              <w:jc w:val="both"/>
              <w:rPr>
                <w:rFonts w:hint="eastAsia" w:ascii="宋体" w:hAnsi="宋体" w:eastAsia="宋体" w:cs="宋体"/>
                <w:sz w:val="24"/>
                <w:szCs w:val="24"/>
              </w:rPr>
            </w:pPr>
            <w:r>
              <w:rPr>
                <w:rFonts w:hint="eastAsia" w:ascii="宋体" w:hAnsi="宋体" w:eastAsia="宋体" w:cs="宋体"/>
                <w:sz w:val="24"/>
                <w:szCs w:val="24"/>
              </w:rPr>
              <w:t>技术方案（20分）</w:t>
            </w:r>
          </w:p>
        </w:tc>
        <w:tc>
          <w:tcPr>
            <w:tcW w:w="5409" w:type="dxa"/>
            <w:vAlign w:val="center"/>
          </w:tcPr>
          <w:p>
            <w:pPr>
              <w:autoSpaceDE w:val="0"/>
              <w:autoSpaceDN w:val="0"/>
              <w:spacing w:line="276" w:lineRule="auto"/>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考察技术方案制定情况。</w:t>
            </w:r>
          </w:p>
          <w:p>
            <w:pPr>
              <w:autoSpaceDE w:val="0"/>
              <w:autoSpaceDN w:val="0"/>
              <w:spacing w:line="276" w:lineRule="auto"/>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优秀【12-20】分，提供的技术方案能满足采购方的要求，需求分析具有针对性，方案与需求契合度高，对项目工作有清晰的思路及考虑，能提供切合</w:t>
            </w:r>
            <w:r>
              <w:rPr>
                <w:rFonts w:hint="eastAsia" w:ascii="宋体" w:hAnsi="宋体" w:eastAsia="宋体" w:cs="宋体"/>
                <w:kern w:val="2"/>
                <w:sz w:val="24"/>
                <w:szCs w:val="24"/>
                <w:lang w:eastAsia="zh-CN"/>
              </w:rPr>
              <w:t>贺州市荣顺医院</w:t>
            </w:r>
            <w:r>
              <w:rPr>
                <w:rFonts w:hint="eastAsia" w:ascii="宋体" w:hAnsi="宋体" w:eastAsia="宋体" w:cs="宋体"/>
                <w:kern w:val="2"/>
                <w:sz w:val="24"/>
                <w:szCs w:val="24"/>
              </w:rPr>
              <w:t>实际需求的项目建设图纸，完全满足本次项目需求。</w:t>
            </w:r>
          </w:p>
          <w:p>
            <w:pPr>
              <w:autoSpaceDE w:val="0"/>
              <w:autoSpaceDN w:val="0"/>
              <w:spacing w:line="276" w:lineRule="auto"/>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良好【6-12】分，提供的技术方案基本满足采购方的要求，需求分析具有一定针对性，方案与需求契合度较高，对项目工作有一定的思路及考虑。</w:t>
            </w:r>
          </w:p>
          <w:p>
            <w:pPr>
              <w:autoSpaceDE w:val="0"/>
              <w:autoSpaceDN w:val="0"/>
              <w:spacing w:line="276" w:lineRule="auto"/>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一般【0-6】分，提供的技术方案能满足采购方的部分要求，需求分析不具有针对性，方案与需求契合度一般，对项目工作简单考虑。</w:t>
            </w:r>
          </w:p>
        </w:tc>
        <w:tc>
          <w:tcPr>
            <w:tcW w:w="743" w:type="dxa"/>
            <w:vAlign w:val="center"/>
          </w:tcPr>
          <w:p>
            <w:pPr>
              <w:pStyle w:val="32"/>
              <w:spacing w:line="276"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09" w:type="dxa"/>
            <w:vAlign w:val="center"/>
          </w:tcPr>
          <w:p>
            <w:pPr>
              <w:pStyle w:val="32"/>
              <w:spacing w:line="276" w:lineRule="auto"/>
              <w:jc w:val="both"/>
              <w:rPr>
                <w:rFonts w:hint="eastAsia" w:ascii="宋体" w:hAnsi="宋体" w:eastAsia="宋体" w:cs="宋体"/>
                <w:sz w:val="24"/>
                <w:szCs w:val="24"/>
              </w:rPr>
            </w:pPr>
            <w:r>
              <w:rPr>
                <w:rFonts w:hint="eastAsia" w:ascii="宋体" w:hAnsi="宋体" w:eastAsia="宋体" w:cs="宋体"/>
                <w:sz w:val="24"/>
                <w:szCs w:val="24"/>
              </w:rPr>
              <w:t>3</w:t>
            </w:r>
          </w:p>
        </w:tc>
        <w:tc>
          <w:tcPr>
            <w:tcW w:w="2388" w:type="dxa"/>
            <w:vAlign w:val="center"/>
          </w:tcPr>
          <w:p>
            <w:pPr>
              <w:pStyle w:val="32"/>
              <w:spacing w:line="276" w:lineRule="auto"/>
              <w:jc w:val="both"/>
              <w:rPr>
                <w:rFonts w:hint="eastAsia" w:ascii="宋体" w:hAnsi="宋体" w:eastAsia="宋体" w:cs="宋体"/>
                <w:sz w:val="24"/>
                <w:szCs w:val="24"/>
              </w:rPr>
            </w:pPr>
            <w:r>
              <w:rPr>
                <w:rFonts w:hint="eastAsia" w:ascii="宋体" w:hAnsi="宋体" w:eastAsia="宋体" w:cs="宋体"/>
                <w:sz w:val="24"/>
                <w:szCs w:val="24"/>
              </w:rPr>
              <w:t>技术规范应答（</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5409" w:type="dxa"/>
            <w:vAlign w:val="center"/>
          </w:tcPr>
          <w:p>
            <w:pPr>
              <w:autoSpaceDE w:val="0"/>
              <w:autoSpaceDN w:val="0"/>
              <w:spacing w:line="276" w:lineRule="auto"/>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考察</w:t>
            </w:r>
            <w:r>
              <w:rPr>
                <w:rFonts w:hint="eastAsia" w:ascii="宋体" w:hAnsi="宋体" w:eastAsia="宋体" w:cs="宋体"/>
                <w:kern w:val="2"/>
                <w:sz w:val="24"/>
                <w:szCs w:val="24"/>
                <w:lang w:eastAsia="zh-CN"/>
              </w:rPr>
              <w:t>技术参数要求</w:t>
            </w:r>
            <w:r>
              <w:rPr>
                <w:rFonts w:hint="eastAsia" w:ascii="宋体" w:hAnsi="宋体" w:eastAsia="宋体" w:cs="宋体"/>
                <w:kern w:val="2"/>
                <w:sz w:val="24"/>
                <w:szCs w:val="24"/>
              </w:rPr>
              <w:t>应答情况。</w:t>
            </w:r>
          </w:p>
          <w:p>
            <w:pPr>
              <w:autoSpaceDE w:val="0"/>
              <w:autoSpaceDN w:val="0"/>
              <w:spacing w:line="276" w:lineRule="auto"/>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结合</w:t>
            </w:r>
            <w:r>
              <w:rPr>
                <w:rFonts w:hint="eastAsia" w:ascii="宋体" w:hAnsi="宋体" w:eastAsia="宋体" w:cs="宋体"/>
                <w:kern w:val="2"/>
                <w:sz w:val="24"/>
                <w:szCs w:val="24"/>
                <w:lang w:eastAsia="zh-CN"/>
              </w:rPr>
              <w:t>技术参数要求</w:t>
            </w:r>
            <w:r>
              <w:rPr>
                <w:rFonts w:hint="eastAsia" w:ascii="宋体" w:hAnsi="宋体" w:eastAsia="宋体" w:cs="宋体"/>
                <w:kern w:val="2"/>
                <w:sz w:val="24"/>
                <w:szCs w:val="24"/>
              </w:rPr>
              <w:t>逐一核实对比：</w:t>
            </w:r>
          </w:p>
          <w:p>
            <w:pPr>
              <w:autoSpaceDE w:val="0"/>
              <w:autoSpaceDN w:val="0"/>
              <w:spacing w:line="276" w:lineRule="auto"/>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带“★”参数为本次采购主要参数，一项负偏离扣10分，超过三项带“★”负偏离视为无效投标。</w:t>
            </w:r>
          </w:p>
          <w:p>
            <w:pPr>
              <w:autoSpaceDE w:val="0"/>
              <w:autoSpaceDN w:val="0"/>
              <w:spacing w:line="276" w:lineRule="auto"/>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投标产品其余设备性能参数有一项负偏离扣5分，扣完为止。</w:t>
            </w:r>
          </w:p>
          <w:p>
            <w:pPr>
              <w:autoSpaceDE w:val="0"/>
              <w:autoSpaceDN w:val="0"/>
              <w:spacing w:line="276" w:lineRule="auto"/>
              <w:ind w:firstLine="0" w:firstLineChars="0"/>
              <w:textAlignment w:val="auto"/>
              <w:rPr>
                <w:rFonts w:hint="eastAsia" w:ascii="宋体" w:hAnsi="宋体" w:eastAsia="宋体" w:cs="宋体"/>
                <w:bCs/>
                <w:sz w:val="24"/>
                <w:szCs w:val="24"/>
              </w:rPr>
            </w:pPr>
            <w:r>
              <w:rPr>
                <w:rFonts w:hint="eastAsia" w:ascii="宋体" w:hAnsi="宋体" w:eastAsia="宋体" w:cs="宋体"/>
                <w:kern w:val="2"/>
                <w:sz w:val="24"/>
                <w:szCs w:val="24"/>
              </w:rPr>
              <w:t>满足全部</w:t>
            </w:r>
            <w:r>
              <w:rPr>
                <w:rFonts w:hint="eastAsia" w:ascii="宋体" w:hAnsi="宋体" w:eastAsia="宋体" w:cs="宋体"/>
                <w:kern w:val="2"/>
                <w:sz w:val="24"/>
                <w:szCs w:val="24"/>
                <w:lang w:eastAsia="zh-CN"/>
              </w:rPr>
              <w:t>技术参数要求</w:t>
            </w:r>
            <w:r>
              <w:rPr>
                <w:rFonts w:hint="eastAsia" w:ascii="宋体" w:hAnsi="宋体" w:eastAsia="宋体" w:cs="宋体"/>
                <w:kern w:val="2"/>
                <w:sz w:val="24"/>
                <w:szCs w:val="24"/>
              </w:rPr>
              <w:t>则得满分</w:t>
            </w:r>
            <w:r>
              <w:rPr>
                <w:rFonts w:hint="eastAsia" w:ascii="宋体" w:hAnsi="宋体" w:cs="宋体"/>
                <w:kern w:val="2"/>
                <w:sz w:val="24"/>
                <w:szCs w:val="24"/>
                <w:lang w:val="en-US" w:eastAsia="zh-CN"/>
              </w:rPr>
              <w:t>20</w:t>
            </w:r>
            <w:r>
              <w:rPr>
                <w:rFonts w:hint="eastAsia" w:ascii="宋体" w:hAnsi="宋体" w:eastAsia="宋体" w:cs="宋体"/>
                <w:kern w:val="2"/>
                <w:sz w:val="24"/>
                <w:szCs w:val="24"/>
              </w:rPr>
              <w:t>分。对应答“正偏离”的，需提供相关证明材料。</w:t>
            </w:r>
          </w:p>
        </w:tc>
        <w:tc>
          <w:tcPr>
            <w:tcW w:w="743" w:type="dxa"/>
            <w:vAlign w:val="center"/>
          </w:tcPr>
          <w:p>
            <w:pPr>
              <w:pStyle w:val="32"/>
              <w:spacing w:line="276"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9" w:type="dxa"/>
            <w:vAlign w:val="center"/>
          </w:tcPr>
          <w:p>
            <w:pPr>
              <w:pStyle w:val="32"/>
              <w:spacing w:line="276" w:lineRule="auto"/>
              <w:jc w:val="both"/>
              <w:rPr>
                <w:rFonts w:hint="eastAsia" w:ascii="宋体" w:hAnsi="宋体" w:eastAsia="宋体" w:cs="宋体"/>
                <w:sz w:val="24"/>
                <w:szCs w:val="24"/>
              </w:rPr>
            </w:pPr>
            <w:r>
              <w:rPr>
                <w:rFonts w:hint="eastAsia" w:ascii="宋体" w:hAnsi="宋体" w:eastAsia="宋体" w:cs="宋体"/>
                <w:sz w:val="24"/>
                <w:szCs w:val="24"/>
              </w:rPr>
              <w:t>4</w:t>
            </w:r>
          </w:p>
        </w:tc>
        <w:tc>
          <w:tcPr>
            <w:tcW w:w="2388" w:type="dxa"/>
            <w:vAlign w:val="center"/>
          </w:tcPr>
          <w:p>
            <w:pPr>
              <w:pStyle w:val="32"/>
              <w:spacing w:line="276" w:lineRule="auto"/>
              <w:jc w:val="both"/>
              <w:rPr>
                <w:rFonts w:hint="eastAsia" w:ascii="宋体" w:hAnsi="宋体" w:eastAsia="宋体" w:cs="宋体"/>
                <w:sz w:val="24"/>
                <w:szCs w:val="24"/>
              </w:rPr>
            </w:pPr>
            <w:r>
              <w:rPr>
                <w:rFonts w:hint="eastAsia" w:ascii="宋体" w:hAnsi="宋体" w:eastAsia="宋体" w:cs="宋体"/>
                <w:sz w:val="24"/>
                <w:szCs w:val="24"/>
              </w:rPr>
              <w:t>项目团队（</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c>
          <w:tcPr>
            <w:tcW w:w="5409" w:type="dxa"/>
            <w:vAlign w:val="center"/>
          </w:tcPr>
          <w:p>
            <w:pPr>
              <w:autoSpaceDE w:val="0"/>
              <w:autoSpaceDN w:val="0"/>
              <w:spacing w:line="276" w:lineRule="auto"/>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考察项目团队能力。（需提供相关人员身份证复印件及资格证书复印件（如有））</w:t>
            </w:r>
          </w:p>
          <w:p>
            <w:pPr>
              <w:autoSpaceDE w:val="0"/>
              <w:autoSpaceDN w:val="0"/>
              <w:spacing w:line="276" w:lineRule="auto"/>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项目团队：（10分）</w:t>
            </w:r>
          </w:p>
          <w:p>
            <w:pPr>
              <w:autoSpaceDE w:val="0"/>
              <w:autoSpaceDN w:val="0"/>
              <w:spacing w:line="276" w:lineRule="auto"/>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承诺为本项目配置的团队专职成员数量在1</w:t>
            </w:r>
            <w:r>
              <w:rPr>
                <w:rFonts w:hint="eastAsia" w:ascii="宋体" w:hAnsi="宋体" w:cs="宋体"/>
                <w:kern w:val="2"/>
                <w:sz w:val="24"/>
                <w:szCs w:val="24"/>
                <w:lang w:val="en-US" w:eastAsia="zh-CN"/>
              </w:rPr>
              <w:t>0</w:t>
            </w:r>
            <w:r>
              <w:rPr>
                <w:rFonts w:hint="eastAsia" w:ascii="宋体" w:hAnsi="宋体" w:eastAsia="宋体" w:cs="宋体"/>
                <w:kern w:val="2"/>
                <w:sz w:val="24"/>
                <w:szCs w:val="24"/>
              </w:rPr>
              <w:t>人及以上，得满分10分。每少1人扣1分，扣完为止。</w:t>
            </w:r>
          </w:p>
          <w:p>
            <w:pPr>
              <w:autoSpaceDE w:val="0"/>
              <w:autoSpaceDN w:val="0"/>
              <w:spacing w:line="276" w:lineRule="auto"/>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人员资质：（5分）</w:t>
            </w:r>
          </w:p>
          <w:p>
            <w:pPr>
              <w:autoSpaceDE w:val="0"/>
              <w:autoSpaceDN w:val="0"/>
              <w:spacing w:line="276" w:lineRule="auto"/>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项目团队人员中，有一级建造师资质</w:t>
            </w:r>
            <w:r>
              <w:rPr>
                <w:rFonts w:hint="eastAsia" w:ascii="宋体" w:hAnsi="宋体" w:eastAsia="宋体" w:cs="宋体"/>
                <w:kern w:val="2"/>
                <w:sz w:val="24"/>
                <w:szCs w:val="24"/>
                <w:lang w:eastAsia="zh-CN"/>
              </w:rPr>
              <w:t>或高级资格信息系统项目管理师</w:t>
            </w:r>
            <w:r>
              <w:rPr>
                <w:rFonts w:hint="eastAsia" w:ascii="宋体" w:hAnsi="宋体" w:eastAsia="宋体" w:cs="宋体"/>
                <w:kern w:val="2"/>
                <w:sz w:val="24"/>
                <w:szCs w:val="24"/>
              </w:rPr>
              <w:t>的2分/人，二级建造师资质的1分/人，满分5分。</w:t>
            </w:r>
          </w:p>
          <w:p>
            <w:pPr>
              <w:autoSpaceDE w:val="0"/>
              <w:autoSpaceDN w:val="0"/>
              <w:spacing w:line="276" w:lineRule="auto"/>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提供证书复印件和投标截止日近半年连续3个月的供应商为其缴纳社保证明复印件）</w:t>
            </w:r>
          </w:p>
        </w:tc>
        <w:tc>
          <w:tcPr>
            <w:tcW w:w="743" w:type="dxa"/>
            <w:vAlign w:val="center"/>
          </w:tcPr>
          <w:p>
            <w:pPr>
              <w:pStyle w:val="32"/>
              <w:spacing w:line="276"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709" w:type="dxa"/>
            <w:vAlign w:val="center"/>
          </w:tcPr>
          <w:p>
            <w:pPr>
              <w:pStyle w:val="32"/>
              <w:spacing w:line="276" w:lineRule="auto"/>
              <w:jc w:val="both"/>
              <w:rPr>
                <w:rFonts w:hint="eastAsia" w:ascii="宋体" w:hAnsi="宋体" w:eastAsia="宋体" w:cs="宋体"/>
                <w:sz w:val="24"/>
                <w:szCs w:val="24"/>
              </w:rPr>
            </w:pPr>
            <w:r>
              <w:rPr>
                <w:rFonts w:hint="eastAsia" w:ascii="宋体" w:hAnsi="宋体" w:eastAsia="宋体" w:cs="宋体"/>
                <w:sz w:val="24"/>
                <w:szCs w:val="24"/>
              </w:rPr>
              <w:t>5</w:t>
            </w:r>
          </w:p>
        </w:tc>
        <w:tc>
          <w:tcPr>
            <w:tcW w:w="2388" w:type="dxa"/>
            <w:vAlign w:val="center"/>
          </w:tcPr>
          <w:p>
            <w:pPr>
              <w:pStyle w:val="32"/>
              <w:spacing w:line="276" w:lineRule="auto"/>
              <w:jc w:val="both"/>
              <w:rPr>
                <w:rFonts w:hint="eastAsia" w:ascii="宋体" w:hAnsi="宋体" w:eastAsia="宋体" w:cs="宋体"/>
                <w:sz w:val="24"/>
                <w:szCs w:val="24"/>
              </w:rPr>
            </w:pPr>
            <w:r>
              <w:rPr>
                <w:rFonts w:hint="eastAsia" w:ascii="宋体" w:hAnsi="宋体" w:eastAsia="宋体" w:cs="宋体"/>
                <w:sz w:val="24"/>
                <w:szCs w:val="24"/>
              </w:rPr>
              <w:t>信誉、资质（</w:t>
            </w:r>
            <w:r>
              <w:rPr>
                <w:rFonts w:hint="eastAsia" w:ascii="宋体" w:hAnsi="宋体" w:eastAsia="宋体" w:cs="宋体"/>
                <w:sz w:val="24"/>
                <w:szCs w:val="24"/>
                <w:lang w:val="en-US"/>
              </w:rPr>
              <w:t>5</w:t>
            </w:r>
            <w:r>
              <w:rPr>
                <w:rFonts w:hint="eastAsia" w:ascii="宋体" w:hAnsi="宋体" w:eastAsia="宋体" w:cs="宋体"/>
                <w:sz w:val="24"/>
                <w:szCs w:val="24"/>
              </w:rPr>
              <w:t>分）</w:t>
            </w:r>
          </w:p>
        </w:tc>
        <w:tc>
          <w:tcPr>
            <w:tcW w:w="5409" w:type="dxa"/>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投标人</w:t>
            </w:r>
            <w:r>
              <w:rPr>
                <w:rFonts w:hint="eastAsia" w:ascii="宋体" w:hAnsi="宋体" w:eastAsia="宋体" w:cs="宋体"/>
                <w:sz w:val="24"/>
                <w:szCs w:val="24"/>
              </w:rPr>
              <w:t>或</w:t>
            </w:r>
            <w:r>
              <w:rPr>
                <w:rFonts w:hint="eastAsia" w:ascii="宋体" w:hAnsi="宋体" w:eastAsia="宋体" w:cs="宋体"/>
                <w:sz w:val="24"/>
                <w:szCs w:val="24"/>
                <w:lang w:val="en-US" w:eastAsia="zh-CN"/>
              </w:rPr>
              <w:t>投标人</w:t>
            </w:r>
            <w:r>
              <w:rPr>
                <w:rFonts w:hint="eastAsia" w:ascii="宋体" w:hAnsi="宋体" w:eastAsia="宋体" w:cs="宋体"/>
                <w:sz w:val="24"/>
                <w:szCs w:val="24"/>
              </w:rPr>
              <w:t>上级机构可提供ISO 9001质量管理体系认证的相关证明复印件并加盖单位印章，得</w:t>
            </w:r>
            <w:r>
              <w:rPr>
                <w:rFonts w:hint="eastAsia" w:ascii="宋体" w:hAnsi="宋体" w:eastAsia="宋体" w:cs="宋体"/>
                <w:sz w:val="24"/>
                <w:szCs w:val="24"/>
                <w:lang w:val="en-US" w:eastAsia="zh-CN"/>
              </w:rPr>
              <w:t>2.5</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投标人</w:t>
            </w:r>
            <w:r>
              <w:rPr>
                <w:rFonts w:hint="eastAsia" w:ascii="宋体" w:hAnsi="宋体" w:eastAsia="宋体" w:cs="宋体"/>
                <w:sz w:val="24"/>
                <w:szCs w:val="24"/>
              </w:rPr>
              <w:t>或</w:t>
            </w:r>
            <w:r>
              <w:rPr>
                <w:rFonts w:hint="eastAsia" w:ascii="宋体" w:hAnsi="宋体" w:eastAsia="宋体" w:cs="宋体"/>
                <w:sz w:val="24"/>
                <w:szCs w:val="24"/>
                <w:lang w:val="en-US" w:eastAsia="zh-CN"/>
              </w:rPr>
              <w:t>投标人</w:t>
            </w:r>
            <w:r>
              <w:rPr>
                <w:rFonts w:hint="eastAsia" w:ascii="宋体" w:hAnsi="宋体" w:eastAsia="宋体" w:cs="宋体"/>
                <w:sz w:val="24"/>
                <w:szCs w:val="24"/>
              </w:rPr>
              <w:t>上级机构可提供ISO 27001 信息安全体系认证的，提供相关证明复印件并加盖单位印章，得</w:t>
            </w:r>
            <w:r>
              <w:rPr>
                <w:rFonts w:hint="eastAsia" w:ascii="宋体" w:hAnsi="宋体" w:eastAsia="宋体" w:cs="宋体"/>
                <w:sz w:val="24"/>
                <w:szCs w:val="24"/>
                <w:lang w:val="en-US" w:eastAsia="zh-CN"/>
              </w:rPr>
              <w:t>2.5</w:t>
            </w:r>
            <w:r>
              <w:rPr>
                <w:rFonts w:hint="eastAsia" w:ascii="宋体" w:hAnsi="宋体" w:eastAsia="宋体" w:cs="宋体"/>
                <w:sz w:val="24"/>
                <w:szCs w:val="24"/>
              </w:rPr>
              <w:t>分；</w:t>
            </w:r>
          </w:p>
        </w:tc>
        <w:tc>
          <w:tcPr>
            <w:tcW w:w="743" w:type="dxa"/>
            <w:vAlign w:val="center"/>
          </w:tcPr>
          <w:p>
            <w:pPr>
              <w:pStyle w:val="32"/>
              <w:spacing w:line="276"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709" w:type="dxa"/>
            <w:vAlign w:val="center"/>
          </w:tcPr>
          <w:p>
            <w:pPr>
              <w:pStyle w:val="32"/>
              <w:spacing w:line="276" w:lineRule="auto"/>
              <w:jc w:val="both"/>
              <w:rPr>
                <w:rFonts w:hint="eastAsia" w:ascii="宋体" w:hAnsi="宋体" w:eastAsia="宋体" w:cs="宋体"/>
                <w:sz w:val="24"/>
                <w:szCs w:val="24"/>
                <w:lang w:val="en-US"/>
              </w:rPr>
            </w:pPr>
            <w:r>
              <w:rPr>
                <w:rFonts w:hint="eastAsia" w:ascii="宋体" w:hAnsi="宋体" w:eastAsia="宋体" w:cs="宋体"/>
                <w:sz w:val="24"/>
                <w:szCs w:val="24"/>
                <w:lang w:val="en-US"/>
              </w:rPr>
              <w:t>6</w:t>
            </w:r>
          </w:p>
        </w:tc>
        <w:tc>
          <w:tcPr>
            <w:tcW w:w="2388" w:type="dxa"/>
            <w:vAlign w:val="center"/>
          </w:tcPr>
          <w:p>
            <w:pPr>
              <w:pStyle w:val="32"/>
              <w:spacing w:line="276"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价格分（30）</w:t>
            </w:r>
            <w:bookmarkStart w:id="0" w:name="_GoBack"/>
            <w:bookmarkEnd w:id="0"/>
          </w:p>
        </w:tc>
        <w:tc>
          <w:tcPr>
            <w:tcW w:w="5409" w:type="dxa"/>
            <w:vAlign w:val="center"/>
          </w:tcPr>
          <w:p>
            <w:pPr>
              <w:widowControl/>
              <w:spacing w:line="360" w:lineRule="auto"/>
              <w:ind w:right="36" w:rightChars="17"/>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bidi="ar"/>
              </w:rPr>
              <w:t>（1）评标报价为投标人的投标报价进行政策性扣除后的价格，评标报价只是作为评标时使用。最终中标人的中标金额等于投标报价。</w:t>
            </w:r>
          </w:p>
          <w:p>
            <w:pPr>
              <w:widowControl/>
              <w:spacing w:line="360" w:lineRule="auto"/>
              <w:ind w:right="36" w:rightChars="17"/>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bidi="ar"/>
              </w:rPr>
              <w:t xml:space="preserve">（2）满足招标文件要求且评标报价最低的评标报价为评标基准价，其价格分为满分。 </w:t>
            </w:r>
          </w:p>
          <w:p>
            <w:pPr>
              <w:widowControl/>
              <w:spacing w:line="360" w:lineRule="auto"/>
              <w:ind w:right="36" w:rightChars="17"/>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bidi="ar"/>
              </w:rPr>
              <w:t>（3）价格分计算公式：</w:t>
            </w:r>
          </w:p>
          <w:p>
            <w:pPr>
              <w:autoSpaceDE w:val="0"/>
              <w:autoSpaceDN w:val="0"/>
              <w:spacing w:line="276" w:lineRule="auto"/>
              <w:ind w:firstLine="0" w:firstLineChars="0"/>
              <w:textAlignment w:val="auto"/>
              <w:rPr>
                <w:rFonts w:hint="eastAsia" w:ascii="宋体" w:hAnsi="宋体" w:eastAsia="宋体" w:cs="宋体"/>
                <w:kern w:val="2"/>
                <w:sz w:val="24"/>
                <w:szCs w:val="24"/>
              </w:rPr>
            </w:pPr>
            <w:r>
              <w:rPr>
                <w:rFonts w:hint="eastAsia" w:ascii="宋体" w:hAnsi="宋体" w:eastAsia="宋体" w:cs="宋体"/>
                <w:color w:val="auto"/>
                <w:sz w:val="24"/>
                <w:szCs w:val="24"/>
                <w:lang w:val="en-US" w:bidi="ar"/>
              </w:rPr>
              <w:t>价格分=(评标基准价／评标报价)×</w:t>
            </w:r>
            <w:r>
              <w:rPr>
                <w:rFonts w:hint="eastAsia" w:ascii="宋体" w:hAnsi="宋体" w:cs="宋体"/>
                <w:color w:val="auto"/>
                <w:sz w:val="24"/>
                <w:szCs w:val="24"/>
                <w:lang w:val="en-US" w:eastAsia="zh-CN" w:bidi="ar"/>
              </w:rPr>
              <w:t>3</w:t>
            </w:r>
            <w:r>
              <w:rPr>
                <w:rFonts w:hint="eastAsia" w:ascii="宋体" w:hAnsi="宋体" w:eastAsia="宋体" w:cs="宋体"/>
                <w:color w:val="auto"/>
                <w:sz w:val="24"/>
                <w:szCs w:val="24"/>
                <w:lang w:val="en-US" w:bidi="ar"/>
              </w:rPr>
              <w:t>0 分</w:t>
            </w:r>
          </w:p>
        </w:tc>
        <w:tc>
          <w:tcPr>
            <w:tcW w:w="743" w:type="dxa"/>
            <w:vAlign w:val="center"/>
          </w:tcPr>
          <w:p>
            <w:pPr>
              <w:pStyle w:val="32"/>
              <w:spacing w:line="276" w:lineRule="auto"/>
              <w:jc w:val="both"/>
              <w:rPr>
                <w:rFonts w:hint="eastAsia" w:ascii="宋体" w:hAnsi="宋体" w:eastAsia="宋体" w:cs="宋体"/>
                <w:sz w:val="24"/>
                <w:szCs w:val="24"/>
              </w:rPr>
            </w:pPr>
          </w:p>
        </w:tc>
      </w:tr>
    </w:tbl>
    <w:p>
      <w:pPr>
        <w:pStyle w:val="17"/>
      </w:pPr>
    </w:p>
    <w:sectPr>
      <w:pgSz w:w="11906" w:h="16838"/>
      <w:pgMar w:top="1440" w:right="1800"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3AD14"/>
    <w:multiLevelType w:val="singleLevel"/>
    <w:tmpl w:val="C7E3AD14"/>
    <w:lvl w:ilvl="0" w:tentative="0">
      <w:start w:val="1"/>
      <w:numFmt w:val="decimal"/>
      <w:lvlText w:val="%1."/>
      <w:lvlJc w:val="left"/>
      <w:pPr>
        <w:tabs>
          <w:tab w:val="left" w:pos="312"/>
        </w:tabs>
      </w:pPr>
    </w:lvl>
  </w:abstractNum>
  <w:abstractNum w:abstractNumId="1">
    <w:nsid w:val="350E8B6C"/>
    <w:multiLevelType w:val="singleLevel"/>
    <w:tmpl w:val="350E8B6C"/>
    <w:lvl w:ilvl="0" w:tentative="0">
      <w:start w:val="2"/>
      <w:numFmt w:val="chineseCounting"/>
      <w:suff w:val="nothing"/>
      <w:lvlText w:val="（%1）"/>
      <w:lvlJc w:val="left"/>
      <w:rPr>
        <w:rFonts w:hint="eastAsia"/>
      </w:rPr>
    </w:lvl>
  </w:abstractNum>
  <w:abstractNum w:abstractNumId="2">
    <w:nsid w:val="3F55C336"/>
    <w:multiLevelType w:val="singleLevel"/>
    <w:tmpl w:val="3F55C336"/>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ZmUxMTJmMzEwYzc3MTAxNjI1Y2M2ZjFjY2FjMGQ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3B42"/>
    <w:rsid w:val="00474079"/>
    <w:rsid w:val="004C7EB2"/>
    <w:rsid w:val="004D08F5"/>
    <w:rsid w:val="004D2825"/>
    <w:rsid w:val="004F5A76"/>
    <w:rsid w:val="005007DD"/>
    <w:rsid w:val="005D491D"/>
    <w:rsid w:val="005D6940"/>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1C83"/>
    <w:rsid w:val="00CD27A2"/>
    <w:rsid w:val="00D2685D"/>
    <w:rsid w:val="00D41CB5"/>
    <w:rsid w:val="00D57065"/>
    <w:rsid w:val="00DB5864"/>
    <w:rsid w:val="00E14108"/>
    <w:rsid w:val="00E72BBE"/>
    <w:rsid w:val="00EB1C9B"/>
    <w:rsid w:val="00ED5546"/>
    <w:rsid w:val="0C8B0CD1"/>
    <w:rsid w:val="0C8B6EFD"/>
    <w:rsid w:val="0CC05EEA"/>
    <w:rsid w:val="10C97A40"/>
    <w:rsid w:val="122B15C9"/>
    <w:rsid w:val="12CF692A"/>
    <w:rsid w:val="197E5C0A"/>
    <w:rsid w:val="1AB14119"/>
    <w:rsid w:val="1D8A4F6B"/>
    <w:rsid w:val="1F0C2535"/>
    <w:rsid w:val="1FF5205A"/>
    <w:rsid w:val="20407BC3"/>
    <w:rsid w:val="2218153E"/>
    <w:rsid w:val="238241FC"/>
    <w:rsid w:val="24B1410B"/>
    <w:rsid w:val="24EC650D"/>
    <w:rsid w:val="25D6720D"/>
    <w:rsid w:val="260D7B7B"/>
    <w:rsid w:val="26431704"/>
    <w:rsid w:val="266C365A"/>
    <w:rsid w:val="2A251F29"/>
    <w:rsid w:val="2C7D5EC4"/>
    <w:rsid w:val="2E44559E"/>
    <w:rsid w:val="3194337D"/>
    <w:rsid w:val="34C447B5"/>
    <w:rsid w:val="36F866E1"/>
    <w:rsid w:val="3737378F"/>
    <w:rsid w:val="3806606D"/>
    <w:rsid w:val="397701BE"/>
    <w:rsid w:val="3A46288C"/>
    <w:rsid w:val="3C794178"/>
    <w:rsid w:val="3F8769CB"/>
    <w:rsid w:val="405728EC"/>
    <w:rsid w:val="41366ED0"/>
    <w:rsid w:val="41A84EEF"/>
    <w:rsid w:val="41BF166E"/>
    <w:rsid w:val="41DD4901"/>
    <w:rsid w:val="45A83EF3"/>
    <w:rsid w:val="4A504A9B"/>
    <w:rsid w:val="4EAF0F12"/>
    <w:rsid w:val="52730525"/>
    <w:rsid w:val="55E87D1A"/>
    <w:rsid w:val="565D1B35"/>
    <w:rsid w:val="5C8450CB"/>
    <w:rsid w:val="5C9C3F1C"/>
    <w:rsid w:val="5CFB672C"/>
    <w:rsid w:val="5F1E77DB"/>
    <w:rsid w:val="609415B5"/>
    <w:rsid w:val="615D53B0"/>
    <w:rsid w:val="62565A43"/>
    <w:rsid w:val="632D110E"/>
    <w:rsid w:val="63955374"/>
    <w:rsid w:val="64FB6417"/>
    <w:rsid w:val="650D23B7"/>
    <w:rsid w:val="669E1C2C"/>
    <w:rsid w:val="677F6F32"/>
    <w:rsid w:val="67E4014C"/>
    <w:rsid w:val="6A513DD5"/>
    <w:rsid w:val="6A843074"/>
    <w:rsid w:val="6D313433"/>
    <w:rsid w:val="6DD0797D"/>
    <w:rsid w:val="6EB5406A"/>
    <w:rsid w:val="71754026"/>
    <w:rsid w:val="72FD52CD"/>
    <w:rsid w:val="74B5471E"/>
    <w:rsid w:val="75B83D0F"/>
    <w:rsid w:val="76105C22"/>
    <w:rsid w:val="77E41C8F"/>
    <w:rsid w:val="77E80D46"/>
    <w:rsid w:val="77F76AF8"/>
    <w:rsid w:val="7C5A1D85"/>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ind w:left="420" w:leftChars="200" w:firstLine="420" w:firstLineChars="200"/>
    </w:pPr>
    <w:rPr>
      <w:rFonts w:ascii="Times New Roman" w:eastAsia="宋体"/>
      <w:kern w:val="2"/>
      <w:sz w:val="21"/>
      <w:szCs w:val="24"/>
      <w:lang w:val="en-US" w:eastAsia="zh-CN"/>
    </w:rPr>
  </w:style>
  <w:style w:type="paragraph" w:styleId="3">
    <w:name w:val="Body Text Indent"/>
    <w:basedOn w:val="1"/>
    <w:next w:val="1"/>
    <w:qFormat/>
    <w:uiPriority w:val="0"/>
    <w:pPr>
      <w:ind w:firstLine="830" w:firstLineChars="352"/>
    </w:pPr>
    <w:rPr>
      <w:rFonts w:ascii="仿宋_GB2312" w:eastAsia="仿宋_GB2312"/>
      <w:kern w:val="0"/>
      <w:sz w:val="32"/>
      <w:szCs w:val="20"/>
    </w:rPr>
  </w:style>
  <w:style w:type="paragraph" w:styleId="4">
    <w:name w:val="annotation text"/>
    <w:basedOn w:val="1"/>
    <w:link w:val="19"/>
    <w:qFormat/>
    <w:uiPriority w:val="99"/>
    <w:pPr>
      <w:jc w:val="left"/>
    </w:pPr>
  </w:style>
  <w:style w:type="paragraph" w:styleId="5">
    <w:name w:val="Body Text"/>
    <w:basedOn w:val="1"/>
    <w:next w:val="6"/>
    <w:qFormat/>
    <w:uiPriority w:val="0"/>
    <w:rPr>
      <w:rFonts w:ascii="Calibri" w:eastAsia="Calibri"/>
      <w:b/>
      <w:spacing w:val="-8"/>
      <w:sz w:val="44"/>
    </w:rPr>
  </w:style>
  <w:style w:type="paragraph" w:styleId="6">
    <w:name w:val="Date"/>
    <w:basedOn w:val="1"/>
    <w:next w:val="1"/>
    <w:qFormat/>
    <w:uiPriority w:val="0"/>
    <w:pPr>
      <w:ind w:left="100" w:leftChars="2500"/>
    </w:pPr>
    <w:rPr>
      <w:rFonts w:ascii="宋体" w:hAnsi="Courier New"/>
      <w:bCs/>
      <w:kern w:val="0"/>
      <w:sz w:val="24"/>
      <w:szCs w:val="20"/>
    </w:rPr>
  </w:style>
  <w:style w:type="paragraph" w:styleId="7">
    <w:name w:val="Plain Text"/>
    <w:basedOn w:val="1"/>
    <w:link w:val="21"/>
    <w:qFormat/>
    <w:uiPriority w:val="99"/>
    <w:rPr>
      <w:rFonts w:ascii="宋体" w:hAnsi="Courier New"/>
    </w:rPr>
  </w:style>
  <w:style w:type="paragraph" w:styleId="8">
    <w:name w:val="Balloon Text"/>
    <w:basedOn w:val="1"/>
    <w:link w:val="30"/>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next w:val="1"/>
    <w:qFormat/>
    <w:uiPriority w:val="39"/>
    <w:pPr>
      <w:tabs>
        <w:tab w:val="right" w:leader="middleDot" w:pos="8931"/>
      </w:tabs>
      <w:spacing w:line="360" w:lineRule="auto"/>
      <w:jc w:val="center"/>
    </w:pPr>
    <w:rPr>
      <w:rFonts w:ascii="Times New Roman" w:hAnsi="Times New Roman" w:eastAsia="黑体" w:cs="Times New Roman"/>
      <w:caps/>
      <w:color w:val="000000"/>
      <w:sz w:val="24"/>
      <w:szCs w:val="28"/>
      <w:lang w:val="en-US" w:eastAsia="zh-CN" w:bidi="ar-SA"/>
    </w:rPr>
  </w:style>
  <w:style w:type="paragraph" w:styleId="12">
    <w:name w:val="annotation subject"/>
    <w:basedOn w:val="4"/>
    <w:next w:val="4"/>
    <w:link w:val="20"/>
    <w:semiHidden/>
    <w:unhideWhenUsed/>
    <w:qFormat/>
    <w:uiPriority w:val="99"/>
    <w:rPr>
      <w:b/>
      <w:bCs/>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semiHidden/>
    <w:qFormat/>
    <w:uiPriority w:val="99"/>
    <w:rPr>
      <w:sz w:val="21"/>
      <w:szCs w:val="21"/>
    </w:rPr>
  </w:style>
  <w:style w:type="paragraph" w:customStyle="1" w:styleId="1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8">
    <w:name w:val="批注文字 字符"/>
    <w:basedOn w:val="15"/>
    <w:qFormat/>
    <w:uiPriority w:val="99"/>
    <w:rPr>
      <w:rFonts w:ascii="Times New Roman" w:hAnsi="Times New Roman" w:eastAsia="宋体" w:cs="Times New Roman"/>
      <w:szCs w:val="21"/>
    </w:rPr>
  </w:style>
  <w:style w:type="character" w:customStyle="1" w:styleId="19">
    <w:name w:val="批注文字 Char"/>
    <w:link w:val="4"/>
    <w:semiHidden/>
    <w:qFormat/>
    <w:uiPriority w:val="99"/>
    <w:rPr>
      <w:rFonts w:ascii="Times New Roman" w:hAnsi="Times New Roman" w:eastAsia="宋体" w:cs="Times New Roman"/>
      <w:szCs w:val="21"/>
    </w:rPr>
  </w:style>
  <w:style w:type="character" w:customStyle="1" w:styleId="20">
    <w:name w:val="批注主题 Char"/>
    <w:basedOn w:val="19"/>
    <w:link w:val="12"/>
    <w:semiHidden/>
    <w:qFormat/>
    <w:uiPriority w:val="99"/>
    <w:rPr>
      <w:rFonts w:ascii="Times New Roman" w:hAnsi="Times New Roman" w:eastAsia="宋体" w:cs="Times New Roman"/>
      <w:b/>
      <w:bCs/>
      <w:szCs w:val="21"/>
    </w:rPr>
  </w:style>
  <w:style w:type="character" w:customStyle="1" w:styleId="21">
    <w:name w:val="纯文本 Char"/>
    <w:basedOn w:val="15"/>
    <w:link w:val="7"/>
    <w:qFormat/>
    <w:uiPriority w:val="99"/>
    <w:rPr>
      <w:rFonts w:ascii="宋体" w:hAnsi="Courier New" w:eastAsia="宋体" w:cs="Times New Roman"/>
      <w:szCs w:val="21"/>
    </w:rPr>
  </w:style>
  <w:style w:type="paragraph" w:customStyle="1" w:styleId="22">
    <w:name w:val="表格文字"/>
    <w:basedOn w:val="1"/>
    <w:qFormat/>
    <w:uiPriority w:val="0"/>
    <w:pPr>
      <w:spacing w:before="25" w:after="25"/>
      <w:jc w:val="left"/>
    </w:pPr>
    <w:rPr>
      <w:rFonts w:ascii="Calibri" w:hAnsi="Calibri"/>
      <w:bCs/>
      <w:spacing w:val="10"/>
      <w:kern w:val="0"/>
      <w:sz w:val="24"/>
      <w:szCs w:val="20"/>
    </w:rPr>
  </w:style>
  <w:style w:type="character" w:customStyle="1" w:styleId="23">
    <w:name w:val="fontstyle01"/>
    <w:qFormat/>
    <w:uiPriority w:val="0"/>
    <w:rPr>
      <w:rFonts w:hint="eastAsia" w:ascii="宋体" w:hAnsi="宋体" w:eastAsia="宋体"/>
      <w:color w:val="000000"/>
      <w:sz w:val="24"/>
      <w:szCs w:val="24"/>
    </w:rPr>
  </w:style>
  <w:style w:type="character" w:customStyle="1" w:styleId="24">
    <w:name w:val="页眉 Char"/>
    <w:basedOn w:val="15"/>
    <w:link w:val="10"/>
    <w:qFormat/>
    <w:uiPriority w:val="99"/>
    <w:rPr>
      <w:rFonts w:ascii="Times New Roman" w:hAnsi="Times New Roman" w:eastAsia="宋体" w:cs="Times New Roman"/>
      <w:sz w:val="18"/>
      <w:szCs w:val="18"/>
    </w:rPr>
  </w:style>
  <w:style w:type="character" w:customStyle="1" w:styleId="25">
    <w:name w:val="页脚 Char"/>
    <w:basedOn w:val="15"/>
    <w:link w:val="9"/>
    <w:qFormat/>
    <w:uiPriority w:val="99"/>
    <w:rPr>
      <w:rFonts w:ascii="Times New Roman" w:hAnsi="Times New Roman" w:eastAsia="宋体" w:cs="Times New Roman"/>
      <w:sz w:val="18"/>
      <w:szCs w:val="18"/>
    </w:rPr>
  </w:style>
  <w:style w:type="character" w:styleId="26">
    <w:name w:val="Placeholder Text"/>
    <w:basedOn w:val="15"/>
    <w:semiHidden/>
    <w:qFormat/>
    <w:uiPriority w:val="99"/>
    <w:rPr>
      <w:color w:val="808080"/>
    </w:rPr>
  </w:style>
  <w:style w:type="paragraph" w:customStyle="1" w:styleId="27">
    <w:name w:val="样式1"/>
    <w:basedOn w:val="1"/>
    <w:qFormat/>
    <w:uiPriority w:val="0"/>
  </w:style>
  <w:style w:type="paragraph" w:styleId="28">
    <w:name w:val="List Paragraph"/>
    <w:basedOn w:val="1"/>
    <w:qFormat/>
    <w:uiPriority w:val="99"/>
    <w:pPr>
      <w:ind w:firstLine="420" w:firstLineChars="200"/>
    </w:pPr>
  </w:style>
  <w:style w:type="paragraph" w:customStyle="1" w:styleId="29">
    <w:name w:val="列出段落1"/>
    <w:basedOn w:val="1"/>
    <w:qFormat/>
    <w:uiPriority w:val="0"/>
    <w:pPr>
      <w:ind w:firstLine="420" w:firstLineChars="200"/>
    </w:pPr>
    <w:rPr>
      <w:szCs w:val="20"/>
    </w:rPr>
  </w:style>
  <w:style w:type="character" w:customStyle="1" w:styleId="30">
    <w:name w:val="批注框文本 Char"/>
    <w:basedOn w:val="15"/>
    <w:link w:val="8"/>
    <w:semiHidden/>
    <w:qFormat/>
    <w:uiPriority w:val="99"/>
    <w:rPr>
      <w:kern w:val="2"/>
      <w:sz w:val="18"/>
      <w:szCs w:val="18"/>
    </w:rPr>
  </w:style>
  <w:style w:type="paragraph" w:customStyle="1" w:styleId="31">
    <w:name w:val="0表格列头"/>
    <w:basedOn w:val="1"/>
    <w:qFormat/>
    <w:uiPriority w:val="0"/>
    <w:pPr>
      <w:widowControl/>
      <w:adjustRightInd/>
      <w:spacing w:line="240" w:lineRule="auto"/>
      <w:ind w:firstLine="0" w:firstLineChars="0"/>
      <w:jc w:val="center"/>
      <w:textAlignment w:val="auto"/>
    </w:pPr>
    <w:rPr>
      <w:rFonts w:ascii="Calibri" w:hAnsi="Calibri" w:eastAsia="仿宋" w:cs="仿宋_GB2312"/>
      <w:b/>
      <w:kern w:val="2"/>
      <w:sz w:val="21"/>
      <w:szCs w:val="28"/>
    </w:rPr>
  </w:style>
  <w:style w:type="paragraph" w:customStyle="1" w:styleId="32">
    <w:name w:val="0表格样式"/>
    <w:qFormat/>
    <w:uiPriority w:val="0"/>
    <w:rPr>
      <w:rFonts w:ascii="Calibri" w:hAnsi="Calibri" w:eastAsia="仿宋" w:cs="仿宋_GB2312"/>
      <w:kern w:val="2"/>
      <w:sz w:val="21"/>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5A"/>
    <w:rsid w:val="00013D5D"/>
    <w:rsid w:val="00102898"/>
    <w:rsid w:val="001B2DBA"/>
    <w:rsid w:val="00476191"/>
    <w:rsid w:val="0048475D"/>
    <w:rsid w:val="007311C2"/>
    <w:rsid w:val="0080285A"/>
    <w:rsid w:val="008346CC"/>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4FFA341BA8343FD9C88DFD9A2E7E14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16667-69B0-4938-B223-54C7DA51D475}">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3769</Words>
  <Characters>4158</Characters>
  <Lines>31</Lines>
  <Paragraphs>8</Paragraphs>
  <TotalTime>5</TotalTime>
  <ScaleCrop>false</ScaleCrop>
  <LinksUpToDate>false</LinksUpToDate>
  <CharactersWithSpaces>4191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日月星辰</cp:lastModifiedBy>
  <cp:lastPrinted>2021-01-18T07:59:00Z</cp:lastPrinted>
  <dcterms:modified xsi:type="dcterms:W3CDTF">2023-08-08T01:29:18Z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44CC1CC3E3214B3AA19EE6F628B68C1C</vt:lpwstr>
  </property>
</Properties>
</file>