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Ansi="宋体"/>
          <w:b/>
          <w:sz w:val="44"/>
          <w:szCs w:val="44"/>
        </w:rPr>
      </w:pPr>
    </w:p>
    <w:p>
      <w:pPr>
        <w:pStyle w:val="6"/>
        <w:jc w:val="center"/>
        <w:rPr>
          <w:rFonts w:hAnsi="宋体"/>
          <w:b/>
          <w:sz w:val="44"/>
          <w:szCs w:val="44"/>
        </w:rPr>
      </w:pPr>
      <w:r>
        <w:rPr>
          <w:rFonts w:hAnsi="宋体"/>
          <w:b/>
          <w:sz w:val="44"/>
          <w:szCs w:val="44"/>
        </w:rPr>
        <w:t>采购合同书</w:t>
      </w:r>
    </w:p>
    <w:p>
      <w:pPr>
        <w:pStyle w:val="6"/>
        <w:jc w:val="center"/>
        <w:rPr>
          <w:rFonts w:hAnsi="宋体"/>
          <w:b/>
          <w:sz w:val="44"/>
          <w:szCs w:val="44"/>
        </w:rPr>
      </w:pPr>
      <w:r>
        <w:rPr>
          <w:rFonts w:hint="eastAsia" w:hAnsi="宋体"/>
          <w:b/>
          <w:sz w:val="44"/>
          <w:szCs w:val="44"/>
        </w:rPr>
        <w:t>（信息类2023修订）</w:t>
      </w:r>
    </w:p>
    <w:p>
      <w:pPr>
        <w:pStyle w:val="6"/>
        <w:spacing w:line="360" w:lineRule="exact"/>
        <w:jc w:val="center"/>
        <w:rPr>
          <w:rFonts w:hAnsi="宋体"/>
          <w:b/>
          <w:sz w:val="44"/>
          <w:szCs w:val="44"/>
        </w:rPr>
      </w:pPr>
    </w:p>
    <w:p>
      <w:pPr>
        <w:pStyle w:val="6"/>
        <w:spacing w:line="360" w:lineRule="exact"/>
        <w:jc w:val="center"/>
        <w:rPr>
          <w:rFonts w:hAnsi="宋体"/>
          <w:b/>
          <w:sz w:val="44"/>
          <w:szCs w:val="44"/>
        </w:rPr>
      </w:pPr>
    </w:p>
    <w:p>
      <w:pPr>
        <w:pStyle w:val="6"/>
        <w:spacing w:line="360" w:lineRule="exact"/>
        <w:jc w:val="center"/>
        <w:rPr>
          <w:rFonts w:hAnsi="宋体"/>
          <w:b/>
          <w:sz w:val="44"/>
          <w:szCs w:val="44"/>
        </w:rPr>
      </w:pPr>
    </w:p>
    <w:p>
      <w:pPr>
        <w:pStyle w:val="6"/>
        <w:spacing w:line="360" w:lineRule="exact"/>
        <w:rPr>
          <w:rFonts w:hAnsi="宋体"/>
          <w:b/>
          <w:sz w:val="44"/>
          <w:szCs w:val="44"/>
        </w:rPr>
      </w:pPr>
    </w:p>
    <w:p>
      <w:pPr>
        <w:pStyle w:val="6"/>
        <w:ind w:left="1050" w:leftChars="500"/>
        <w:jc w:val="center"/>
        <w:rPr>
          <w:rFonts w:hAnsi="宋体"/>
          <w:b/>
          <w:sz w:val="44"/>
          <w:szCs w:val="44"/>
        </w:rPr>
      </w:pPr>
    </w:p>
    <w:p>
      <w:pPr>
        <w:pStyle w:val="6"/>
        <w:ind w:left="2375" w:leftChars="500" w:hanging="1325" w:hangingChars="300"/>
        <w:rPr>
          <w:rFonts w:hAnsi="宋体"/>
          <w:b/>
          <w:sz w:val="44"/>
          <w:szCs w:val="44"/>
          <w:u w:val="single"/>
        </w:rPr>
      </w:pPr>
      <w:r>
        <w:rPr>
          <w:rFonts w:hAnsi="宋体"/>
          <w:b/>
          <w:sz w:val="44"/>
          <w:szCs w:val="44"/>
        </w:rPr>
        <w:t>合同名称</w:t>
      </w:r>
      <w:r>
        <w:rPr>
          <w:rFonts w:hint="eastAsia" w:hAnsi="宋体" w:cs="宋体"/>
          <w:b/>
          <w:sz w:val="44"/>
          <w:szCs w:val="44"/>
        </w:rPr>
        <w:t>：</w:t>
      </w:r>
      <w:r>
        <w:rPr>
          <w:rFonts w:hint="eastAsia" w:hAnsi="宋体"/>
          <w:b/>
          <w:sz w:val="44"/>
          <w:szCs w:val="44"/>
          <w:u w:val="single"/>
        </w:rPr>
        <w:t>院前急救指挥调度系统昭</w:t>
      </w:r>
      <w:r>
        <w:rPr>
          <w:rFonts w:hint="eastAsia" w:hAnsi="宋体"/>
          <w:b/>
          <w:sz w:val="44"/>
          <w:szCs w:val="44"/>
          <w:u w:val="none"/>
          <w:lang w:val="en-US" w:eastAsia="zh-CN"/>
        </w:rPr>
        <w:tab/>
      </w:r>
      <w:r>
        <w:rPr>
          <w:rFonts w:hint="eastAsia" w:hAnsi="宋体"/>
          <w:b/>
          <w:sz w:val="44"/>
          <w:szCs w:val="44"/>
          <w:u w:val="none"/>
          <w:lang w:val="en-US" w:eastAsia="zh-CN"/>
        </w:rPr>
        <w:tab/>
      </w:r>
      <w:r>
        <w:rPr>
          <w:rFonts w:hint="eastAsia" w:hAnsi="宋体"/>
          <w:b/>
          <w:sz w:val="44"/>
          <w:szCs w:val="44"/>
          <w:u w:val="none"/>
          <w:lang w:val="en-US" w:eastAsia="zh-CN"/>
        </w:rPr>
        <w:tab/>
      </w:r>
      <w:r>
        <w:rPr>
          <w:rFonts w:hint="eastAsia" w:hAnsi="宋体"/>
          <w:b/>
          <w:sz w:val="44"/>
          <w:szCs w:val="44"/>
          <w:u w:val="single"/>
        </w:rPr>
        <w:t>平县级分系统</w:t>
      </w:r>
      <w:bookmarkStart w:id="0" w:name="_GoBack"/>
      <w:bookmarkEnd w:id="0"/>
      <w:r>
        <w:rPr>
          <w:rFonts w:hAnsi="宋体"/>
          <w:b/>
          <w:sz w:val="44"/>
          <w:szCs w:val="44"/>
          <w:u w:val="single"/>
        </w:rPr>
        <w:t>　</w:t>
      </w:r>
      <w:r>
        <w:rPr>
          <w:rFonts w:hint="eastAsia" w:hAnsi="宋体"/>
          <w:b/>
          <w:sz w:val="44"/>
          <w:szCs w:val="44"/>
          <w:u w:val="single"/>
        </w:rPr>
        <w:t xml:space="preserve">                    </w:t>
      </w:r>
    </w:p>
    <w:p>
      <w:pPr>
        <w:pStyle w:val="6"/>
        <w:ind w:left="1050" w:leftChars="500"/>
        <w:rPr>
          <w:rFonts w:hAnsi="宋体" w:cs="宋体"/>
          <w:bCs/>
          <w:sz w:val="44"/>
          <w:szCs w:val="44"/>
          <w:u w:val="single"/>
        </w:rPr>
      </w:pPr>
    </w:p>
    <w:p>
      <w:pPr>
        <w:pStyle w:val="6"/>
        <w:ind w:left="1050" w:leftChars="500"/>
        <w:rPr>
          <w:rFonts w:hAnsi="宋体"/>
          <w:b/>
          <w:sz w:val="44"/>
          <w:szCs w:val="44"/>
          <w:u w:val="single"/>
        </w:rPr>
      </w:pPr>
      <w:r>
        <w:rPr>
          <w:rFonts w:hint="eastAsia" w:hAnsi="宋体"/>
          <w:b/>
          <w:sz w:val="44"/>
          <w:szCs w:val="44"/>
        </w:rPr>
        <w:t>合同编号：</w:t>
      </w:r>
      <w:r>
        <w:rPr>
          <w:rFonts w:hint="eastAsia" w:hAnsi="宋体"/>
          <w:b/>
          <w:sz w:val="44"/>
          <w:szCs w:val="44"/>
          <w:u w:val="single"/>
        </w:rPr>
        <w:t xml:space="preserve">   桂东</w:t>
      </w:r>
      <w:r>
        <w:rPr>
          <w:rFonts w:hint="eastAsia" w:hAnsi="宋体"/>
          <w:b/>
          <w:sz w:val="44"/>
          <w:szCs w:val="44"/>
          <w:u w:val="single"/>
          <w:lang w:eastAsia="zh-CN"/>
        </w:rPr>
        <w:t>合</w:t>
      </w:r>
      <w:r>
        <w:rPr>
          <w:rFonts w:hint="eastAsia" w:hAnsi="宋体"/>
          <w:b/>
          <w:sz w:val="44"/>
          <w:szCs w:val="44"/>
          <w:u w:val="single"/>
          <w:lang w:val="en-US" w:eastAsia="zh-CN"/>
        </w:rPr>
        <w:t>B-</w:t>
      </w:r>
      <w:r>
        <w:rPr>
          <w:rFonts w:hint="eastAsia" w:hAnsi="宋体"/>
          <w:b/>
          <w:sz w:val="44"/>
          <w:szCs w:val="44"/>
          <w:u w:val="single"/>
        </w:rPr>
        <w:t>2023</w:t>
      </w:r>
      <w:r>
        <w:rPr>
          <w:rFonts w:hint="eastAsia" w:hAnsi="宋体"/>
          <w:b/>
          <w:sz w:val="44"/>
          <w:szCs w:val="44"/>
          <w:u w:val="single"/>
          <w:lang w:val="en-US" w:eastAsia="zh-CN"/>
        </w:rPr>
        <w:t>-X</w:t>
      </w:r>
      <w:r>
        <w:rPr>
          <w:rFonts w:hint="eastAsia" w:hAnsi="宋体"/>
          <w:b/>
          <w:sz w:val="44"/>
          <w:szCs w:val="44"/>
          <w:u w:val="single"/>
        </w:rPr>
        <w:t xml:space="preserve">              </w:t>
      </w:r>
    </w:p>
    <w:p>
      <w:pPr>
        <w:pStyle w:val="6"/>
        <w:ind w:left="1050" w:leftChars="500"/>
        <w:rPr>
          <w:rFonts w:hAnsi="宋体"/>
          <w:b/>
          <w:sz w:val="44"/>
          <w:szCs w:val="44"/>
          <w:u w:val="single"/>
        </w:rPr>
      </w:pPr>
    </w:p>
    <w:p>
      <w:pPr>
        <w:pStyle w:val="6"/>
        <w:ind w:left="1050" w:leftChars="500"/>
        <w:rPr>
          <w:rFonts w:hAnsi="宋体"/>
          <w:b/>
          <w:sz w:val="44"/>
          <w:szCs w:val="44"/>
          <w:u w:val="single"/>
        </w:rPr>
      </w:pPr>
      <w:r>
        <w:rPr>
          <w:rFonts w:hAnsi="宋体"/>
          <w:b/>
          <w:sz w:val="44"/>
          <w:szCs w:val="44"/>
        </w:rPr>
        <w:t>项目编号：</w:t>
      </w:r>
      <w:r>
        <w:rPr>
          <w:rFonts w:hAnsi="宋体"/>
          <w:b/>
          <w:sz w:val="44"/>
          <w:szCs w:val="44"/>
          <w:u w:val="single"/>
        </w:rPr>
        <w:t>　</w:t>
      </w:r>
      <w:r>
        <w:rPr>
          <w:rFonts w:hint="eastAsia" w:ascii="Times New Roman" w:hAnsi="Times New Roman"/>
          <w:sz w:val="44"/>
          <w:szCs w:val="44"/>
          <w:u w:val="single"/>
        </w:rPr>
        <w:t xml:space="preserve"> </w:t>
      </w:r>
      <w:r>
        <w:rPr>
          <w:rFonts w:hint="eastAsia" w:hAnsi="宋体"/>
          <w:b/>
          <w:sz w:val="44"/>
          <w:szCs w:val="44"/>
          <w:u w:val="single"/>
        </w:rPr>
        <w:t>桂东招</w:t>
      </w:r>
      <w:r>
        <w:rPr>
          <w:rFonts w:hint="eastAsia" w:hAnsi="宋体"/>
          <w:b/>
          <w:sz w:val="44"/>
          <w:szCs w:val="44"/>
          <w:u w:val="single"/>
          <w:lang w:val="en-US" w:eastAsia="zh-CN"/>
        </w:rPr>
        <w:t>B-</w:t>
      </w:r>
      <w:r>
        <w:rPr>
          <w:rFonts w:hint="eastAsia" w:hAnsi="宋体"/>
          <w:b/>
          <w:sz w:val="44"/>
          <w:szCs w:val="44"/>
          <w:u w:val="single"/>
        </w:rPr>
        <w:t>2023</w:t>
      </w:r>
      <w:r>
        <w:rPr>
          <w:rFonts w:hint="eastAsia" w:hAnsi="宋体"/>
          <w:b/>
          <w:sz w:val="44"/>
          <w:szCs w:val="44"/>
          <w:u w:val="single"/>
          <w:lang w:val="en-US" w:eastAsia="zh-CN"/>
        </w:rPr>
        <w:t>-X</w:t>
      </w:r>
      <w:r>
        <w:rPr>
          <w:rFonts w:hAnsi="宋体"/>
          <w:b/>
          <w:sz w:val="44"/>
          <w:szCs w:val="44"/>
          <w:u w:val="single"/>
        </w:rPr>
        <w:t>　</w:t>
      </w:r>
      <w:r>
        <w:rPr>
          <w:rFonts w:hint="eastAsia" w:hAnsi="宋体"/>
          <w:b/>
          <w:sz w:val="44"/>
          <w:szCs w:val="44"/>
          <w:u w:val="single"/>
        </w:rPr>
        <w:t xml:space="preserve">            </w:t>
      </w:r>
    </w:p>
    <w:p>
      <w:pPr>
        <w:pStyle w:val="6"/>
        <w:ind w:left="1050" w:leftChars="500"/>
        <w:rPr>
          <w:rFonts w:hAnsi="宋体"/>
          <w:b/>
          <w:sz w:val="44"/>
          <w:szCs w:val="44"/>
          <w:u w:val="single"/>
        </w:rPr>
      </w:pPr>
    </w:p>
    <w:p>
      <w:pPr>
        <w:pStyle w:val="6"/>
        <w:rPr>
          <w:rFonts w:hAnsi="宋体"/>
          <w:b/>
          <w:sz w:val="44"/>
          <w:szCs w:val="44"/>
        </w:rPr>
      </w:pPr>
    </w:p>
    <w:p>
      <w:pPr>
        <w:pStyle w:val="6"/>
        <w:ind w:left="1050" w:leftChars="500"/>
        <w:jc w:val="center"/>
        <w:rPr>
          <w:rFonts w:hAnsi="宋体"/>
          <w:b/>
          <w:sz w:val="44"/>
          <w:szCs w:val="44"/>
        </w:rPr>
      </w:pPr>
    </w:p>
    <w:p>
      <w:pPr>
        <w:pStyle w:val="6"/>
        <w:ind w:left="3531" w:leftChars="209" w:hanging="3092" w:hangingChars="700"/>
        <w:rPr>
          <w:rFonts w:hAnsi="宋体"/>
          <w:b/>
          <w:sz w:val="44"/>
          <w:szCs w:val="44"/>
        </w:rPr>
      </w:pPr>
      <w:r>
        <w:rPr>
          <w:rFonts w:hAnsi="宋体"/>
          <w:b/>
          <w:sz w:val="44"/>
          <w:szCs w:val="44"/>
        </w:rPr>
        <w:t>签订合同地点：</w:t>
      </w:r>
      <w:r>
        <w:rPr>
          <w:rFonts w:hint="eastAsia" w:hAnsi="宋体"/>
          <w:bCs/>
          <w:sz w:val="44"/>
          <w:szCs w:val="44"/>
          <w:u w:val="single"/>
        </w:rPr>
        <w:t>广西壮族自治区桂东人民医院</w:t>
      </w:r>
    </w:p>
    <w:p>
      <w:pPr>
        <w:pStyle w:val="6"/>
        <w:ind w:left="1050" w:leftChars="500"/>
        <w:rPr>
          <w:rFonts w:hAnsi="宋体"/>
          <w:b/>
          <w:sz w:val="44"/>
          <w:szCs w:val="44"/>
        </w:rPr>
      </w:pPr>
    </w:p>
    <w:p>
      <w:pPr>
        <w:pStyle w:val="6"/>
        <w:ind w:firstLine="442" w:firstLineChars="100"/>
        <w:rPr>
          <w:rFonts w:hAnsi="宋体"/>
          <w:sz w:val="44"/>
          <w:szCs w:val="44"/>
          <w:u w:val="single"/>
        </w:rPr>
      </w:pPr>
      <w:r>
        <w:rPr>
          <w:rFonts w:hAnsi="宋体"/>
          <w:b/>
          <w:sz w:val="44"/>
          <w:szCs w:val="44"/>
        </w:rPr>
        <w:t>签订合同时间：</w:t>
      </w:r>
      <w:r>
        <w:rPr>
          <w:rFonts w:hAnsi="宋体"/>
          <w:sz w:val="44"/>
          <w:szCs w:val="44"/>
          <w:u w:val="single"/>
        </w:rPr>
        <w:t>　　　　　</w:t>
      </w:r>
      <w:r>
        <w:rPr>
          <w:rFonts w:hint="eastAsia" w:hAnsi="宋体"/>
          <w:sz w:val="44"/>
          <w:szCs w:val="44"/>
          <w:u w:val="single"/>
        </w:rPr>
        <w:t xml:space="preserve">              </w:t>
      </w:r>
      <w:r>
        <w:rPr>
          <w:rFonts w:hAnsi="宋体"/>
          <w:sz w:val="44"/>
          <w:szCs w:val="44"/>
          <w:u w:val="single"/>
        </w:rPr>
        <w:t>　</w:t>
      </w:r>
    </w:p>
    <w:p>
      <w:pPr>
        <w:pStyle w:val="6"/>
        <w:ind w:firstLine="440" w:firstLineChars="100"/>
        <w:rPr>
          <w:rFonts w:hAnsi="宋体"/>
          <w:sz w:val="44"/>
          <w:szCs w:val="44"/>
          <w:u w:val="single"/>
        </w:rPr>
      </w:pPr>
    </w:p>
    <w:p>
      <w:pPr>
        <w:pStyle w:val="6"/>
        <w:ind w:firstLine="440" w:firstLineChars="100"/>
        <w:rPr>
          <w:rFonts w:hAnsi="宋体"/>
          <w:sz w:val="44"/>
          <w:szCs w:val="44"/>
          <w:u w:val="single"/>
        </w:rPr>
      </w:pPr>
    </w:p>
    <w:p>
      <w:pPr>
        <w:pStyle w:val="6"/>
        <w:rPr>
          <w:rFonts w:hAnsi="宋体"/>
          <w:sz w:val="44"/>
          <w:szCs w:val="44"/>
          <w:u w:val="single"/>
        </w:rPr>
      </w:pPr>
    </w:p>
    <w:p>
      <w:pPr>
        <w:spacing w:before="240" w:after="312" w:afterLines="100"/>
        <w:jc w:val="center"/>
        <w:rPr>
          <w:rFonts w:ascii="黑体" w:eastAsia="黑体"/>
          <w:sz w:val="44"/>
          <w:szCs w:val="44"/>
        </w:rPr>
      </w:pPr>
      <w:r>
        <w:rPr>
          <w:rFonts w:hint="eastAsia" w:ascii="黑体" w:eastAsia="黑体"/>
          <w:sz w:val="44"/>
          <w:szCs w:val="44"/>
        </w:rPr>
        <w:t>合同书</w:t>
      </w:r>
    </w:p>
    <w:p>
      <w:pPr>
        <w:spacing w:before="240" w:line="320" w:lineRule="exact"/>
        <w:rPr>
          <w:rFonts w:ascii="宋体" w:hAnsi="宋体" w:cs="宋体"/>
          <w:sz w:val="28"/>
          <w:szCs w:val="28"/>
        </w:rPr>
      </w:pPr>
      <w:r>
        <w:rPr>
          <w:rFonts w:hint="eastAsia" w:ascii="宋体" w:hAnsi="宋体" w:cs="宋体"/>
          <w:sz w:val="28"/>
          <w:szCs w:val="28"/>
        </w:rPr>
        <w:t>甲方：</w:t>
      </w:r>
      <w:r>
        <w:rPr>
          <w:rFonts w:hint="eastAsia" w:ascii="宋体" w:hAnsi="宋体" w:cs="宋体"/>
          <w:sz w:val="28"/>
          <w:szCs w:val="28"/>
          <w:u w:val="single"/>
        </w:rPr>
        <w:t xml:space="preserve"> 广西壮族自治区桂东人民医院 </w:t>
      </w:r>
      <w:r>
        <w:rPr>
          <w:rFonts w:hint="eastAsia" w:ascii="宋体" w:hAnsi="宋体" w:cs="宋体"/>
          <w:sz w:val="28"/>
          <w:szCs w:val="28"/>
        </w:rPr>
        <w:t xml:space="preserve">                       　　　　　　　　　</w:t>
      </w:r>
    </w:p>
    <w:p>
      <w:pPr>
        <w:spacing w:before="240" w:line="320" w:lineRule="exact"/>
        <w:rPr>
          <w:spacing w:val="-20"/>
          <w:sz w:val="28"/>
          <w:szCs w:val="28"/>
        </w:rPr>
      </w:pPr>
      <w:r>
        <w:rPr>
          <w:rFonts w:hint="eastAsia" w:ascii="宋体" w:hAnsi="宋体" w:cs="宋体"/>
          <w:spacing w:val="-20"/>
          <w:sz w:val="28"/>
          <w:szCs w:val="28"/>
        </w:rPr>
        <w:t>乙方：</w:t>
      </w:r>
      <w:r>
        <w:rPr>
          <w:rFonts w:hint="eastAsia" w:ascii="宋体" w:hAnsi="宋体" w:cs="宋体"/>
          <w:spacing w:val="-20"/>
          <w:sz w:val="28"/>
          <w:szCs w:val="28"/>
          <w:u w:val="single"/>
        </w:rPr>
        <w:t xml:space="preserve">  </w:t>
      </w:r>
      <w:r>
        <w:rPr>
          <w:rFonts w:hint="eastAsia" w:ascii="宋体" w:hAnsi="宋体" w:cs="宋体"/>
          <w:spacing w:val="-20"/>
          <w:sz w:val="28"/>
          <w:szCs w:val="28"/>
          <w:u w:val="single"/>
          <w:lang w:val="en-US" w:eastAsia="zh-CN"/>
        </w:rPr>
        <w:t xml:space="preserve">                                    </w:t>
      </w:r>
      <w:r>
        <w:rPr>
          <w:rFonts w:hint="eastAsia" w:ascii="宋体" w:hAnsi="宋体" w:cs="宋体"/>
          <w:spacing w:val="-20"/>
          <w:sz w:val="28"/>
          <w:szCs w:val="28"/>
          <w:u w:val="single"/>
        </w:rPr>
        <w:t xml:space="preserve">   </w:t>
      </w:r>
      <w:r>
        <w:rPr>
          <w:rFonts w:hint="eastAsia"/>
          <w:spacing w:val="-20"/>
          <w:sz w:val="28"/>
          <w:szCs w:val="28"/>
        </w:rPr>
        <w:t xml:space="preserve">     </w:t>
      </w:r>
    </w:p>
    <w:p>
      <w:pPr>
        <w:spacing w:before="240" w:line="320" w:lineRule="exact"/>
        <w:rPr>
          <w:spacing w:val="-20"/>
          <w:sz w:val="28"/>
          <w:szCs w:val="28"/>
        </w:rPr>
      </w:pPr>
      <w:r>
        <w:rPr>
          <w:rFonts w:hint="eastAsia"/>
          <w:spacing w:val="-20"/>
          <w:sz w:val="28"/>
          <w:szCs w:val="28"/>
        </w:rPr>
        <w:t xml:space="preserve">  </w:t>
      </w:r>
    </w:p>
    <w:p>
      <w:pPr>
        <w:pStyle w:val="6"/>
        <w:ind w:firstLine="560" w:firstLineChars="200"/>
        <w:rPr>
          <w:rFonts w:hAnsi="宋体" w:cs="宋体"/>
          <w:sz w:val="28"/>
          <w:szCs w:val="28"/>
        </w:rPr>
      </w:pPr>
      <w:r>
        <w:rPr>
          <w:rFonts w:hint="eastAsia" w:hAnsi="宋体" w:cs="宋体"/>
          <w:sz w:val="28"/>
          <w:szCs w:val="28"/>
        </w:rPr>
        <w:t>根据《中华人民共和国政府采购法》、《中华人民共和国民法典》等法律、法规规定，按照采购文件规定条款和中标供应商的投标文件承诺，甲乙双方签订本合同。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第一条　合同标的</w:t>
      </w:r>
    </w:p>
    <w:p>
      <w:pPr>
        <w:snapToGrid w:val="0"/>
        <w:spacing w:line="400" w:lineRule="exact"/>
        <w:ind w:firstLine="560" w:firstLineChars="200"/>
        <w:outlineLvl w:val="2"/>
        <w:rPr>
          <w:rFonts w:hint="eastAsia" w:ascii="宋体" w:hAnsi="宋体" w:cs="宋体"/>
          <w:sz w:val="28"/>
          <w:szCs w:val="28"/>
        </w:rPr>
      </w:pPr>
      <w:r>
        <w:rPr>
          <w:rFonts w:hint="eastAsia" w:ascii="宋体" w:hAnsi="宋体" w:cs="宋体"/>
          <w:sz w:val="28"/>
          <w:szCs w:val="28"/>
        </w:rPr>
        <w:t>1、采购需求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3548"/>
        <w:gridCol w:w="1763"/>
        <w:gridCol w:w="115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序号</w:t>
            </w:r>
          </w:p>
        </w:tc>
        <w:tc>
          <w:tcPr>
            <w:tcW w:w="3548"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采购内容</w:t>
            </w:r>
          </w:p>
        </w:tc>
        <w:tc>
          <w:tcPr>
            <w:tcW w:w="1763"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类别</w:t>
            </w:r>
          </w:p>
        </w:tc>
        <w:tc>
          <w:tcPr>
            <w:tcW w:w="1150" w:type="dxa"/>
            <w:vAlign w:val="top"/>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单位</w:t>
            </w:r>
          </w:p>
        </w:tc>
        <w:tc>
          <w:tcPr>
            <w:tcW w:w="1113" w:type="dxa"/>
            <w:vAlign w:val="top"/>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c>
          <w:tcPr>
            <w:tcW w:w="3548"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受理调度子系统</w:t>
            </w:r>
          </w:p>
        </w:tc>
        <w:tc>
          <w:tcPr>
            <w:tcW w:w="1763"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服务类</w:t>
            </w:r>
          </w:p>
        </w:tc>
        <w:tc>
          <w:tcPr>
            <w:tcW w:w="1150"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套</w:t>
            </w:r>
          </w:p>
        </w:tc>
        <w:tc>
          <w:tcPr>
            <w:tcW w:w="1113"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p>
        </w:tc>
        <w:tc>
          <w:tcPr>
            <w:tcW w:w="3548"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地理信息子系统</w:t>
            </w:r>
          </w:p>
        </w:tc>
        <w:tc>
          <w:tcPr>
            <w:tcW w:w="1763" w:type="dxa"/>
          </w:tcPr>
          <w:p>
            <w:pPr>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服务类</w:t>
            </w:r>
          </w:p>
        </w:tc>
        <w:tc>
          <w:tcPr>
            <w:tcW w:w="1150"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套</w:t>
            </w:r>
          </w:p>
        </w:tc>
        <w:tc>
          <w:tcPr>
            <w:tcW w:w="1113"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p>
        </w:tc>
        <w:tc>
          <w:tcPr>
            <w:tcW w:w="3548"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急救综合管理子系统</w:t>
            </w:r>
          </w:p>
        </w:tc>
        <w:tc>
          <w:tcPr>
            <w:tcW w:w="1763" w:type="dxa"/>
          </w:tcPr>
          <w:p>
            <w:pPr>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服务类</w:t>
            </w:r>
          </w:p>
        </w:tc>
        <w:tc>
          <w:tcPr>
            <w:tcW w:w="1150"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套</w:t>
            </w:r>
          </w:p>
        </w:tc>
        <w:tc>
          <w:tcPr>
            <w:tcW w:w="1113"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w:t>
            </w:r>
          </w:p>
        </w:tc>
        <w:tc>
          <w:tcPr>
            <w:tcW w:w="3548"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数据统计分析子系统</w:t>
            </w:r>
          </w:p>
        </w:tc>
        <w:tc>
          <w:tcPr>
            <w:tcW w:w="1763" w:type="dxa"/>
          </w:tcPr>
          <w:p>
            <w:pPr>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服务类</w:t>
            </w:r>
          </w:p>
        </w:tc>
        <w:tc>
          <w:tcPr>
            <w:tcW w:w="1150"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套</w:t>
            </w:r>
          </w:p>
        </w:tc>
        <w:tc>
          <w:tcPr>
            <w:tcW w:w="1113" w:type="dxa"/>
            <w:vAlign w:val="center"/>
          </w:tcPr>
          <w:p>
            <w:pPr>
              <w:widowControl/>
              <w:ind w:left="0" w:leftChars="0" w:firstLine="0" w:firstLineChars="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5" w:type="dxa"/>
            <w:gridSpan w:val="5"/>
          </w:tcPr>
          <w:p>
            <w:pPr>
              <w:pStyle w:val="4"/>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总计（元）：110000</w:t>
            </w:r>
          </w:p>
        </w:tc>
      </w:tr>
    </w:tbl>
    <w:p>
      <w:pPr>
        <w:pStyle w:val="4"/>
      </w:pP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合同合计金额包括相关服务、备品备件、标准附件、专用工具、人员薪酬、交通费、安装、调试、技术支持、检测检验、必要的保费、各项税费、代理服务费等各项费用的总和。如招投标文件对其另有规定的，从其规定。</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第二条　质量保证</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1、乙方所提供的技术条款、服务标准等质量必须与招投标文件和承诺相一致。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2、乙方提供的零配件必须是全新原厂商出产的设备配件，不允许使用第三方配件及二手配件进行更换，更换时提供原厂证件。</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3、乙方所提供的服务必须是符合招标要求、国家标准、行业标准的，在正常使用和保养条件下，其使用寿命期内各项指标均达到质量要求。</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4、乙方所提供的服务必须按照结合贺州市120急救指挥业务需求及流程，完成本次项目建设。</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5、乙方提供服务时必须派技术工程师驻场完成项目实施工作。</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第三条　权力保证</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1、乙方应保证所提供货物/服务在使用时不会侵犯任何第三方的专利权、商标权、工业设计权或其他权利。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2、乙方应按采购文件规定的时间向甲方提供使用货物/服务的有关技术资料。</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没有甲方事先书面同意，乙方不得将由甲方提供的有关合同或任何合同条文、规格、计划、方案或资料提供给与履行本合同无关的任何其他人。即使向履行本合同有关的人员提供，也应注意保密并限于履行合同的必需范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4、乙方保证所交付的硬件、软件的所有权完全属于乙方且无任何抵押、质押、查封等产权瑕疵。</w:t>
      </w:r>
    </w:p>
    <w:p>
      <w:pPr>
        <w:snapToGrid w:val="0"/>
        <w:spacing w:line="400" w:lineRule="exact"/>
        <w:ind w:firstLine="562" w:firstLineChars="200"/>
        <w:outlineLvl w:val="1"/>
        <w:rPr>
          <w:rFonts w:ascii="宋体" w:hAnsi="宋体" w:cs="宋体"/>
          <w:sz w:val="28"/>
          <w:szCs w:val="28"/>
        </w:rPr>
      </w:pPr>
      <w:r>
        <w:rPr>
          <w:rFonts w:hint="eastAsia" w:ascii="宋体" w:hAnsi="宋体" w:cs="宋体"/>
          <w:b/>
          <w:sz w:val="28"/>
          <w:szCs w:val="28"/>
        </w:rPr>
        <w:t>第四条　交付要求</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交付使用期：自签订合同</w:t>
      </w:r>
      <w:r>
        <w:rPr>
          <w:rFonts w:hint="eastAsia" w:ascii="宋体" w:hAnsi="宋体" w:cs="宋体"/>
          <w:color w:val="auto"/>
          <w:sz w:val="28"/>
          <w:szCs w:val="28"/>
        </w:rPr>
        <w:t>之日起</w:t>
      </w:r>
      <w:r>
        <w:rPr>
          <w:rFonts w:hint="eastAsia" w:ascii="宋体" w:hAnsi="宋体" w:cs="宋体"/>
          <w:color w:val="auto"/>
          <w:sz w:val="28"/>
          <w:szCs w:val="28"/>
          <w:u w:val="single"/>
        </w:rPr>
        <w:t xml:space="preserve"> 15天</w:t>
      </w:r>
      <w:r>
        <w:rPr>
          <w:rFonts w:hint="eastAsia" w:ascii="宋体" w:hAnsi="宋体" w:cs="宋体"/>
          <w:color w:val="auto"/>
          <w:sz w:val="28"/>
          <w:szCs w:val="28"/>
        </w:rPr>
        <w:t>完</w:t>
      </w:r>
      <w:r>
        <w:rPr>
          <w:rFonts w:hint="eastAsia" w:ascii="宋体" w:hAnsi="宋体" w:cs="宋体"/>
          <w:sz w:val="28"/>
          <w:szCs w:val="28"/>
        </w:rPr>
        <w:t>成系统调研、安装、调试和系统上线工作并交付使用。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交付地点：采购人指定地点。</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第五条  售后服务和质保期</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1、软件支持服务</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乙方须保证系统能够长期安全、可靠、高效运行，必须提供软件的现场安装服务和技术后援支持，为今后系统中软件提供长期的技术支持。技术支持的方式包括：电话技术支持服务，现场技术服务、定期巡查服务，技术升级服务等。</w:t>
      </w:r>
    </w:p>
    <w:p>
      <w:pPr>
        <w:snapToGrid w:val="0"/>
        <w:spacing w:line="400" w:lineRule="exact"/>
        <w:ind w:firstLine="560" w:firstLineChars="200"/>
        <w:rPr>
          <w:rFonts w:hint="eastAsia" w:ascii="宋体" w:hAnsi="宋体" w:cs="宋体"/>
          <w:sz w:val="28"/>
          <w:szCs w:val="28"/>
        </w:rPr>
      </w:pPr>
      <w:r>
        <w:rPr>
          <w:rFonts w:hint="eastAsia" w:ascii="宋体" w:hAnsi="宋体" w:cs="宋体"/>
          <w:sz w:val="28"/>
          <w:szCs w:val="28"/>
        </w:rPr>
        <w:t>系统维护的范围包括：系统优化、系统的正常运行及数据维护。</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在质保期内，当行业标准、技术规范发生改变时，免费修改相关内容。质保期内，免费进行软件修改、完善和同版本升级。在质保期内，提供免费的维护，期间如发生系统运行故障，或出现瑕疵与缺陷，</w:t>
      </w:r>
      <w:r>
        <w:rPr>
          <w:rFonts w:hint="eastAsia" w:ascii="宋体" w:hAnsi="宋体" w:cs="宋体"/>
          <w:color w:val="auto"/>
          <w:sz w:val="28"/>
          <w:szCs w:val="28"/>
        </w:rPr>
        <w:t>需在</w:t>
      </w:r>
      <w:r>
        <w:rPr>
          <w:rFonts w:hint="eastAsia" w:ascii="宋体" w:hAnsi="宋体" w:cs="宋体"/>
          <w:color w:val="auto"/>
          <w:sz w:val="28"/>
          <w:szCs w:val="28"/>
          <w:u w:val="single"/>
        </w:rPr>
        <w:t>30分钟</w:t>
      </w:r>
      <w:r>
        <w:rPr>
          <w:rFonts w:hint="eastAsia" w:ascii="宋体" w:hAnsi="宋体" w:cs="宋体"/>
          <w:color w:val="auto"/>
          <w:sz w:val="28"/>
          <w:szCs w:val="28"/>
        </w:rPr>
        <w:t>内作出响应，</w:t>
      </w:r>
      <w:r>
        <w:rPr>
          <w:rFonts w:hint="eastAsia" w:ascii="宋体" w:hAnsi="宋体" w:cs="宋体"/>
          <w:color w:val="auto"/>
          <w:sz w:val="28"/>
          <w:szCs w:val="28"/>
          <w:u w:val="single"/>
        </w:rPr>
        <w:t>4小时内</w:t>
      </w:r>
      <w:r>
        <w:rPr>
          <w:rFonts w:hint="eastAsia" w:ascii="宋体" w:hAnsi="宋体" w:cs="宋体"/>
          <w:color w:val="auto"/>
          <w:sz w:val="28"/>
          <w:szCs w:val="28"/>
        </w:rPr>
        <w:t>到现场提供维护服务。</w:t>
      </w:r>
      <w:r>
        <w:rPr>
          <w:rFonts w:hint="eastAsia" w:ascii="宋体" w:hAnsi="宋体" w:cs="宋体"/>
          <w:sz w:val="28"/>
          <w:szCs w:val="28"/>
        </w:rPr>
        <w:t>如系统设计存在重大缺陷，导致无法运行或效率低下，须对系统进行结构性调整开发至满足使用要求，一个月内必须解决，如果不能解决给医院带来重大损失由乙方与院方协商解决赔偿。质保期内未完成修改、完善和同版本升级，质保期按最终完成开发并正式交付使用之日起免费服务一年。</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2、售后服务时间及方式</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提供7×24小时运维服务（包括邮件、电话、远程运维、现场服务等方式），保证有足够的人员负责本系统的运维工作。出现故障，在接到电话通知后，</w:t>
      </w:r>
      <w:r>
        <w:rPr>
          <w:rFonts w:hint="eastAsia" w:ascii="宋体" w:hAnsi="宋体" w:cs="宋体"/>
          <w:color w:val="auto"/>
          <w:sz w:val="28"/>
          <w:szCs w:val="28"/>
        </w:rPr>
        <w:t>30分钟内做出响应，4小时赶到现场；一般问题应在12小时内解决，重大问题应在24小时内解决，</w:t>
      </w:r>
      <w:r>
        <w:rPr>
          <w:rFonts w:hint="eastAsia" w:ascii="宋体" w:hAnsi="宋体" w:cs="宋体"/>
          <w:sz w:val="28"/>
          <w:szCs w:val="28"/>
        </w:rPr>
        <w:t>积极解答采购人在系统使用、维护过程中遇到的问题，并及时提出解决问题的建议和操作方法；定期回访、维护；每季度不少于2次定期回访及对系统进行维护巡检，同时需要出具巡检报告。</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响应手段：电话、传真和电子邮件及现场服务。</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3、维保合同续签</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质保期满后，甲方有权与乙方续签维保合同，乙方应明确承诺继续提供维护服务，包括但不限于上述支持服务要求，其他服务要求可另行协商。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4、其他</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乙方有其它优惠条件的，请在投标文件中作出具体说明。软件投入使用后，新旧系统切换过程中，因乙方产品或操作原因造成的经济损失，由乙方承担。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5、产品按</w:t>
      </w:r>
      <w:r>
        <w:rPr>
          <w:rFonts w:hint="eastAsia" w:ascii="宋体" w:hAnsi="宋体" w:cs="宋体"/>
          <w:color w:val="auto"/>
          <w:sz w:val="28"/>
          <w:szCs w:val="28"/>
        </w:rPr>
        <w:t>国家有关规定或厂家承诺实行“三包”，免费送货上门、免费安装调试合格。质保期从验收合格之日起一年，保修期内出现故障，由专职工程师处理，如超过12小时专职工程师仍无法处理，由乙方派出高级技术工程师到达现场处理故障的，乙方承担一切费用，24小时内必须处理完毕。</w:t>
      </w:r>
      <w:r>
        <w:rPr>
          <w:rFonts w:ascii="宋体" w:hAnsi="宋体" w:cs="宋体"/>
          <w:color w:val="auto"/>
          <w:sz w:val="28"/>
          <w:szCs w:val="28"/>
        </w:rPr>
        <w:t xml:space="preserve"> </w:t>
      </w:r>
      <w:r>
        <w:rPr>
          <w:rFonts w:hint="eastAsia" w:ascii="宋体" w:hAnsi="宋体" w:cs="宋体"/>
          <w:color w:val="auto"/>
          <w:sz w:val="28"/>
          <w:szCs w:val="28"/>
        </w:rPr>
        <w:t>产品免费维护期为验收合格后1年，满1年后为有偿维护,维护费</w:t>
      </w:r>
      <w:r>
        <w:rPr>
          <w:rFonts w:hint="eastAsia" w:ascii="宋体" w:hAnsi="宋体" w:cs="宋体"/>
          <w:sz w:val="28"/>
          <w:szCs w:val="28"/>
        </w:rPr>
        <w:t>收取标准为每年收费不超过本次采购款价的5%，软件使用期内有效。</w:t>
      </w:r>
    </w:p>
    <w:p>
      <w:pPr>
        <w:snapToGrid w:val="0"/>
        <w:spacing w:line="400" w:lineRule="exact"/>
        <w:ind w:firstLine="562" w:firstLineChars="200"/>
        <w:outlineLvl w:val="1"/>
        <w:rPr>
          <w:b/>
          <w:bCs/>
          <w:kern w:val="0"/>
          <w:sz w:val="24"/>
        </w:rPr>
      </w:pPr>
      <w:r>
        <w:rPr>
          <w:rFonts w:hint="eastAsia" w:ascii="宋体" w:hAnsi="宋体" w:cs="宋体"/>
          <w:b/>
          <w:sz w:val="28"/>
          <w:szCs w:val="28"/>
        </w:rPr>
        <w:t>第六条　付款方式和进度：</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 xml:space="preserve">（1）第一期付款时间及金额：签订服务合同后15个工作日内完成项目的硬件配置、实施工作，完成项目的全部系统建设，并通过甲方组织验收确认合格后，乙方开具合同款90%的发票给甲方，甲方在收到发票后30个工作日内按发票金额付款。 </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（2）第二期付款时间及金额：完成第一笔付款且投入正常使用1年后，乙方开具合同款10%的发票给甲方，甲方在收到发票后30个工作日内按发票金额付款。</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如验收不合格以及发现伪劣产品等，甲方将视情形采取退货、拒付款、终止合同、索赔等措施，直至通过有关部门，依法维权。</w:t>
      </w:r>
    </w:p>
    <w:p>
      <w:pPr>
        <w:snapToGrid w:val="0"/>
        <w:spacing w:line="400" w:lineRule="exact"/>
        <w:ind w:firstLine="562" w:firstLineChars="200"/>
        <w:rPr>
          <w:rFonts w:ascii="宋体" w:hAnsi="宋体" w:cs="宋体"/>
          <w:b/>
          <w:sz w:val="28"/>
          <w:szCs w:val="28"/>
        </w:rPr>
      </w:pPr>
      <w:r>
        <w:rPr>
          <w:rFonts w:hint="eastAsia" w:ascii="宋体" w:hAnsi="宋体" w:cs="宋体"/>
          <w:b/>
          <w:sz w:val="28"/>
          <w:szCs w:val="28"/>
        </w:rPr>
        <w:t>第七条  税费本合同执行中相关的一切税费均由乙方负担。</w:t>
      </w:r>
    </w:p>
    <w:p>
      <w:pPr>
        <w:snapToGrid w:val="0"/>
        <w:spacing w:line="400" w:lineRule="exact"/>
        <w:ind w:firstLine="562" w:firstLineChars="200"/>
        <w:rPr>
          <w:rFonts w:ascii="宋体" w:hAnsi="宋体" w:cs="宋体"/>
          <w:b/>
          <w:sz w:val="28"/>
          <w:szCs w:val="28"/>
        </w:rPr>
      </w:pPr>
      <w:r>
        <w:rPr>
          <w:rFonts w:hint="eastAsia" w:ascii="宋体" w:hAnsi="宋体" w:cs="宋体"/>
          <w:b/>
          <w:sz w:val="28"/>
          <w:szCs w:val="28"/>
        </w:rPr>
        <w:t>第八条  质量保证及售后服务</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1、乙方应按采购文件规定的技术要求、服务质量标准向甲方提供服务及更换的零配件。不符合要求者，根据实际情况，经双方协商，可按以下办法处理：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⑴更换：由乙方承担所发生的全部费用。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⑵贬值处理：由甲乙双方合议定价。</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⑶退货处理：乙方应退还甲方支付的合同款，同时应承担该货物的直接费用（运输、保险、检验、货款利息及银行手续费等）。</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2、服务期内，接到故障报修电话后2小时响应，24小时内需到达现场进行维修，节假日或不可抗力除外。</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eastAsia="zh-CN"/>
        </w:rPr>
        <w:t>如有零配件，</w:t>
      </w:r>
      <w:r>
        <w:rPr>
          <w:rFonts w:hint="eastAsia" w:ascii="宋体" w:hAnsi="宋体" w:cs="宋体"/>
          <w:sz w:val="28"/>
          <w:szCs w:val="28"/>
        </w:rPr>
        <w:t>在零配件的质保期内，乙方应对该货物出现的质量及安全问题负责处理解决并承担一切费用。</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eastAsia="zh-CN"/>
        </w:rPr>
        <w:t>如有零配件，</w:t>
      </w:r>
      <w:r>
        <w:rPr>
          <w:rFonts w:hint="eastAsia" w:ascii="宋体" w:hAnsi="宋体" w:cs="宋体"/>
          <w:sz w:val="28"/>
          <w:szCs w:val="28"/>
        </w:rPr>
        <w:t>零配件的免费保修期按厂家规定执行，因人为因素出现的故障不在免费保修范围内的，维修时只收部件成本费。</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第九条  调试和验收</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1.验收方法：本项目涉及软件验收将按甲方要求完成后进行项目总验收。验收工作由乙方提出，甲方组织相关评审人员组成验收小组共同进行验收。</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2.验收时间：签订服务合同后15个工作日内完成项目的软件开发、测试、硬件配置、实施工作，完成项目的全部系统建设，由乙方提出验收申请，甲方接到申请后十个工作日内组织验收。</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3.验收内容：按照招投标文件、采购合同和其他相关资料内容进行。</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4.验收标准：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①项目服务所有技术性能规格及参数：应符合需求文件、乙方承诺的技术标准及服务标准及满足客户化修改要求。系统运行稳定，无故障，数据无错误。</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②验收文件的签署：由乙方撰写服务完成报告，由甲方委派的验收小组在审核后签署。</w:t>
      </w:r>
    </w:p>
    <w:p>
      <w:pPr>
        <w:snapToGrid w:val="0"/>
        <w:spacing w:line="400" w:lineRule="exact"/>
        <w:ind w:firstLine="560" w:firstLineChars="200"/>
        <w:outlineLvl w:val="1"/>
        <w:rPr>
          <w:rFonts w:hint="eastAsia" w:ascii="宋体" w:hAnsi="宋体" w:cs="宋体"/>
          <w:sz w:val="28"/>
          <w:szCs w:val="28"/>
        </w:rPr>
      </w:pPr>
      <w:r>
        <w:rPr>
          <w:rFonts w:hint="eastAsia" w:ascii="宋体" w:hAnsi="宋体" w:cs="宋体"/>
          <w:sz w:val="28"/>
          <w:szCs w:val="28"/>
        </w:rPr>
        <w:t>5、对技术复杂的货物/服务，甲方应请国家认可的专业检测机构参与初步验收及最终验收，并由其出具质量检测报告。</w:t>
      </w:r>
    </w:p>
    <w:p>
      <w:pPr>
        <w:snapToGrid w:val="0"/>
        <w:spacing w:line="400" w:lineRule="exact"/>
        <w:ind w:firstLine="560" w:firstLineChars="200"/>
        <w:outlineLvl w:val="1"/>
        <w:rPr>
          <w:rFonts w:ascii="宋体" w:hAnsi="宋体" w:cs="宋体"/>
          <w:sz w:val="28"/>
          <w:szCs w:val="28"/>
        </w:rPr>
      </w:pPr>
      <w:r>
        <w:rPr>
          <w:rFonts w:hint="eastAsia" w:ascii="宋体" w:hAnsi="宋体" w:cs="宋体"/>
          <w:sz w:val="28"/>
          <w:szCs w:val="28"/>
        </w:rPr>
        <w:t>6、验收时乙方必须在现场，验收完毕后作出验收结果报告；验收费用由乙方负责。</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第十条　违约责任</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乙方所提供的技术标准、服务标准等质量不合格的，应及时更换或整改，更换或整改不及时的按逾期交付处罚；因质量问题甲方不同意接收的或特殊情况甲方同意接收的，乙方应向甲方支付违约部分价款额5%违约金并赔偿甲方经济损失。</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2、乙方提供的货物/服务如侵犯了第三方合法权益而引发的任何纠纷或诉讼，均由乙方负责交涉并承担全部责任。</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3、因包装、运输引起的货物损坏，按质量不合格处罚。</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4、乙方因自身原因逾期交付的，每逾期1天罚款1000元/天，超过</w:t>
      </w:r>
      <w:r>
        <w:rPr>
          <w:rFonts w:hint="eastAsia" w:ascii="宋体" w:hAnsi="宋体" w:cs="宋体"/>
          <w:sz w:val="28"/>
          <w:szCs w:val="28"/>
          <w:u w:val="single"/>
        </w:rPr>
        <w:t>20</w:t>
      </w:r>
      <w:r>
        <w:rPr>
          <w:rFonts w:hint="eastAsia" w:ascii="宋体" w:hAnsi="宋体" w:cs="宋体"/>
          <w:sz w:val="28"/>
          <w:szCs w:val="28"/>
        </w:rPr>
        <w:t>天甲方有权解除合同，乙方承担因此给甲方造成经济损失。</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5、乙方未按本合同和投标文件中规定的服务承诺提供售后服务的，乙方应按本合同合计金额5%向甲方支付违约金。</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6、乙方提供的货物/服务在质量保证期内，因质量原因造成的问题，由乙方负责，费用从下一阶段付款中扣除，不足另补。</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7、其它违约行为按违约货款额5%收取违约金并赔偿经济损失。</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8、甲方因自身原因逾期付款的，每逾期1天罚款1000元/天，超过</w:t>
      </w:r>
      <w:r>
        <w:rPr>
          <w:rFonts w:hint="eastAsia" w:ascii="宋体" w:hAnsi="宋体" w:cs="宋体"/>
          <w:sz w:val="28"/>
          <w:szCs w:val="28"/>
          <w:u w:val="single"/>
        </w:rPr>
        <w:t>20</w:t>
      </w:r>
      <w:r>
        <w:rPr>
          <w:rFonts w:hint="eastAsia" w:ascii="宋体" w:hAnsi="宋体" w:cs="宋体"/>
          <w:sz w:val="28"/>
          <w:szCs w:val="28"/>
        </w:rPr>
        <w:t>天乙方有权解除合同，甲方承担因此给乙方造成经济损失。</w:t>
      </w:r>
    </w:p>
    <w:p>
      <w:pPr>
        <w:pStyle w:val="4"/>
      </w:pP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w:t>
      </w:r>
      <w:r>
        <w:rPr>
          <w:rFonts w:hint="eastAsia" w:ascii="宋体" w:hAnsi="宋体" w:cs="宋体"/>
          <w:b/>
          <w:sz w:val="28"/>
          <w:szCs w:val="28"/>
          <w:lang w:eastAsia="zh-CN"/>
        </w:rPr>
        <w:t>一</w:t>
      </w:r>
      <w:r>
        <w:rPr>
          <w:rFonts w:hint="eastAsia" w:ascii="宋体" w:hAnsi="宋体" w:cs="宋体"/>
          <w:b/>
          <w:sz w:val="28"/>
          <w:szCs w:val="28"/>
        </w:rPr>
        <w:t>条  不可抗力事件处理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1、在合同有效期内，任何一方因不可抗力事件导致不能履行合同，则合同履行期可延长，其延长期与不可抗力影响期相同。</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2、不可抗力事件发生后，应立即通知对方，并寄送有关权威机构出具的证明。</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3、不可抗力事件延续120天以上，双方应通过友好协商，确定是否继续履行合同。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w:t>
      </w:r>
      <w:r>
        <w:rPr>
          <w:rFonts w:hint="eastAsia" w:ascii="宋体" w:hAnsi="宋体" w:cs="宋体"/>
          <w:b/>
          <w:sz w:val="28"/>
          <w:szCs w:val="28"/>
          <w:lang w:eastAsia="zh-CN"/>
        </w:rPr>
        <w:t>二</w:t>
      </w:r>
      <w:r>
        <w:rPr>
          <w:rFonts w:hint="eastAsia" w:ascii="宋体" w:hAnsi="宋体" w:cs="宋体"/>
          <w:b/>
          <w:sz w:val="28"/>
          <w:szCs w:val="28"/>
        </w:rPr>
        <w:t>条  合同争议解决和诉讼</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1、因货物/服务质量问题发生争议的，应邀请国家认可的质量检测机构对货物/服务质量进行鉴定。货物/服务符合标准的，鉴定费由甲方承担；货物/服务不符合标准的，鉴定费由乙方承担。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2、因履行本合同引起的或与本合同有关的争议，甲乙双方应首先通过友好协商解决，如果协商不能解决，可向仲裁委员会申请仲裁或人民法院提起诉讼。</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3、诉讼期间，本合同继续履行。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w:t>
      </w:r>
      <w:r>
        <w:rPr>
          <w:rFonts w:hint="eastAsia" w:ascii="宋体" w:hAnsi="宋体" w:cs="宋体"/>
          <w:b/>
          <w:sz w:val="28"/>
          <w:szCs w:val="28"/>
          <w:lang w:eastAsia="zh-CN"/>
        </w:rPr>
        <w:t>三</w:t>
      </w:r>
      <w:r>
        <w:rPr>
          <w:rFonts w:hint="eastAsia" w:ascii="宋体" w:hAnsi="宋体" w:cs="宋体"/>
          <w:b/>
          <w:sz w:val="28"/>
          <w:szCs w:val="28"/>
        </w:rPr>
        <w:t>条  合同生效及其它</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1、合同经双方法定代表人或授权代表签字并加盖单位公章后生效。</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2、合同执行中涉及采购资金和采购内容修改或补充的，须经财政部门审批，并签书面补充协议报财政部门备案，方可作为主合同不可分割的一部分。</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3、本合同未尽事宜，遵照《合同法》有关条文执行。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w:t>
      </w:r>
      <w:r>
        <w:rPr>
          <w:rFonts w:hint="eastAsia" w:ascii="宋体" w:hAnsi="宋体" w:cs="宋体"/>
          <w:b/>
          <w:sz w:val="28"/>
          <w:szCs w:val="28"/>
          <w:lang w:eastAsia="zh-CN"/>
        </w:rPr>
        <w:t>四</w:t>
      </w:r>
      <w:r>
        <w:rPr>
          <w:rFonts w:hint="eastAsia" w:ascii="宋体" w:hAnsi="宋体" w:cs="宋体"/>
          <w:b/>
          <w:sz w:val="28"/>
          <w:szCs w:val="28"/>
        </w:rPr>
        <w:t>条　合同的变更、终止与转让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1、除《中华人民共和国政府采购法》第50条规定的情形外，本合同一经签订，甲乙双方不得擅自变更、中止或终止。</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2、乙方不得擅自转让（无进口资格的供应商委托进口货物除外）其应履行的合同义务。</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第十</w:t>
      </w:r>
      <w:r>
        <w:rPr>
          <w:rFonts w:hint="eastAsia" w:ascii="宋体" w:hAnsi="宋体" w:cs="宋体"/>
          <w:b/>
          <w:sz w:val="28"/>
          <w:szCs w:val="28"/>
          <w:lang w:eastAsia="zh-CN"/>
        </w:rPr>
        <w:t>五</w:t>
      </w:r>
      <w:r>
        <w:rPr>
          <w:rFonts w:hint="eastAsia" w:ascii="宋体" w:hAnsi="宋体" w:cs="宋体"/>
          <w:b/>
          <w:sz w:val="28"/>
          <w:szCs w:val="28"/>
        </w:rPr>
        <w:t>条　签订本合同依据</w:t>
      </w:r>
    </w:p>
    <w:p>
      <w:pPr>
        <w:snapToGrid w:val="0"/>
        <w:spacing w:line="400" w:lineRule="exact"/>
        <w:ind w:firstLine="560" w:firstLineChars="200"/>
        <w:rPr>
          <w:rFonts w:ascii="宋体" w:hAnsi="宋体" w:cs="宋体"/>
          <w:sz w:val="28"/>
          <w:szCs w:val="28"/>
          <w:u w:val="single"/>
        </w:rPr>
      </w:pPr>
      <w:r>
        <w:rPr>
          <w:rFonts w:hint="eastAsia" w:ascii="宋体" w:hAnsi="宋体" w:cs="宋体"/>
          <w:sz w:val="28"/>
          <w:szCs w:val="28"/>
        </w:rPr>
        <w:t>1、政府采购采购文件；2、乙方提供的投标文件；3、投标承诺书；4、中标通知书。</w:t>
      </w:r>
    </w:p>
    <w:p>
      <w:pPr>
        <w:pStyle w:val="6"/>
        <w:spacing w:line="400" w:lineRule="exact"/>
        <w:ind w:firstLine="420"/>
        <w:rPr>
          <w:sz w:val="28"/>
          <w:szCs w:val="28"/>
        </w:rPr>
      </w:pPr>
      <w:r>
        <w:rPr>
          <w:rFonts w:hint="eastAsia" w:hAnsi="宋体" w:cs="宋体"/>
          <w:b/>
          <w:sz w:val="28"/>
          <w:szCs w:val="28"/>
        </w:rPr>
        <w:t>第十</w:t>
      </w:r>
      <w:r>
        <w:rPr>
          <w:rFonts w:hint="eastAsia" w:hAnsi="宋体" w:cs="宋体"/>
          <w:b/>
          <w:sz w:val="28"/>
          <w:szCs w:val="28"/>
          <w:lang w:eastAsia="zh-CN"/>
        </w:rPr>
        <w:t>六</w:t>
      </w:r>
      <w:r>
        <w:rPr>
          <w:rFonts w:hint="eastAsia" w:hAnsi="宋体" w:cs="宋体"/>
          <w:b/>
          <w:sz w:val="28"/>
          <w:szCs w:val="28"/>
        </w:rPr>
        <w:t>条　</w:t>
      </w:r>
      <w:r>
        <w:rPr>
          <w:rFonts w:hAnsi="宋体"/>
          <w:sz w:val="28"/>
          <w:szCs w:val="28"/>
        </w:rPr>
        <w:t>本合同一式</w:t>
      </w:r>
      <w:r>
        <w:rPr>
          <w:rFonts w:hint="eastAsia" w:hAnsi="宋体" w:cs="宋体"/>
          <w:color w:val="auto"/>
          <w:sz w:val="28"/>
          <w:szCs w:val="28"/>
          <w:lang w:bidi="ar"/>
        </w:rPr>
        <w:t>肆</w:t>
      </w:r>
      <w:r>
        <w:rPr>
          <w:rFonts w:hAnsi="宋体"/>
          <w:color w:val="auto"/>
          <w:sz w:val="28"/>
          <w:szCs w:val="28"/>
        </w:rPr>
        <w:t>份</w:t>
      </w:r>
      <w:r>
        <w:rPr>
          <w:rFonts w:hAnsi="宋体"/>
          <w:sz w:val="28"/>
          <w:szCs w:val="28"/>
        </w:rPr>
        <w:t>，经甲乙双方法定代表人或委托代理人签字并加盖公章后生效。甲执</w:t>
      </w:r>
      <w:r>
        <w:rPr>
          <w:rFonts w:hint="eastAsia" w:hAnsi="宋体"/>
          <w:sz w:val="28"/>
          <w:szCs w:val="28"/>
        </w:rPr>
        <w:t>叁</w:t>
      </w:r>
      <w:r>
        <w:rPr>
          <w:rFonts w:hAnsi="宋体"/>
          <w:sz w:val="28"/>
          <w:szCs w:val="28"/>
        </w:rPr>
        <w:t>份</w:t>
      </w:r>
      <w:r>
        <w:rPr>
          <w:rFonts w:hint="eastAsia" w:hAnsi="宋体"/>
          <w:sz w:val="28"/>
          <w:szCs w:val="28"/>
        </w:rPr>
        <w:t>（档案室、项目主管部门、财务科）</w:t>
      </w:r>
      <w:r>
        <w:rPr>
          <w:rFonts w:hAnsi="宋体"/>
          <w:sz w:val="28"/>
          <w:szCs w:val="28"/>
        </w:rPr>
        <w:t>，乙执</w:t>
      </w:r>
      <w:r>
        <w:rPr>
          <w:rFonts w:hint="eastAsia" w:hAnsi="宋体"/>
          <w:sz w:val="28"/>
          <w:szCs w:val="28"/>
        </w:rPr>
        <w:t>壹</w:t>
      </w:r>
      <w:r>
        <w:rPr>
          <w:rFonts w:hAnsi="宋体"/>
          <w:sz w:val="28"/>
          <w:szCs w:val="28"/>
        </w:rPr>
        <w:t>份</w:t>
      </w:r>
      <w:r>
        <w:rPr>
          <w:rFonts w:hint="eastAsia" w:hAnsi="宋体"/>
          <w:sz w:val="28"/>
          <w:szCs w:val="28"/>
        </w:rPr>
        <w:t>（供应商）</w:t>
      </w:r>
      <w:r>
        <w:rPr>
          <w:rFonts w:hint="eastAsia"/>
          <w:sz w:val="28"/>
          <w:szCs w:val="28"/>
        </w:rPr>
        <w:t>，具有同等效力。</w:t>
      </w:r>
    </w:p>
    <w:p>
      <w:pPr>
        <w:pStyle w:val="6"/>
        <w:spacing w:line="400" w:lineRule="exact"/>
        <w:ind w:firstLine="420"/>
        <w:rPr>
          <w:sz w:val="28"/>
          <w:szCs w:val="28"/>
        </w:rPr>
      </w:pPr>
    </w:p>
    <w:tbl>
      <w:tblPr>
        <w:tblStyle w:val="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甲方（章）：</w:t>
            </w:r>
          </w:p>
          <w:p>
            <w:pPr>
              <w:snapToGrid w:val="0"/>
              <w:spacing w:line="400" w:lineRule="exact"/>
              <w:rPr>
                <w:rFonts w:ascii="宋体" w:hAnsi="宋体" w:cs="宋体"/>
                <w:sz w:val="28"/>
                <w:szCs w:val="28"/>
              </w:rPr>
            </w:pPr>
            <w:r>
              <w:rPr>
                <w:rFonts w:hint="eastAsia" w:ascii="宋体" w:hAnsi="宋体" w:cs="宋体"/>
                <w:sz w:val="28"/>
                <w:szCs w:val="28"/>
              </w:rPr>
              <w:t xml:space="preserve">广西壮族自治区桂东人民医院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top"/>
          </w:tcPr>
          <w:p>
            <w:pPr>
              <w:snapToGrid w:val="0"/>
              <w:spacing w:line="400" w:lineRule="exact"/>
              <w:jc w:val="both"/>
              <w:rPr>
                <w:rFonts w:ascii="宋体" w:hAnsi="宋体" w:cs="宋体"/>
                <w:sz w:val="28"/>
                <w:szCs w:val="28"/>
              </w:rPr>
            </w:pPr>
            <w:r>
              <w:rPr>
                <w:rFonts w:hint="eastAsia" w:ascii="宋体" w:hAnsi="宋体" w:eastAsia="宋体" w:cs="宋体"/>
                <w:sz w:val="28"/>
                <w:szCs w:val="28"/>
              </w:rPr>
              <w:t>乙方（章）</w:t>
            </w:r>
            <w:r>
              <w:rPr>
                <w:rFonts w:hint="eastAsia" w:ascii="宋体" w:hAnsi="宋体" w:cs="宋体"/>
                <w:sz w:val="28"/>
                <w:szCs w:val="28"/>
              </w:rPr>
              <w:t xml:space="preserve">              </w:t>
            </w:r>
          </w:p>
          <w:p>
            <w:pPr>
              <w:snapToGrid w:val="0"/>
              <w:spacing w:line="400" w:lineRule="exact"/>
              <w:jc w:val="both"/>
              <w:rPr>
                <w:rFonts w:hint="eastAsia" w:ascii="宋体" w:hAnsi="宋体" w:cs="宋体"/>
                <w:sz w:val="28"/>
                <w:szCs w:val="28"/>
              </w:rPr>
            </w:pPr>
          </w:p>
          <w:p>
            <w:pPr>
              <w:snapToGrid w:val="0"/>
              <w:spacing w:line="400" w:lineRule="exact"/>
              <w:jc w:val="right"/>
              <w:rPr>
                <w:rFonts w:hint="eastAsia"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单位地址：广西梧州市万秀区西江四路金鸡冲1号</w:t>
            </w:r>
          </w:p>
        </w:tc>
        <w:tc>
          <w:tcPr>
            <w:tcW w:w="4517" w:type="dxa"/>
            <w:vAlign w:val="top"/>
          </w:tcPr>
          <w:p>
            <w:pPr>
              <w:snapToGrid w:val="0"/>
              <w:spacing w:line="400" w:lineRule="exact"/>
              <w:jc w:val="both"/>
              <w:rPr>
                <w:rFonts w:ascii="宋体" w:hAnsi="宋体" w:cs="宋体"/>
                <w:sz w:val="28"/>
                <w:szCs w:val="28"/>
              </w:rPr>
            </w:pPr>
            <w:r>
              <w:rPr>
                <w:rFonts w:hint="eastAsia" w:ascii="宋体" w:hAnsi="宋体" w:cs="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电话：</w:t>
            </w:r>
            <w:r>
              <w:rPr>
                <w:rFonts w:hint="eastAsia" w:ascii="宋体" w:hAnsi="宋体" w:cs="宋体"/>
                <w:sz w:val="28"/>
                <w:szCs w:val="28"/>
                <w:lang w:val="en-US" w:eastAsia="zh-CN"/>
              </w:rPr>
              <w:t xml:space="preserve"> </w:t>
            </w:r>
          </w:p>
        </w:tc>
        <w:tc>
          <w:tcPr>
            <w:tcW w:w="4517"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电话：</w:t>
            </w:r>
            <w:r>
              <w:rPr>
                <w:rFonts w:hint="eastAsia" w:ascii="宋体" w:hAnsi="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电子邮箱：</w:t>
            </w:r>
            <w:r>
              <w:rPr>
                <w:rFonts w:hint="eastAsia" w:ascii="宋体" w:hAnsi="宋体" w:cs="宋体"/>
                <w:sz w:val="28"/>
                <w:szCs w:val="28"/>
                <w:lang w:val="en-US" w:eastAsia="zh-CN"/>
              </w:rPr>
              <w:t xml:space="preserve"> </w:t>
            </w:r>
          </w:p>
        </w:tc>
        <w:tc>
          <w:tcPr>
            <w:tcW w:w="4517"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电子邮箱：</w:t>
            </w:r>
            <w:r>
              <w:rPr>
                <w:rFonts w:hint="eastAsia" w:ascii="宋体" w:hAnsi="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c>
          <w:tcPr>
            <w:tcW w:w="4517"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开户银行：</w:t>
            </w:r>
            <w:r>
              <w:rPr>
                <w:rFonts w:hint="eastAsia" w:ascii="宋体" w:hAnsi="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c>
          <w:tcPr>
            <w:tcW w:w="4517" w:type="dxa"/>
            <w:vAlign w:val="center"/>
          </w:tcPr>
          <w:p>
            <w:pPr>
              <w:snapToGrid w:val="0"/>
              <w:spacing w:line="400" w:lineRule="exact"/>
              <w:rPr>
                <w:rFonts w:hint="eastAsia" w:ascii="宋体" w:hAnsi="宋体" w:eastAsia="宋体" w:cs="宋体"/>
                <w:sz w:val="28"/>
                <w:szCs w:val="28"/>
                <w:lang w:eastAsia="zh-CN"/>
              </w:rPr>
            </w:pPr>
            <w:r>
              <w:rPr>
                <w:rFonts w:hint="eastAsia" w:ascii="宋体" w:hAnsi="宋体" w:cs="宋体"/>
                <w:sz w:val="28"/>
                <w:szCs w:val="28"/>
              </w:rPr>
              <w:t>账号：</w:t>
            </w:r>
            <w:r>
              <w:rPr>
                <w:rFonts w:hint="eastAsia" w:ascii="宋体" w:hAnsi="宋体" w:cs="宋体"/>
                <w:sz w:val="28"/>
                <w:szCs w:val="28"/>
                <w:lang w:val="en-US" w:eastAsia="zh-CN"/>
              </w:rPr>
              <w:t xml:space="preserve"> </w:t>
            </w:r>
          </w:p>
        </w:tc>
      </w:tr>
    </w:tbl>
    <w:p>
      <w:pPr>
        <w:spacing w:line="400" w:lineRule="exact"/>
        <w:outlineLvl w:val="0"/>
        <w:rPr>
          <w:rFonts w:ascii="宋体" w:hAnsi="宋体"/>
          <w:b/>
          <w:sz w:val="28"/>
          <w:szCs w:val="28"/>
        </w:rPr>
      </w:pPr>
    </w:p>
    <w:p>
      <w:pPr>
        <w:pStyle w:val="5"/>
        <w:ind w:left="0" w:leftChars="0"/>
        <w:jc w:val="left"/>
      </w:pPr>
    </w:p>
    <w:p>
      <w:pPr>
        <w:pStyle w:val="5"/>
        <w:ind w:left="0" w:leftChars="0"/>
        <w:jc w:val="left"/>
      </w:pPr>
    </w:p>
    <w:p>
      <w:pPr>
        <w:pStyle w:val="5"/>
        <w:ind w:left="0" w:leftChars="0"/>
        <w:jc w:val="left"/>
        <w:rPr>
          <w:rFonts w:hAnsi="宋体"/>
          <w:bCs w:val="0"/>
          <w:kern w:val="2"/>
          <w:sz w:val="28"/>
          <w:szCs w:val="28"/>
        </w:rPr>
      </w:pPr>
    </w:p>
    <w:p>
      <w:pPr>
        <w:pStyle w:val="5"/>
        <w:ind w:left="0" w:leftChars="0"/>
        <w:jc w:val="left"/>
        <w:rPr>
          <w:rFonts w:hAnsi="宋体"/>
          <w:bCs w:val="0"/>
          <w:kern w:val="2"/>
          <w:sz w:val="28"/>
          <w:szCs w:val="28"/>
        </w:rPr>
      </w:pPr>
    </w:p>
    <w:p>
      <w:pPr>
        <w:pStyle w:val="5"/>
        <w:keepNext w:val="0"/>
        <w:keepLines w:val="0"/>
        <w:pageBreakBefore/>
        <w:widowControl w:val="0"/>
        <w:kinsoku/>
        <w:wordWrap/>
        <w:overflowPunct/>
        <w:topLinePunct w:val="0"/>
        <w:autoSpaceDE/>
        <w:autoSpaceDN/>
        <w:bidi w:val="0"/>
        <w:adjustRightInd/>
        <w:snapToGrid/>
        <w:ind w:left="0" w:leftChars="0"/>
        <w:jc w:val="left"/>
        <w:textAlignment w:val="auto"/>
        <w:rPr>
          <w:b/>
        </w:rPr>
      </w:pPr>
      <w:r>
        <w:rPr>
          <w:rFonts w:hint="eastAsia" w:hAnsi="宋体"/>
          <w:bCs w:val="0"/>
          <w:kern w:val="2"/>
          <w:sz w:val="28"/>
          <w:szCs w:val="28"/>
        </w:rPr>
        <w:t>合同附件：</w:t>
      </w:r>
      <w:r>
        <w:rPr>
          <w:rFonts w:hint="eastAsia"/>
          <w:b/>
        </w:rPr>
        <w:t>附件  1</w:t>
      </w:r>
    </w:p>
    <w:p>
      <w:pPr>
        <w:pStyle w:val="11"/>
        <w:ind w:left="-708" w:leftChars="-337"/>
        <w:jc w:val="center"/>
        <w:rPr>
          <w:rFonts w:hint="eastAsia"/>
          <w:b/>
          <w:bCs/>
          <w:sz w:val="32"/>
          <w:szCs w:val="32"/>
        </w:rPr>
      </w:pPr>
      <w:r>
        <w:rPr>
          <w:rFonts w:hint="eastAsia"/>
          <w:b/>
          <w:bCs/>
          <w:sz w:val="32"/>
          <w:szCs w:val="32"/>
        </w:rPr>
        <w:t>院前急救指挥调度系统昭平县级分系统</w:t>
      </w:r>
    </w:p>
    <w:p>
      <w:pPr>
        <w:pStyle w:val="11"/>
        <w:ind w:left="-708" w:leftChars="-337"/>
        <w:jc w:val="center"/>
        <w:rPr>
          <w:sz w:val="32"/>
          <w:szCs w:val="32"/>
        </w:rPr>
      </w:pPr>
      <w:r>
        <w:rPr>
          <w:rFonts w:hint="eastAsia"/>
          <w:b/>
          <w:bCs/>
          <w:sz w:val="32"/>
          <w:szCs w:val="32"/>
        </w:rPr>
        <w:t>项目技术参数要求</w:t>
      </w:r>
    </w:p>
    <w:tbl>
      <w:tblPr>
        <w:tblStyle w:val="9"/>
        <w:tblpPr w:leftFromText="180" w:rightFromText="180" w:vertAnchor="text" w:horzAnchor="page" w:tblpX="1145" w:tblpY="412"/>
        <w:tblOverlap w:val="never"/>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10"/>
        <w:gridCol w:w="96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采购内容</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7046"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参数要求及说明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受理调度子系统</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套</w:t>
            </w:r>
          </w:p>
        </w:tc>
        <w:tc>
          <w:tcPr>
            <w:tcW w:w="7046" w:type="dxa"/>
            <w:vAlign w:val="top"/>
          </w:tcPr>
          <w:p>
            <w:pPr>
              <w:spacing w:line="24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根据现有业务需求，结合贺州市120急救指挥业务需求及流程，建设指挥调度系统软件、相关统计报表。部署电子地理信息系统，支持网络地图、支持城市实时路况。</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1.坐席受理台</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系统每个呼叫受理座席都采用一机三屏的结构。第一屏显示受理调度工作界面；第二屏显示坐席监控及综合信息查询内；第三屏显示电子地图。用户能够利用鼠标和键盘提供的快捷键控制桌面系统在各个显示屏之间快速切换。</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2.UI</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UI即User Interface（用户界面）的简称。本次急救指挥调度系统升级，除了在业务功能上进行升级和扩展之外，将急救指挥调度软件的UI也将全面升级，使升级后的UI达到清晰、简洁、熟悉、响应、一致和美观。从而给用户带来更好的交互效果。</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3.智能推荐事件</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系统提供智能推荐事件功能，在受理过程中，根据进入系统的电话号码（固定电话、移动电话）、接车地址、现场地址、主诉症状等信息，系统综合上述信息将急救事件按照匹配度从高到低进行动态排序展示，供调度员综合决策。</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4.智能推荐车辆</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指挥调度系统具有智能推荐车辆功能，在系统对呼救地址（三字段或经纬度）/接车地址定位时，地图做推荐车辆工作，并把推荐车辆的结果信息通过消息发给受理台，升级后的受理台上根据此顺序排序待派的车辆列表；以供受理员调度选择。</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5.智能地址提词</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系统支持地址搜索提示功能，系统支持强大的地址搜索提词功能，即受理员在接车地址、现场地址输入框中录入地址的过程中，系统智能提示相似地址，类似百度搜索功能。如此减少在受理员在受理过程中地址录入工作。</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6.重复呼救处理功能</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系统能提示限定时间内同一呼救电话或同一地段或同一医院再次呼入，限定时间可由管理员设置。系统根据一段时间内相同的呼救电话号码、相同或相近的呼救地点、相同的急救发生地点、案情及当事人等设定原则进行重复呼救提示，与疑似重复的呼救相关联，供急救受理员辨别确认。如有必要（如案情有新的发展），急救受理员可对重复急救受理信息进行补充。</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7.骚扰电话管理模块</w:t>
            </w:r>
          </w:p>
          <w:p>
            <w:pPr>
              <w:pStyle w:val="7"/>
              <w:widowControl w:val="0"/>
              <w:tabs>
                <w:tab w:val="right" w:leader="middleDot" w:pos="8931"/>
                <w:tab w:val="clear" w:pos="8398"/>
              </w:tabs>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受理调度软件要求具有骚扰电话管理功能，当呼叫电话到达受理座席时，如果受理员认为某一个电话为骚扰电话时，可对骚扰电话进行加锁，将骚扰电话的电话号码添加到电话黑名单，骚扰电话的加锁时间由调度员设定，可以是几分钟、几小时、几天。在对骚扰电话进行加锁的同时，受理员还可以将骚扰电话转到IVR上播放设定的警告性录音。骚扰电话的每次骚扰呼叫将记录在系统数据库，操作员可对骚扰电话记录进行查询、统计分析。</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8.电子地图自动定位</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受理员应答呼救电话的同时，录音系统自动启动录音，系统同时电子地图屏上的电子地图根据呼叫电话（固话为装机地址，移动电话为手机位置信息）的位置信息自动定位在屏幕中心，按正常比例显示地图信息，并醒目显示附近的急救车辆、急救医院、重点建筑等信息。</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9.受理台计时监控功能</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系统自动对受理中任务计时监控、对调度派车过程计时监控、对待派任务计时监控，并按照计时时长不同按不同颜色进行醒目提醒。</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10.车辆历史轨迹快速查询</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受理台上通过组合条件可以查询历史急救事件，并支持快速查阅历史急救事件的车辆轨迹，根据急救车辆出车时间和返站时间，通过消息将该车辆id、出车时间、返站时间发送到GIS系统中，快速在GIS中将该任务的车辆历史行进轨迹展示出来。</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11.任务中车辆轨迹快速查询</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在受理台选中任务中车辆，可以快速查询任务中车辆轨迹信息，并快速在GIS中将该任务中的车辆轨迹展示出来。</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12.内外电话区分</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电话进入时，通过图标醒目提示该电话为内部电话，还是外部电话。</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可在系统后台通过配置，管理内部电话。</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13.电话预受理</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过业务梳理，提出电话预受理功能，为受理环节，增加电话预受理过程，即电话进入系统后，受理员摘机受理，首先显示电话预受理界面，根据受理员受理情况，决定将本次电话归属到某一类型中，这里类型有咨询、投诉、骚扰、转院、急救、其他。比如，该电话为骚扰电话，那么选择“骚扰”即进入骚扰电话处理流程。如若错误选择，可以返回重新选择电话类型，再进入相应的处理流程。</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14.多模式调度指令下发</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提供多模式调度指令下发功能。</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模式一：急救中心直接调度车辆，将调度指令下发到急救车载终端。</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模式二：急救中心调度分站，即将调度指令下发到急救分站，再由分站下发调度指令到该分站某辆急救车。</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模式三：急救中心既可调度部分车辆，又可以调度部分分站。</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上述三种模式，可根据用户实际应用需求，通过参数配置完成。</w:t>
            </w:r>
          </w:p>
          <w:p>
            <w:pPr>
              <w:pStyle w:val="7"/>
              <w:widowControl w:val="0"/>
              <w:tabs>
                <w:tab w:val="right" w:leader="middleDot" w:pos="8931"/>
                <w:tab w:val="clear" w:pos="8398"/>
              </w:tabs>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15.快捷改派车辆</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在急救事件列表中，选中需要改派的任务，点击该任务中的“改派”按钮。进入改派页面，选中需要取消的车辆，再选中替补的待命的车辆，点击确认，一键完成改派操作。</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16.一键取消派车</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在急救事件队列中选中某个急救任务，进入派车记录界面，可以清晰的查看该任务派车情况，并可查看每个车辆的状态情况。双击需要取消的车辆，进入该出车车辆的详情页面。</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17.电话录音</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在急救电话进入系统后，会自动形成电话录音，系统支持电话录音在线播放，也支持录音下载，同时支持电话回拨功能。</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18.消息提示机制</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各子系统之间的消息收发，均提供消息提醒机制，并以醒目的方式告知受理台。</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19.坐席动态监控</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坐席动态监控，系统可以通过坐席动态监控功能，监控其他受理台的工作情况，包含电话工作状态、坐席受理情况、录入接车地址信息等。</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20.车辆状态管理</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车辆队列中，提供快捷的方式选择车辆，即提供快捷的过滤条件（全部、待命、任务中、暂停调用、未值班），根据过滤条件可以过滤出需要的车辆，并在列表中醒目区域展示车辆总数量，系统除此之外，针对任务中的车辆，不同状态，以不同颜色醒目展示。</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21.智能动态车辆列表</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在受理过程中，呼救位置在电子地图上自动标注，此时会将待命中的车辆按照距离标注地点的距离、每个车辆的出车次数，综合智能排序，并动态变换车辆列表。</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22.权限管理功能</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用户对系统的所有功能和资源进行访问都需要一定的权限，系统采用基于角色的权限分配机制。 首先，由系统管理员定义系统的每种角色及其业务操作集合，这都应该通过友好的用户操作界面来完成。系统中的每个操作员都属于某一种角色，该用户继承角色的权限。当用户登录系统后，所见到的只是它有权访问的功能模块。</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23.信息查询模块</w:t>
            </w:r>
          </w:p>
          <w:p>
            <w:pPr>
              <w:pStyle w:val="7"/>
              <w:widowControl w:val="0"/>
              <w:tabs>
                <w:tab w:val="right" w:leader="middleDot" w:pos="8931"/>
                <w:tab w:val="clear" w:pos="8398"/>
              </w:tabs>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在没有120电话呼入时，受理调度台可监控全市急救事件情况。受理调度系统可以对受理、调度产生的各种信息及调度中所要用到的急救资源信息进行查询。</w:t>
            </w:r>
          </w:p>
          <w:p>
            <w:pPr>
              <w:pStyle w:val="7"/>
              <w:widowControl w:val="0"/>
              <w:tabs>
                <w:tab w:val="right" w:leader="middleDot" w:pos="8931"/>
                <w:tab w:val="clear" w:pos="8398"/>
              </w:tabs>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24.与智能车载终端平滑对接</w:t>
            </w:r>
          </w:p>
          <w:p>
            <w:pPr>
              <w:pStyle w:val="7"/>
              <w:widowControl w:val="0"/>
              <w:tabs>
                <w:tab w:val="right" w:leader="middleDot" w:pos="8931"/>
                <w:tab w:val="clear" w:pos="8398"/>
              </w:tabs>
              <w:ind w:firstLine="480" w:firstLineChars="200"/>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系统升级后，支持与已采购的智能车载终端（急救通PAD）无缝对接，平滑过渡，升级后的急救指挥调度系统可以对智能车载终端下发调度指令和公告信息，实时接收车辆的位置信息；智能车载终端可以反馈车辆节点时间信息，反馈突发事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地理信息子系统</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GIS系统地图服务端能对地图底图数据进行自动更新，图源可有多种来源，可支持百度、高德、天地图等公开的数据来源。</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GIS系统可根据急救事件，智能推荐送往医院、智能推荐调度车辆、智能推荐行车路径。</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1.车辆推荐</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支持根据事发现场地点定位计算出所有分站和救护车辆距离现场地址的距离，并根据相离距离的近远顺序提供待命或返站急救车（医院）的列表供调度员参考。</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2.到院距离估算 </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根据车辆实时位置离目标位置以及车速、路况、行驶路线等因素计算出所需要的时间。</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3.实时路况</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支持实时路况信息查询功能，可以通过实时路况信息，来选择、调整急救车的行进路径。辅助调度员决策急救车行驶路径。</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4.路径规划 </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自动标注接车地址，GIS自动进行路径规划，并准守最快、最短的原则进行路径推荐；系统可以根据道路的宽窄、距离的远近、红绿灯的多少、人(车)流量的大小等因素提供几种行驶路线，同时行驶路线要用线条标示处理进行显示。</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5.GIS截屏</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推荐车辆时，若一定范围以内没有可供调派的车辆，GIS系统将当时的地图数据保存下来，供事后调查取证。</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6.组织机构</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在GIS系统中，不仅可以跟踪车辆，还可以查看每个车辆隶属那个急救机构，同时可以查看每个急救机构下有哪些急救车辆，鼠标移至车辆上可以展示车辆的静态信息。</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7.车辆监控</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在GIS中可以实时监控各市县急救车辆的工作状态（在线、离线、待命、任务中等等）。</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8.多视图车辆跟踪</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通过GIS系统可以实时跟踪任务中的车辆的行进情况，并支持多视图车辆即跟踪多辆急救车辆。</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9.车辆轨迹回放</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在GIS系统中，通过选择车辆查询日期等条件，可以查询某个车辆历史行进轨迹，根据不同的组合查询条件，在GIS系统中详细展示车辆历史回放情况。</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10.急救资源展示</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可查询展示各个急救中心、急救站点、各大网络医院以及其他医疗机构等，查询各个急救资源点时可以显示单位名称、单位简介等，对于医疗机构，比如各大医院，可以展示医院专长、医院简介、专家队伍、联系电话等，如果部分医院可以将病床位动态信息开放的话，可以在GIS中查询到各大医院的病床位等动态急救资源信息。</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11.软电话功能</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在GIS系统中，选中急救车辆或者各个医疗机构时，可以直接一键呼叫急救车辆的车载电话或者医院在GIS中的电话，实现一键呼叫功能。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110" w:type="dxa"/>
            <w:vAlign w:val="center"/>
          </w:tcPr>
          <w:p>
            <w:pPr>
              <w:adjustRightInd/>
              <w:spacing w:line="360" w:lineRule="auto"/>
              <w:ind w:firstLine="0" w:firstLineChars="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急救综合管理子系统</w:t>
            </w:r>
          </w:p>
        </w:tc>
        <w:tc>
          <w:tcPr>
            <w:tcW w:w="960" w:type="dxa"/>
            <w:vAlign w:val="center"/>
          </w:tcPr>
          <w:p>
            <w:pPr>
              <w:adjustRightInd/>
              <w:spacing w:line="360" w:lineRule="auto"/>
              <w:ind w:left="0" w:leftChars="0" w:firstLine="0" w:firstLineChars="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spacing w:line="240" w:lineRule="auto"/>
              <w:ind w:firstLine="480" w:firstLineChars="200"/>
              <w:jc w:val="left"/>
              <w:rPr>
                <w:rFonts w:hint="eastAsia"/>
                <w:sz w:val="24"/>
                <w:szCs w:val="24"/>
                <w:lang w:eastAsia="zh-CN"/>
              </w:rPr>
            </w:pPr>
            <w:r>
              <w:rPr>
                <w:rFonts w:hint="eastAsia"/>
                <w:sz w:val="24"/>
                <w:szCs w:val="24"/>
                <w:lang w:eastAsia="zh-CN"/>
              </w:rPr>
              <w:t>包含</w:t>
            </w:r>
            <w:r>
              <w:rPr>
                <w:rFonts w:hint="eastAsia"/>
                <w:sz w:val="24"/>
                <w:szCs w:val="24"/>
              </w:rPr>
              <w:t>综合办公</w:t>
            </w:r>
            <w:r>
              <w:rPr>
                <w:rFonts w:hint="eastAsia"/>
                <w:sz w:val="24"/>
                <w:szCs w:val="24"/>
                <w:lang w:eastAsia="zh-CN"/>
              </w:rPr>
              <w:t>、</w:t>
            </w:r>
            <w:r>
              <w:rPr>
                <w:rFonts w:hint="eastAsia"/>
                <w:sz w:val="24"/>
                <w:szCs w:val="24"/>
              </w:rPr>
              <w:t>急救动态管理</w:t>
            </w:r>
            <w:r>
              <w:rPr>
                <w:rFonts w:hint="eastAsia"/>
                <w:sz w:val="24"/>
                <w:szCs w:val="24"/>
                <w:lang w:eastAsia="zh-CN"/>
              </w:rPr>
              <w:t>、</w:t>
            </w:r>
            <w:r>
              <w:rPr>
                <w:rFonts w:hint="eastAsia"/>
                <w:sz w:val="24"/>
                <w:szCs w:val="24"/>
              </w:rPr>
              <w:t>急救电子病历管理</w:t>
            </w:r>
            <w:r>
              <w:rPr>
                <w:rFonts w:hint="eastAsia"/>
                <w:sz w:val="24"/>
                <w:szCs w:val="24"/>
                <w:lang w:eastAsia="zh-CN"/>
              </w:rPr>
              <w:t>、</w:t>
            </w:r>
            <w:r>
              <w:rPr>
                <w:rFonts w:hint="eastAsia"/>
                <w:sz w:val="24"/>
                <w:szCs w:val="24"/>
              </w:rPr>
              <w:t>车辆管理</w:t>
            </w:r>
            <w:r>
              <w:rPr>
                <w:rFonts w:hint="eastAsia"/>
                <w:sz w:val="24"/>
                <w:szCs w:val="24"/>
                <w:lang w:eastAsia="zh-CN"/>
              </w:rPr>
              <w:t>、</w:t>
            </w:r>
            <w:r>
              <w:rPr>
                <w:rFonts w:hint="eastAsia"/>
                <w:sz w:val="24"/>
                <w:szCs w:val="24"/>
              </w:rPr>
              <w:t>药品管理</w:t>
            </w:r>
            <w:r>
              <w:rPr>
                <w:rFonts w:hint="eastAsia"/>
                <w:sz w:val="24"/>
                <w:szCs w:val="24"/>
                <w:lang w:eastAsia="zh-CN"/>
              </w:rPr>
              <w:t>、</w:t>
            </w:r>
            <w:r>
              <w:rPr>
                <w:rFonts w:hint="eastAsia"/>
                <w:sz w:val="24"/>
                <w:szCs w:val="24"/>
              </w:rPr>
              <w:t>设备物资管理</w:t>
            </w:r>
            <w:r>
              <w:rPr>
                <w:rFonts w:hint="eastAsia"/>
                <w:sz w:val="24"/>
                <w:szCs w:val="24"/>
                <w:lang w:eastAsia="zh-CN"/>
              </w:rPr>
              <w:t>、</w:t>
            </w:r>
            <w:r>
              <w:rPr>
                <w:rFonts w:hint="eastAsia"/>
                <w:sz w:val="24"/>
                <w:szCs w:val="24"/>
              </w:rPr>
              <w:t>人员管理</w:t>
            </w:r>
            <w:r>
              <w:rPr>
                <w:rFonts w:hint="eastAsia"/>
                <w:sz w:val="24"/>
                <w:szCs w:val="24"/>
                <w:lang w:eastAsia="zh-CN"/>
              </w:rPr>
              <w:t>、</w:t>
            </w:r>
            <w:r>
              <w:rPr>
                <w:rFonts w:hint="eastAsia"/>
                <w:sz w:val="24"/>
                <w:szCs w:val="24"/>
              </w:rPr>
              <w:t>系统管理</w:t>
            </w:r>
            <w:r>
              <w:rPr>
                <w:rFonts w:hint="eastAsia"/>
                <w:sz w:val="24"/>
                <w:szCs w:val="24"/>
                <w:lang w:eastAsia="zh-CN"/>
              </w:rPr>
              <w:t>等。</w:t>
            </w:r>
          </w:p>
          <w:p>
            <w:pPr>
              <w:numPr>
                <w:ilvl w:val="0"/>
                <w:numId w:val="1"/>
              </w:numPr>
              <w:spacing w:line="240" w:lineRule="auto"/>
              <w:ind w:firstLine="480" w:firstLineChars="200"/>
              <w:jc w:val="left"/>
              <w:rPr>
                <w:sz w:val="24"/>
                <w:szCs w:val="24"/>
              </w:rPr>
            </w:pPr>
            <w:r>
              <w:rPr>
                <w:rFonts w:hint="eastAsia"/>
                <w:sz w:val="24"/>
                <w:szCs w:val="24"/>
              </w:rPr>
              <w:t>综合</w:t>
            </w:r>
            <w:r>
              <w:rPr>
                <w:sz w:val="24"/>
                <w:szCs w:val="24"/>
              </w:rPr>
              <w:t>办公功能包括了办公邮件的收发、工作策划</w:t>
            </w:r>
            <w:r>
              <w:rPr>
                <w:rFonts w:hint="eastAsia"/>
                <w:sz w:val="24"/>
                <w:szCs w:val="24"/>
              </w:rPr>
              <w:t>与安排</w:t>
            </w:r>
            <w:r>
              <w:rPr>
                <w:sz w:val="24"/>
                <w:szCs w:val="24"/>
              </w:rPr>
              <w:t>、工作汇报、公告信息、值班编排</w:t>
            </w:r>
            <w:r>
              <w:rPr>
                <w:rFonts w:hint="eastAsia"/>
                <w:sz w:val="24"/>
                <w:szCs w:val="24"/>
              </w:rPr>
              <w:t>、</w:t>
            </w:r>
            <w:r>
              <w:rPr>
                <w:sz w:val="24"/>
                <w:szCs w:val="24"/>
              </w:rPr>
              <w:t>培训计划</w:t>
            </w:r>
            <w:r>
              <w:rPr>
                <w:rFonts w:hint="eastAsia"/>
                <w:sz w:val="24"/>
                <w:szCs w:val="24"/>
              </w:rPr>
              <w:t>安排</w:t>
            </w:r>
            <w:r>
              <w:rPr>
                <w:sz w:val="24"/>
                <w:szCs w:val="24"/>
              </w:rPr>
              <w:t>、中心简报、文件管理</w:t>
            </w:r>
            <w:r>
              <w:rPr>
                <w:rFonts w:hint="eastAsia"/>
                <w:sz w:val="24"/>
                <w:szCs w:val="24"/>
              </w:rPr>
              <w:t>等常用的日常办公功能模。以及急救中心有关的</w:t>
            </w:r>
            <w:r>
              <w:rPr>
                <w:sz w:val="24"/>
                <w:szCs w:val="24"/>
              </w:rPr>
              <w:t>工作流程、规章制度等</w:t>
            </w:r>
            <w:r>
              <w:rPr>
                <w:rFonts w:hint="eastAsia"/>
                <w:sz w:val="24"/>
                <w:szCs w:val="24"/>
              </w:rPr>
              <w:t>信息阅览</w:t>
            </w:r>
            <w:r>
              <w:rPr>
                <w:sz w:val="24"/>
                <w:szCs w:val="24"/>
              </w:rPr>
              <w:t>模块。</w:t>
            </w:r>
          </w:p>
          <w:p>
            <w:pPr>
              <w:numPr>
                <w:ilvl w:val="0"/>
                <w:numId w:val="1"/>
              </w:numPr>
              <w:spacing w:line="240" w:lineRule="auto"/>
              <w:ind w:firstLine="480" w:firstLineChars="200"/>
              <w:jc w:val="left"/>
              <w:rPr>
                <w:rFonts w:hint="eastAsia"/>
                <w:sz w:val="24"/>
                <w:szCs w:val="24"/>
                <w:lang w:eastAsia="zh-CN"/>
              </w:rPr>
            </w:pPr>
            <w:r>
              <w:rPr>
                <w:rFonts w:hint="eastAsia"/>
                <w:sz w:val="24"/>
                <w:szCs w:val="24"/>
              </w:rPr>
              <w:t>急救动态管理模块可实时显示急救中心的当前工作动态，包括当日受理电话数、出车数。可详细查看受理、调度、派车、出车、救治患者的详细信息</w:t>
            </w:r>
            <w:r>
              <w:rPr>
                <w:rFonts w:hint="eastAsia"/>
                <w:sz w:val="24"/>
                <w:szCs w:val="24"/>
                <w:lang w:eastAsia="zh-CN"/>
              </w:rPr>
              <w:t>及统计</w:t>
            </w:r>
            <w:r>
              <w:rPr>
                <w:rFonts w:hint="eastAsia"/>
                <w:sz w:val="24"/>
                <w:szCs w:val="24"/>
              </w:rPr>
              <w:t>。</w:t>
            </w:r>
          </w:p>
          <w:p>
            <w:pPr>
              <w:numPr>
                <w:ilvl w:val="0"/>
                <w:numId w:val="1"/>
              </w:numPr>
              <w:spacing w:line="240" w:lineRule="auto"/>
              <w:ind w:firstLine="480" w:firstLineChars="200"/>
              <w:jc w:val="left"/>
              <w:rPr>
                <w:rFonts w:hint="eastAsia"/>
                <w:sz w:val="24"/>
                <w:szCs w:val="24"/>
                <w:lang w:eastAsia="zh-CN"/>
              </w:rPr>
            </w:pPr>
            <w:r>
              <w:rPr>
                <w:rFonts w:hint="eastAsia"/>
                <w:sz w:val="24"/>
                <w:szCs w:val="24"/>
                <w:lang w:eastAsia="zh-CN"/>
              </w:rPr>
              <w:t>急救电子病历管理模块：出车任务结束后，医生或者其他人员可对本次出车的救治患者进行急救电子病历的录入和登记。可通过车载电脑、手持终端、分站联网计算机终端等多种途径进行急救患者电子病理的录入。录入的电子病历可进行保存和提交的操作。保存后的病历仍然可以修改，病历一旦提交后，将不能进行修改。</w:t>
            </w:r>
          </w:p>
          <w:p>
            <w:pPr>
              <w:numPr>
                <w:ilvl w:val="0"/>
                <w:numId w:val="1"/>
              </w:numPr>
              <w:spacing w:line="240" w:lineRule="auto"/>
              <w:ind w:firstLine="480" w:firstLineChars="200"/>
              <w:jc w:val="left"/>
              <w:rPr>
                <w:rFonts w:hint="eastAsia"/>
                <w:sz w:val="24"/>
                <w:szCs w:val="24"/>
                <w:lang w:eastAsia="zh-CN"/>
              </w:rPr>
            </w:pPr>
            <w:r>
              <w:rPr>
                <w:rFonts w:hint="eastAsia"/>
                <w:sz w:val="24"/>
                <w:szCs w:val="24"/>
                <w:lang w:eastAsia="zh-CN"/>
              </w:rPr>
              <w:t>车辆管理模块支持</w:t>
            </w:r>
            <w:r>
              <w:rPr>
                <w:rFonts w:hint="eastAsia" w:ascii="宋体" w:hAnsi="宋体"/>
                <w:sz w:val="24"/>
                <w:szCs w:val="24"/>
              </w:rPr>
              <w:t>车辆基础信息</w:t>
            </w:r>
            <w:r>
              <w:rPr>
                <w:rFonts w:hint="eastAsia" w:ascii="宋体" w:hAnsi="宋体"/>
                <w:sz w:val="24"/>
                <w:szCs w:val="24"/>
                <w:lang w:eastAsia="zh-CN"/>
              </w:rPr>
              <w:t>、</w:t>
            </w:r>
            <w:r>
              <w:rPr>
                <w:rFonts w:hint="eastAsia" w:ascii="宋体" w:hAnsi="宋体"/>
                <w:sz w:val="24"/>
                <w:szCs w:val="24"/>
              </w:rPr>
              <w:t>维护保养</w:t>
            </w:r>
            <w:r>
              <w:rPr>
                <w:rFonts w:hint="eastAsia" w:ascii="宋体" w:hAnsi="宋体"/>
                <w:sz w:val="24"/>
                <w:szCs w:val="24"/>
                <w:lang w:eastAsia="zh-CN"/>
              </w:rPr>
              <w:t>、</w:t>
            </w:r>
            <w:r>
              <w:rPr>
                <w:rFonts w:hint="eastAsia" w:ascii="宋体" w:hAnsi="宋体"/>
                <w:sz w:val="24"/>
                <w:szCs w:val="24"/>
              </w:rPr>
              <w:t>消耗燃料</w:t>
            </w:r>
            <w:r>
              <w:rPr>
                <w:rFonts w:hint="eastAsia" w:ascii="宋体" w:hAnsi="宋体"/>
                <w:sz w:val="24"/>
                <w:szCs w:val="24"/>
                <w:lang w:eastAsia="zh-CN"/>
              </w:rPr>
              <w:t>、</w:t>
            </w:r>
            <w:r>
              <w:rPr>
                <w:rFonts w:hint="eastAsia" w:ascii="宋体" w:hAnsi="宋体"/>
                <w:sz w:val="24"/>
                <w:szCs w:val="24"/>
              </w:rPr>
              <w:t>保险</w:t>
            </w:r>
            <w:r>
              <w:rPr>
                <w:rFonts w:hint="eastAsia" w:ascii="宋体" w:hAnsi="宋体"/>
                <w:sz w:val="24"/>
                <w:szCs w:val="24"/>
                <w:lang w:eastAsia="zh-CN"/>
              </w:rPr>
              <w:t>、</w:t>
            </w:r>
            <w:r>
              <w:rPr>
                <w:rFonts w:hint="eastAsia" w:ascii="宋体" w:hAnsi="宋体"/>
                <w:sz w:val="24"/>
                <w:szCs w:val="24"/>
              </w:rPr>
              <w:t>车载设备</w:t>
            </w:r>
            <w:r>
              <w:rPr>
                <w:rFonts w:hint="eastAsia" w:ascii="宋体" w:hAnsi="宋体"/>
                <w:sz w:val="24"/>
                <w:szCs w:val="24"/>
                <w:lang w:eastAsia="zh-CN"/>
              </w:rPr>
              <w:t>、</w:t>
            </w:r>
            <w:r>
              <w:rPr>
                <w:rFonts w:hint="eastAsia" w:ascii="宋体" w:hAnsi="宋体"/>
                <w:sz w:val="24"/>
                <w:szCs w:val="24"/>
              </w:rPr>
              <w:t>事故</w:t>
            </w:r>
            <w:r>
              <w:rPr>
                <w:rFonts w:hint="eastAsia" w:ascii="宋体" w:hAnsi="宋体"/>
                <w:sz w:val="24"/>
                <w:szCs w:val="24"/>
                <w:lang w:eastAsia="zh-CN"/>
              </w:rPr>
              <w:t>等信息管理。</w:t>
            </w:r>
          </w:p>
          <w:p>
            <w:pPr>
              <w:numPr>
                <w:ilvl w:val="0"/>
                <w:numId w:val="1"/>
              </w:numPr>
              <w:spacing w:line="240" w:lineRule="auto"/>
              <w:ind w:firstLine="480" w:firstLineChars="200"/>
              <w:jc w:val="left"/>
              <w:rPr>
                <w:rFonts w:hint="eastAsia"/>
                <w:sz w:val="24"/>
                <w:szCs w:val="24"/>
                <w:lang w:eastAsia="zh-CN"/>
              </w:rPr>
            </w:pPr>
            <w:r>
              <w:rPr>
                <w:rFonts w:hint="eastAsia" w:ascii="宋体" w:hAnsi="宋体"/>
                <w:sz w:val="24"/>
                <w:szCs w:val="24"/>
              </w:rPr>
              <w:t>药品管理包括药品入/出库登记，药品查询，入库查询、领取查询、药品过期预警等功能。出入库流程为中心库存分配给具体分站，分站再具体分配到车辆。</w:t>
            </w:r>
          </w:p>
          <w:p>
            <w:pPr>
              <w:numPr>
                <w:ilvl w:val="0"/>
                <w:numId w:val="1"/>
              </w:numPr>
              <w:spacing w:line="240" w:lineRule="auto"/>
              <w:ind w:firstLine="480" w:firstLineChars="200"/>
              <w:jc w:val="left"/>
              <w:rPr>
                <w:rFonts w:hint="eastAsia"/>
                <w:sz w:val="24"/>
                <w:szCs w:val="24"/>
                <w:lang w:eastAsia="zh-CN"/>
              </w:rPr>
            </w:pPr>
            <w:r>
              <w:rPr>
                <w:rFonts w:hint="eastAsia" w:ascii="宋体" w:hAnsi="宋体"/>
                <w:sz w:val="24"/>
                <w:szCs w:val="24"/>
                <w:lang w:eastAsia="zh-CN"/>
              </w:rPr>
              <w:t>设备管理</w:t>
            </w:r>
            <w:r>
              <w:rPr>
                <w:rFonts w:hint="eastAsia" w:ascii="宋体" w:hAnsi="宋体"/>
                <w:sz w:val="24"/>
                <w:szCs w:val="24"/>
              </w:rPr>
              <w:t>模块可完成对急救中心的全部设备进行登记造册、申购、出/入库等管理操作。</w:t>
            </w:r>
          </w:p>
          <w:p>
            <w:pPr>
              <w:numPr>
                <w:ilvl w:val="0"/>
                <w:numId w:val="1"/>
              </w:numPr>
              <w:spacing w:line="240" w:lineRule="auto"/>
              <w:ind w:firstLine="480" w:firstLineChars="200"/>
              <w:jc w:val="left"/>
              <w:rPr>
                <w:rFonts w:hint="eastAsia"/>
                <w:sz w:val="24"/>
                <w:szCs w:val="24"/>
                <w:lang w:eastAsia="zh-CN"/>
              </w:rPr>
            </w:pPr>
            <w:r>
              <w:rPr>
                <w:rFonts w:hint="eastAsia" w:ascii="宋体" w:hAnsi="宋体"/>
                <w:sz w:val="24"/>
                <w:szCs w:val="24"/>
                <w:lang w:eastAsia="zh-CN"/>
              </w:rPr>
              <w:t>人员管理模块支持</w:t>
            </w:r>
            <w:r>
              <w:rPr>
                <w:rFonts w:hint="eastAsia" w:ascii="宋体" w:hAnsi="宋体"/>
                <w:sz w:val="24"/>
                <w:szCs w:val="24"/>
              </w:rPr>
              <w:t>对急救中心全体工作人员建立人事档案，包括人员信息录入、查询和修改等功能。可录入员工每日的出勤情况，分别包括上午、下午和夜晚的出勤考勤结果并保存。</w:t>
            </w:r>
          </w:p>
          <w:p>
            <w:pPr>
              <w:numPr>
                <w:ilvl w:val="0"/>
                <w:numId w:val="1"/>
              </w:numPr>
              <w:spacing w:line="240" w:lineRule="auto"/>
              <w:ind w:firstLine="480" w:firstLineChars="200"/>
              <w:jc w:val="left"/>
              <w:rPr>
                <w:rFonts w:hint="eastAsia"/>
                <w:sz w:val="24"/>
                <w:szCs w:val="24"/>
                <w:lang w:eastAsia="zh-CN"/>
              </w:rPr>
            </w:pPr>
            <w:r>
              <w:rPr>
                <w:rFonts w:hint="eastAsia"/>
                <w:sz w:val="24"/>
                <w:szCs w:val="24"/>
              </w:rPr>
              <w:t>系统管理</w:t>
            </w:r>
            <w:r>
              <w:rPr>
                <w:rFonts w:hint="eastAsia"/>
                <w:sz w:val="24"/>
                <w:szCs w:val="24"/>
                <w:lang w:eastAsia="zh-CN"/>
              </w:rPr>
              <w:t>模块</w:t>
            </w:r>
            <w:r>
              <w:rPr>
                <w:rFonts w:hint="eastAsia" w:ascii="宋体" w:hAnsi="宋体"/>
                <w:sz w:val="24"/>
                <w:szCs w:val="24"/>
              </w:rPr>
              <w:t>根据急救中心的实际情况，定义若干角色，并对角色进行授权操作。</w:t>
            </w:r>
          </w:p>
          <w:p>
            <w:pPr>
              <w:pStyle w:val="7"/>
              <w:widowControl w:val="0"/>
              <w:tabs>
                <w:tab w:val="right" w:leader="middleDot" w:pos="8931"/>
                <w:tab w:val="clear" w:pos="8398"/>
              </w:tabs>
              <w:rPr>
                <w:rFonts w:hint="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110" w:type="dxa"/>
            <w:vAlign w:val="center"/>
          </w:tcPr>
          <w:p>
            <w:pPr>
              <w:adjustRightInd/>
              <w:spacing w:line="360" w:lineRule="auto"/>
              <w:ind w:firstLine="0" w:firstLineChars="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数据统计分析子系统</w:t>
            </w:r>
          </w:p>
        </w:tc>
        <w:tc>
          <w:tcPr>
            <w:tcW w:w="960" w:type="dxa"/>
            <w:vAlign w:val="center"/>
          </w:tcPr>
          <w:p>
            <w:pPr>
              <w:adjustRightInd/>
              <w:spacing w:line="360" w:lineRule="auto"/>
              <w:ind w:left="0" w:leftChars="0" w:firstLine="0" w:firstLineChars="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numPr>
                <w:ilvl w:val="0"/>
                <w:numId w:val="2"/>
              </w:numPr>
              <w:spacing w:line="240" w:lineRule="auto"/>
              <w:ind w:left="0" w:leftChars="0" w:firstLine="0" w:firstLineChars="0"/>
              <w:jc w:val="left"/>
              <w:rPr>
                <w:rFonts w:hint="eastAsia"/>
                <w:sz w:val="24"/>
                <w:szCs w:val="24"/>
              </w:rPr>
            </w:pPr>
            <w:r>
              <w:rPr>
                <w:rFonts w:hint="eastAsia"/>
                <w:sz w:val="24"/>
                <w:szCs w:val="24"/>
              </w:rPr>
              <w:t>全局报表</w:t>
            </w:r>
            <w:r>
              <w:rPr>
                <w:rFonts w:hint="eastAsia"/>
                <w:sz w:val="24"/>
                <w:szCs w:val="24"/>
                <w:lang w:eastAsia="zh-CN"/>
              </w:rPr>
              <w:t>，包含</w:t>
            </w:r>
            <w:r>
              <w:rPr>
                <w:rFonts w:hint="eastAsia"/>
                <w:sz w:val="24"/>
                <w:szCs w:val="24"/>
              </w:rPr>
              <w:t>业务压力主要统计</w:t>
            </w:r>
            <w:r>
              <w:rPr>
                <w:rFonts w:hint="eastAsia"/>
                <w:sz w:val="24"/>
                <w:szCs w:val="24"/>
                <w:lang w:eastAsia="zh-CN"/>
              </w:rPr>
              <w:t>、</w:t>
            </w:r>
            <w:r>
              <w:rPr>
                <w:rFonts w:hint="eastAsia"/>
                <w:sz w:val="24"/>
                <w:szCs w:val="24"/>
              </w:rPr>
              <w:t>业务效率主要统计</w:t>
            </w:r>
            <w:r>
              <w:rPr>
                <w:rFonts w:hint="eastAsia"/>
                <w:sz w:val="24"/>
                <w:szCs w:val="24"/>
                <w:lang w:eastAsia="zh-CN"/>
              </w:rPr>
              <w:t>、呼车者类型主要统计、来电类型主要统计、</w:t>
            </w:r>
            <w:r>
              <w:rPr>
                <w:rFonts w:hint="eastAsia"/>
                <w:sz w:val="24"/>
                <w:szCs w:val="24"/>
              </w:rPr>
              <w:t>特殊事件主要统计</w:t>
            </w:r>
            <w:r>
              <w:rPr>
                <w:rFonts w:hint="eastAsia"/>
                <w:sz w:val="24"/>
                <w:szCs w:val="24"/>
                <w:lang w:eastAsia="zh-CN"/>
              </w:rPr>
              <w:t>等。</w:t>
            </w:r>
          </w:p>
          <w:p>
            <w:pPr>
              <w:numPr>
                <w:ilvl w:val="0"/>
                <w:numId w:val="0"/>
              </w:numPr>
              <w:spacing w:line="240" w:lineRule="auto"/>
              <w:ind w:firstLine="480" w:firstLineChars="200"/>
              <w:jc w:val="left"/>
              <w:rPr>
                <w:rFonts w:hint="eastAsia"/>
                <w:sz w:val="24"/>
                <w:szCs w:val="24"/>
                <w:lang w:eastAsia="zh-CN"/>
              </w:rPr>
            </w:pPr>
            <w:r>
              <w:rPr>
                <w:rFonts w:hint="eastAsia"/>
                <w:sz w:val="24"/>
                <w:szCs w:val="24"/>
              </w:rPr>
              <w:t>业务压力主要统计 受理、调度、出车、患者的汇总</w:t>
            </w:r>
            <w:r>
              <w:rPr>
                <w:rFonts w:hint="eastAsia"/>
                <w:sz w:val="24"/>
                <w:szCs w:val="24"/>
                <w:lang w:eastAsia="zh-CN"/>
              </w:rPr>
              <w:t>；</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rPr>
              <w:t>业务效率主要统计 受理、调度、出车的用时</w:t>
            </w:r>
            <w:r>
              <w:rPr>
                <w:rFonts w:hint="eastAsia"/>
                <w:sz w:val="24"/>
                <w:szCs w:val="24"/>
                <w:lang w:eastAsia="zh-CN"/>
              </w:rPr>
              <w:t>；</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lang w:eastAsia="zh-CN"/>
              </w:rPr>
              <w:t>呼车者类型主要统计受理台上的呼车者数量；</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lang w:eastAsia="zh-CN"/>
              </w:rPr>
              <w:t>来电类型主要统计受理界面上的来电类型数量；</w:t>
            </w:r>
          </w:p>
          <w:p>
            <w:pPr>
              <w:numPr>
                <w:ilvl w:val="0"/>
                <w:numId w:val="0"/>
              </w:numPr>
              <w:spacing w:line="240" w:lineRule="auto"/>
              <w:ind w:leftChars="0" w:firstLine="480" w:firstLineChars="200"/>
              <w:jc w:val="left"/>
              <w:rPr>
                <w:rFonts w:hint="eastAsia"/>
                <w:sz w:val="24"/>
                <w:szCs w:val="24"/>
              </w:rPr>
            </w:pPr>
            <w:r>
              <w:rPr>
                <w:rFonts w:hint="eastAsia"/>
                <w:sz w:val="24"/>
                <w:szCs w:val="24"/>
              </w:rPr>
              <w:t>特殊事件主要统计出车过程中遇到的特殊事件。</w:t>
            </w:r>
          </w:p>
          <w:p>
            <w:pPr>
              <w:numPr>
                <w:ilvl w:val="0"/>
                <w:numId w:val="0"/>
              </w:numPr>
              <w:spacing w:line="240" w:lineRule="auto"/>
              <w:ind w:leftChars="0"/>
              <w:jc w:val="left"/>
              <w:rPr>
                <w:rFonts w:hint="eastAsia"/>
                <w:sz w:val="24"/>
                <w:szCs w:val="24"/>
                <w:lang w:eastAsia="zh-CN"/>
              </w:rPr>
            </w:pPr>
            <w:r>
              <w:rPr>
                <w:rFonts w:hint="eastAsia"/>
                <w:sz w:val="24"/>
                <w:szCs w:val="24"/>
              </w:rPr>
              <w:t>2.详细报表</w:t>
            </w:r>
            <w:r>
              <w:rPr>
                <w:rFonts w:hint="eastAsia"/>
                <w:sz w:val="24"/>
                <w:szCs w:val="24"/>
                <w:lang w:eastAsia="zh-CN"/>
              </w:rPr>
              <w:t>，包含调度员（摘机用时、受理用时、调度用时）统计、随车人员（医生现场救治结果、医生出车数、护士出车数、担架员出车数）统计、驾驶员（出车里程、出车响应用时、到达现场用时、急救用时、出车一览）统计、患者（呼叫症状、初步诊断）统计、出车（出车数、里程、平均出车响应时间、到达时间、）统计等。</w:t>
            </w:r>
          </w:p>
        </w:tc>
      </w:tr>
    </w:tbl>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3AD14"/>
    <w:multiLevelType w:val="singleLevel"/>
    <w:tmpl w:val="C7E3AD14"/>
    <w:lvl w:ilvl="0" w:tentative="0">
      <w:start w:val="1"/>
      <w:numFmt w:val="decimal"/>
      <w:lvlText w:val="%1."/>
      <w:lvlJc w:val="left"/>
      <w:pPr>
        <w:tabs>
          <w:tab w:val="left" w:pos="312"/>
        </w:tabs>
      </w:pPr>
    </w:lvl>
  </w:abstractNum>
  <w:abstractNum w:abstractNumId="1">
    <w:nsid w:val="3F55C336"/>
    <w:multiLevelType w:val="singleLevel"/>
    <w:tmpl w:val="3F55C33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mUxMTJmMzEwYzc3MTAxNjI1Y2M2ZjFjY2FjMGQifQ=="/>
  </w:docVars>
  <w:rsids>
    <w:rsidRoot w:val="00F90455"/>
    <w:rsid w:val="0023398A"/>
    <w:rsid w:val="00675D6D"/>
    <w:rsid w:val="007D39F2"/>
    <w:rsid w:val="008D52BE"/>
    <w:rsid w:val="00A341C7"/>
    <w:rsid w:val="00B73845"/>
    <w:rsid w:val="00B847D8"/>
    <w:rsid w:val="00D85307"/>
    <w:rsid w:val="00EB0298"/>
    <w:rsid w:val="00ED28AA"/>
    <w:rsid w:val="00F90455"/>
    <w:rsid w:val="012B4EE3"/>
    <w:rsid w:val="03567A3B"/>
    <w:rsid w:val="03D447E1"/>
    <w:rsid w:val="06552C99"/>
    <w:rsid w:val="070E6E8B"/>
    <w:rsid w:val="08303AE2"/>
    <w:rsid w:val="09B86C1D"/>
    <w:rsid w:val="0B2F56B3"/>
    <w:rsid w:val="0DF73653"/>
    <w:rsid w:val="0EF55486"/>
    <w:rsid w:val="131A32C0"/>
    <w:rsid w:val="13A17F5A"/>
    <w:rsid w:val="160F077B"/>
    <w:rsid w:val="18272607"/>
    <w:rsid w:val="182D2B27"/>
    <w:rsid w:val="18FD4718"/>
    <w:rsid w:val="1D5E3520"/>
    <w:rsid w:val="1E0E5196"/>
    <w:rsid w:val="1FCC5214"/>
    <w:rsid w:val="2086054F"/>
    <w:rsid w:val="20C705E7"/>
    <w:rsid w:val="246B611F"/>
    <w:rsid w:val="250340C1"/>
    <w:rsid w:val="265B5688"/>
    <w:rsid w:val="26D27B96"/>
    <w:rsid w:val="2B9E2672"/>
    <w:rsid w:val="2CEE6F67"/>
    <w:rsid w:val="31490E1D"/>
    <w:rsid w:val="33361D5D"/>
    <w:rsid w:val="342E70C8"/>
    <w:rsid w:val="362920DB"/>
    <w:rsid w:val="38B72E46"/>
    <w:rsid w:val="38CC68BA"/>
    <w:rsid w:val="39697611"/>
    <w:rsid w:val="3E8D0BE9"/>
    <w:rsid w:val="40747881"/>
    <w:rsid w:val="40BD45BC"/>
    <w:rsid w:val="41E33632"/>
    <w:rsid w:val="422C1AE4"/>
    <w:rsid w:val="4268368E"/>
    <w:rsid w:val="43BC7102"/>
    <w:rsid w:val="44FB6EF6"/>
    <w:rsid w:val="45221F62"/>
    <w:rsid w:val="454F7C99"/>
    <w:rsid w:val="46D976B7"/>
    <w:rsid w:val="4BA67DBC"/>
    <w:rsid w:val="4BDE097F"/>
    <w:rsid w:val="4C242C40"/>
    <w:rsid w:val="4C373527"/>
    <w:rsid w:val="4C4E7DCC"/>
    <w:rsid w:val="4E093615"/>
    <w:rsid w:val="502F7CE9"/>
    <w:rsid w:val="5057529A"/>
    <w:rsid w:val="5122277E"/>
    <w:rsid w:val="540B6FFD"/>
    <w:rsid w:val="542A71F8"/>
    <w:rsid w:val="557B13BE"/>
    <w:rsid w:val="59784D89"/>
    <w:rsid w:val="598A5547"/>
    <w:rsid w:val="59AD2577"/>
    <w:rsid w:val="59C12AAB"/>
    <w:rsid w:val="5A7E5D34"/>
    <w:rsid w:val="5AB35FAE"/>
    <w:rsid w:val="5BF945D9"/>
    <w:rsid w:val="5EA44546"/>
    <w:rsid w:val="60F30FE5"/>
    <w:rsid w:val="641C2B12"/>
    <w:rsid w:val="6B9006BF"/>
    <w:rsid w:val="6EB40B40"/>
    <w:rsid w:val="6F502241"/>
    <w:rsid w:val="70FC400C"/>
    <w:rsid w:val="73AC41C0"/>
    <w:rsid w:val="76A469FE"/>
    <w:rsid w:val="79470918"/>
    <w:rsid w:val="7A7A6CDB"/>
    <w:rsid w:val="7EE4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ind w:left="420" w:leftChars="200" w:firstLine="420" w:firstLineChars="200"/>
    </w:pPr>
    <w:rPr>
      <w:rFonts w:ascii="Times New Roman" w:eastAsia="宋体"/>
      <w:kern w:val="2"/>
      <w:sz w:val="21"/>
      <w:szCs w:val="24"/>
      <w:lang w:val="en-US" w:eastAsia="zh-CN"/>
    </w:rPr>
  </w:style>
  <w:style w:type="paragraph" w:styleId="3">
    <w:name w:val="Body Text Indent"/>
    <w:basedOn w:val="1"/>
    <w:next w:val="1"/>
    <w:qFormat/>
    <w:uiPriority w:val="0"/>
    <w:pPr>
      <w:ind w:firstLine="830" w:firstLineChars="352"/>
    </w:pPr>
    <w:rPr>
      <w:rFonts w:ascii="仿宋_GB2312" w:eastAsia="仿宋_GB2312"/>
      <w:kern w:val="0"/>
      <w:sz w:val="32"/>
      <w:szCs w:val="20"/>
    </w:rPr>
  </w:style>
  <w:style w:type="paragraph" w:styleId="4">
    <w:name w:val="Body Text"/>
    <w:basedOn w:val="1"/>
    <w:next w:val="5"/>
    <w:link w:val="13"/>
    <w:qFormat/>
    <w:uiPriority w:val="0"/>
    <w:pPr>
      <w:spacing w:line="380" w:lineRule="exact"/>
    </w:pPr>
    <w:rPr>
      <w:sz w:val="2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Plain Text"/>
    <w:basedOn w:val="1"/>
    <w:qFormat/>
    <w:uiPriority w:val="0"/>
    <w:rPr>
      <w:rFonts w:ascii="宋体" w:hAnsi="Courier New"/>
      <w:szCs w:val="22"/>
    </w:rPr>
  </w:style>
  <w:style w:type="paragraph" w:styleId="7">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列出段落1"/>
    <w:basedOn w:val="1"/>
    <w:qFormat/>
    <w:uiPriority w:val="0"/>
    <w:pPr>
      <w:ind w:firstLine="420" w:firstLineChars="200"/>
    </w:pPr>
    <w:rPr>
      <w:szCs w:val="20"/>
    </w:rPr>
  </w:style>
  <w:style w:type="character" w:customStyle="1" w:styleId="13">
    <w:name w:val="正文文本 字符"/>
    <w:basedOn w:val="10"/>
    <w:link w:val="4"/>
    <w:qFormat/>
    <w:uiPriority w:val="0"/>
    <w:rPr>
      <w:kern w:val="2"/>
      <w:sz w:val="24"/>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1052</Words>
  <Characters>5998</Characters>
  <Lines>49</Lines>
  <Paragraphs>14</Paragraphs>
  <TotalTime>1</TotalTime>
  <ScaleCrop>false</ScaleCrop>
  <LinksUpToDate>false</LinksUpToDate>
  <CharactersWithSpaces>7036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2022-12-02T01:36:00Z</dcterms:created>
  <dc:creator>Administrator</dc:creator>
  <cp:lastModifiedBy>日月星辰</cp:lastModifiedBy>
  <cp:lastPrinted>2023-05-23T07:38:00Z</cp:lastPrinted>
  <dcterms:modified xsi:type="dcterms:W3CDTF">2023-08-08T01:32:45Z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9EDF1746945C4532BD58C7A30D05F040</vt:lpwstr>
  </property>
</Properties>
</file>