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left="2160" w:hanging="2160" w:hangingChars="900"/>
        <w:textAlignment w:val="auto"/>
        <w:rPr>
          <w:rFonts w:hint="eastAsia"/>
          <w:sz w:val="24"/>
          <w:szCs w:val="24"/>
          <w:highlight w:val="yellow"/>
        </w:rPr>
      </w:pPr>
      <w:r>
        <w:rPr>
          <w:rFonts w:hint="eastAsia"/>
        </w:rPr>
        <w:t xml:space="preserve"> </w:t>
      </w:r>
      <w:r>
        <w:t xml:space="preserve">   </w:t>
      </w:r>
      <w:r>
        <w:rPr>
          <w:rFonts w:hint="eastAsia"/>
          <w:highlight w:val="yellow"/>
        </w:rPr>
        <w:t>1.1.项目名称：</w:t>
      </w:r>
      <w:r>
        <w:rPr>
          <w:rFonts w:hint="eastAsia" w:cs="宋体"/>
          <w:b w:val="0"/>
          <w:bCs w:val="0"/>
          <w:color w:val="auto"/>
          <w:kern w:val="0"/>
          <w:sz w:val="24"/>
          <w:szCs w:val="24"/>
          <w:u w:val="single"/>
          <w:lang w:eastAsia="zh-CN"/>
        </w:rPr>
        <w:t>贺州市八步区人民医院（广西壮族自治区桂东人民医院八步分院）</w:t>
      </w:r>
      <w:r>
        <w:rPr>
          <w:rFonts w:hint="eastAsia" w:cs="宋体"/>
          <w:color w:val="auto"/>
          <w:kern w:val="0"/>
          <w:sz w:val="24"/>
          <w:szCs w:val="24"/>
          <w:u w:val="single"/>
          <w:lang w:eastAsia="zh-CN"/>
        </w:rPr>
        <w:t>医疗废物暂存间改造</w:t>
      </w:r>
      <w:r>
        <w:rPr>
          <w:rStyle w:val="16"/>
          <w:rFonts w:hint="eastAsia"/>
          <w:color w:val="auto"/>
          <w:sz w:val="24"/>
          <w:szCs w:val="24"/>
          <w:u w:val="single"/>
          <w:lang w:eastAsia="zh-CN"/>
        </w:rPr>
        <w:t>工程</w:t>
      </w:r>
    </w:p>
    <w:p>
      <w:pPr>
        <w:pStyle w:val="2"/>
        <w:ind w:firstLine="480" w:firstLineChars="200"/>
        <w:rPr>
          <w:rFonts w:hint="default" w:cs="宋体"/>
          <w:b w:val="0"/>
          <w:bCs w:val="0"/>
          <w:color w:val="auto"/>
          <w:kern w:val="0"/>
          <w:sz w:val="24"/>
          <w:szCs w:val="24"/>
          <w:u w:val="single"/>
          <w:lang w:val="en-US" w:eastAsia="zh-CN"/>
        </w:rPr>
      </w:pPr>
      <w:r>
        <w:rPr>
          <w:rFonts w:hint="eastAsia"/>
          <w:highlight w:val="yellow"/>
        </w:rPr>
        <w:t>1.2.项目编号：</w:t>
      </w:r>
      <w:r>
        <w:rPr>
          <w:rFonts w:hint="eastAsia" w:cs="宋体"/>
          <w:b w:val="0"/>
          <w:bCs w:val="0"/>
          <w:color w:val="auto"/>
          <w:kern w:val="0"/>
          <w:sz w:val="24"/>
          <w:szCs w:val="24"/>
          <w:u w:val="single"/>
          <w:lang w:eastAsia="zh-CN"/>
        </w:rPr>
        <w:t>桂东招202</w:t>
      </w:r>
      <w:r>
        <w:rPr>
          <w:rFonts w:hint="eastAsia" w:cs="宋体"/>
          <w:b w:val="0"/>
          <w:bCs w:val="0"/>
          <w:color w:val="auto"/>
          <w:kern w:val="0"/>
          <w:sz w:val="24"/>
          <w:szCs w:val="24"/>
          <w:u w:val="single"/>
          <w:lang w:val="en-US" w:eastAsia="zh-CN"/>
        </w:rPr>
        <w:t>3052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120614220"/>
      <w:bookmarkEnd w:id="37"/>
      <w:bookmarkStart w:id="38" w:name="_Toc16938552"/>
      <w:bookmarkEnd w:id="38"/>
      <w:bookmarkStart w:id="39" w:name="_Toc20823308"/>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5A5D0B"/>
    <w:rsid w:val="059654CB"/>
    <w:rsid w:val="093D2076"/>
    <w:rsid w:val="17173C43"/>
    <w:rsid w:val="1897479D"/>
    <w:rsid w:val="1B222279"/>
    <w:rsid w:val="1C045EE6"/>
    <w:rsid w:val="23454A0E"/>
    <w:rsid w:val="29054853"/>
    <w:rsid w:val="36440210"/>
    <w:rsid w:val="3DC300EC"/>
    <w:rsid w:val="3E26523F"/>
    <w:rsid w:val="40D50551"/>
    <w:rsid w:val="41FB6582"/>
    <w:rsid w:val="44B9109C"/>
    <w:rsid w:val="462573E7"/>
    <w:rsid w:val="4E661EA1"/>
    <w:rsid w:val="52E74FFA"/>
    <w:rsid w:val="532E7431"/>
    <w:rsid w:val="57041B95"/>
    <w:rsid w:val="58700601"/>
    <w:rsid w:val="5AF813B5"/>
    <w:rsid w:val="5E055233"/>
    <w:rsid w:val="5F7A39FE"/>
    <w:rsid w:val="605B131C"/>
    <w:rsid w:val="606210D6"/>
    <w:rsid w:val="696D39A5"/>
    <w:rsid w:val="699800FE"/>
    <w:rsid w:val="6B2D5DC9"/>
    <w:rsid w:val="6BDD07A9"/>
    <w:rsid w:val="6CB95B66"/>
    <w:rsid w:val="6CC244FD"/>
    <w:rsid w:val="6CFE45B9"/>
    <w:rsid w:val="75BA7CF1"/>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7012</Words>
  <Characters>7551</Characters>
  <Lines>62</Lines>
  <Paragraphs>17</Paragraphs>
  <TotalTime>47</TotalTime>
  <ScaleCrop>false</ScaleCrop>
  <LinksUpToDate>false</LinksUpToDate>
  <CharactersWithSpaces>8487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2023-08-23T02:36:13Z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08563293BB9D4BBE8BC2D52C4AB1AB25</vt:lpwstr>
  </property>
</Properties>
</file>