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3"/>
        <w:ind w:left="-708" w:leftChars="-337"/>
        <w:rPr>
          <w:rFonts w:cs="宋体"/>
          <w:b/>
          <w:bCs/>
          <w:sz w:val="28"/>
          <w:szCs w:val="28"/>
        </w:rPr>
      </w:pPr>
      <w:r>
        <w:rPr>
          <w:rFonts w:hint="eastAsia" w:cs="宋体"/>
          <w:b/>
          <w:bCs/>
          <w:sz w:val="28"/>
          <w:szCs w:val="28"/>
        </w:rPr>
        <w:t>一、采购清单、技术规格参数、质量标准和要求</w:t>
      </w:r>
    </w:p>
    <w:p>
      <w:pPr>
        <w:pStyle w:val="13"/>
        <w:ind w:left="-708" w:leftChars="-337"/>
        <w:rPr>
          <w:rFonts w:cs="宋体"/>
          <w:b/>
          <w:bCs/>
        </w:rPr>
      </w:pPr>
      <w:r>
        <w:rPr>
          <w:rFonts w:hint="eastAsia" w:cs="宋体"/>
          <w:b/>
          <w:bCs/>
        </w:rPr>
        <w:t>（一）采购需求：</w:t>
      </w:r>
    </w:p>
    <w:p>
      <w:pPr>
        <w:pStyle w:val="13"/>
        <w:ind w:left="-708" w:leftChars="-337" w:firstLine="480"/>
        <w:rPr>
          <w:rFonts w:ascii="新宋体" w:hAnsi="新宋体" w:eastAsia="新宋体" w:cs="新宋体"/>
          <w:bCs/>
          <w:szCs w:val="21"/>
          <w:lang w:bidi="ar"/>
        </w:rPr>
      </w:pPr>
      <w:r>
        <w:rPr>
          <w:rFonts w:hint="eastAsia"/>
        </w:rPr>
        <w:t>1</w:t>
      </w:r>
      <w:r>
        <w:rPr>
          <w:rFonts w:hint="eastAsia"/>
          <w:b/>
          <w:bCs/>
        </w:rPr>
        <w:t>.</w:t>
      </w:r>
      <w:r>
        <w:rPr>
          <w:rFonts w:hint="eastAsia"/>
          <w:bCs/>
        </w:rPr>
        <w:t>本项目对医院信息系统需进行三级等保测评，遴选一家成交供应商提供建设整改服务并邀请等级测评机构进行测评，直至</w:t>
      </w:r>
      <w:r>
        <w:rPr>
          <w:rFonts w:hint="eastAsia" w:ascii="新宋体" w:hAnsi="新宋体" w:eastAsia="新宋体" w:cs="新宋体"/>
          <w:bCs/>
          <w:szCs w:val="21"/>
          <w:lang w:bidi="ar"/>
        </w:rPr>
        <w:t>测评机构向采购人出具最终的测评通过报告。</w:t>
      </w:r>
    </w:p>
    <w:p>
      <w:pPr>
        <w:pStyle w:val="13"/>
        <w:ind w:left="-708" w:leftChars="-337" w:firstLine="480"/>
        <w:rPr>
          <w:rFonts w:ascii="新宋体" w:hAnsi="新宋体" w:eastAsia="新宋体" w:cs="新宋体"/>
          <w:bCs/>
          <w:szCs w:val="21"/>
          <w:lang w:bidi="ar"/>
        </w:rPr>
      </w:pPr>
      <w:r>
        <w:rPr>
          <w:rFonts w:hint="eastAsia" w:ascii="新宋体" w:hAnsi="新宋体" w:eastAsia="新宋体" w:cs="新宋体"/>
          <w:bCs/>
          <w:szCs w:val="21"/>
          <w:lang w:bidi="ar"/>
        </w:rPr>
        <w:t>2.服务地点：广西壮族自治区桂东人民医院</w:t>
      </w:r>
    </w:p>
    <w:p>
      <w:pPr>
        <w:pStyle w:val="13"/>
        <w:ind w:left="-708" w:leftChars="-337" w:firstLine="480"/>
        <w:rPr>
          <w:rFonts w:ascii="新宋体" w:hAnsi="新宋体" w:eastAsia="新宋体" w:cs="新宋体"/>
          <w:bCs/>
          <w:szCs w:val="21"/>
          <w:lang w:bidi="ar"/>
        </w:rPr>
      </w:pPr>
      <w:r>
        <w:rPr>
          <w:rFonts w:hint="eastAsia" w:ascii="新宋体" w:hAnsi="新宋体" w:eastAsia="新宋体" w:cs="新宋体"/>
          <w:bCs/>
          <w:szCs w:val="21"/>
          <w:lang w:bidi="ar"/>
        </w:rPr>
        <w:t>3.</w:t>
      </w:r>
      <w:r>
        <w:rPr>
          <w:rFonts w:hint="eastAsia" w:hAnsi="宋体" w:cs="宋体"/>
        </w:rPr>
        <w:t>服务期限：</w:t>
      </w:r>
      <w:r>
        <w:rPr>
          <w:rFonts w:hint="eastAsia" w:hAnsi="宋体" w:cs="宋体"/>
          <w:u w:val="single"/>
        </w:rPr>
        <w:t xml:space="preserve"> 合同签订至测评机构向采购人出具最终的测评通过报告止 </w:t>
      </w:r>
      <w:r>
        <w:rPr>
          <w:rFonts w:hint="eastAsia" w:hAnsi="宋体" w:cs="宋体"/>
        </w:rPr>
        <w:t>。</w:t>
      </w:r>
    </w:p>
    <w:p>
      <w:pPr>
        <w:pStyle w:val="13"/>
        <w:ind w:left="-708" w:leftChars="-337" w:firstLine="480"/>
        <w:rPr>
          <w:rFonts w:ascii="新宋体" w:hAnsi="新宋体" w:eastAsia="新宋体" w:cs="新宋体"/>
          <w:bCs/>
          <w:szCs w:val="21"/>
          <w:lang w:bidi="ar"/>
        </w:rPr>
      </w:pPr>
      <w:r>
        <w:rPr>
          <w:rFonts w:hint="eastAsia" w:ascii="新宋体" w:hAnsi="新宋体" w:eastAsia="新宋体" w:cs="新宋体"/>
          <w:bCs/>
          <w:szCs w:val="21"/>
          <w:lang w:bidi="ar"/>
        </w:rPr>
        <w:t>4.本项目预算总金额：</w:t>
      </w:r>
      <w:sdt>
        <w:sdtPr>
          <w:rPr>
            <w:rFonts w:hint="eastAsia"/>
            <w:sz w:val="24"/>
          </w:rPr>
          <w:alias w:val="注意数额的前后一致"/>
          <w:tag w:val="注意数额的前后一致"/>
          <w:id w:val="-1737696709"/>
          <w:placeholder>
            <w:docPart w:val="{e727d622-7e63-46b5-9dd5-09d1b4432eb8}"/>
          </w:placeholder>
          <w15:color w:val="FF0000"/>
        </w:sdtPr>
        <w:sdtEndPr>
          <w:rPr>
            <w:rFonts w:hint="eastAsia" w:eastAsia="宋体"/>
            <w:sz w:val="24"/>
            <w:u w:val="single"/>
            <w:lang w:val="en-US" w:eastAsia="zh-CN"/>
          </w:rPr>
        </w:sdtEndPr>
        <w:sdtContent>
          <w:r>
            <w:rPr>
              <w:rFonts w:hint="eastAsia" w:eastAsia="宋体"/>
              <w:sz w:val="24"/>
              <w:u w:val="single"/>
              <w:lang w:val="en-US" w:eastAsia="zh-CN"/>
            </w:rPr>
            <w:t>￥</w:t>
          </w:r>
          <w:r>
            <w:rPr>
              <w:rFonts w:hint="eastAsia"/>
              <w:sz w:val="24"/>
              <w:u w:val="single"/>
              <w:lang w:val="en-US" w:eastAsia="zh-CN"/>
            </w:rPr>
            <w:t>140</w:t>
          </w:r>
          <w:r>
            <w:rPr>
              <w:rFonts w:hint="eastAsia" w:eastAsia="宋体"/>
              <w:sz w:val="24"/>
              <w:u w:val="single"/>
            </w:rPr>
            <w:t>000.00 元整</w:t>
          </w:r>
          <w:r>
            <w:rPr>
              <w:rFonts w:hint="eastAsia"/>
              <w:sz w:val="24"/>
              <w:u w:val="single"/>
              <w:lang w:val="en-US" w:eastAsia="zh-CN"/>
            </w:rPr>
            <w:t xml:space="preserve"> </w:t>
          </w:r>
          <w:r>
            <w:rPr>
              <w:rFonts w:hint="eastAsia" w:eastAsia="宋体"/>
              <w:sz w:val="24"/>
              <w:u w:val="single"/>
              <w:lang w:eastAsia="zh-CN"/>
            </w:rPr>
            <w:t>（大写：</w:t>
          </w:r>
          <w:r>
            <w:rPr>
              <w:rFonts w:hint="eastAsia"/>
              <w:sz w:val="24"/>
              <w:u w:val="single"/>
              <w:lang w:eastAsia="zh-CN"/>
            </w:rPr>
            <w:t>壹拾肆</w:t>
          </w:r>
          <w:r>
            <w:rPr>
              <w:rFonts w:hint="eastAsia" w:eastAsia="宋体"/>
              <w:sz w:val="24"/>
              <w:u w:val="single"/>
            </w:rPr>
            <w:t>万元整）</w:t>
          </w:r>
        </w:sdtContent>
      </w:sdt>
    </w:p>
    <w:p>
      <w:pPr>
        <w:widowControl/>
        <w:numPr>
          <w:ilvl w:val="0"/>
          <w:numId w:val="1"/>
        </w:numPr>
        <w:spacing w:line="360" w:lineRule="auto"/>
        <w:ind w:left="-708" w:leftChars="-337"/>
        <w:jc w:val="left"/>
      </w:pPr>
      <w:r>
        <w:rPr>
          <w:rFonts w:hint="eastAsia" w:cs="宋体"/>
          <w:b/>
          <w:bCs/>
          <w:kern w:val="0"/>
          <w:sz w:val="24"/>
          <w:szCs w:val="24"/>
        </w:rPr>
        <w:t>技术规格参数</w:t>
      </w:r>
    </w:p>
    <w:p>
      <w:pPr>
        <w:pStyle w:val="13"/>
        <w:ind w:left="-708" w:leftChars="-337"/>
      </w:pPr>
      <w:r>
        <w:rPr>
          <w:rFonts w:hint="eastAsia"/>
        </w:rPr>
        <w:t xml:space="preserve">    </w:t>
      </w:r>
    </w:p>
    <w:tbl>
      <w:tblPr>
        <w:tblStyle w:val="9"/>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3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786" w:type="dxa"/>
            <w:gridSpan w:val="3"/>
            <w:vAlign w:val="center"/>
          </w:tcPr>
          <w:p>
            <w:pPr>
              <w:widowControl/>
              <w:spacing w:line="276" w:lineRule="auto"/>
              <w:jc w:val="left"/>
              <w:rPr>
                <w:rFonts w:ascii="宋体" w:hAnsi="宋体" w:cs="宋体"/>
                <w:kern w:val="0"/>
              </w:rPr>
            </w:pPr>
            <w:r>
              <w:rPr>
                <w:rFonts w:hint="eastAsia" w:ascii="宋体" w:hAnsi="宋体"/>
                <w:b/>
              </w:rPr>
              <w:t>一、项目要求及技术要求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14" w:type="dxa"/>
            <w:vAlign w:val="center"/>
          </w:tcPr>
          <w:p>
            <w:pPr>
              <w:spacing w:line="276" w:lineRule="auto"/>
              <w:jc w:val="center"/>
              <w:rPr>
                <w:rFonts w:ascii="宋体" w:hAnsi="宋体" w:cs="宋体"/>
                <w:b/>
              </w:rPr>
            </w:pPr>
            <w:r>
              <w:rPr>
                <w:rFonts w:hint="eastAsia" w:ascii="宋体" w:hAnsi="宋体" w:cs="宋体"/>
                <w:b/>
              </w:rPr>
              <w:t>项号</w:t>
            </w:r>
          </w:p>
        </w:tc>
        <w:tc>
          <w:tcPr>
            <w:tcW w:w="1134" w:type="dxa"/>
            <w:vAlign w:val="center"/>
          </w:tcPr>
          <w:p>
            <w:pPr>
              <w:spacing w:line="276" w:lineRule="auto"/>
              <w:jc w:val="center"/>
              <w:rPr>
                <w:rFonts w:ascii="宋体" w:hAnsi="宋体" w:cs="宋体"/>
                <w:b/>
              </w:rPr>
            </w:pPr>
            <w:r>
              <w:rPr>
                <w:rFonts w:hint="eastAsia" w:ascii="宋体" w:hAnsi="宋体" w:cs="宋体"/>
                <w:b/>
              </w:rPr>
              <w:t>服务名称</w:t>
            </w:r>
          </w:p>
        </w:tc>
        <w:tc>
          <w:tcPr>
            <w:tcW w:w="7938" w:type="dxa"/>
            <w:vAlign w:val="center"/>
          </w:tcPr>
          <w:p>
            <w:pPr>
              <w:spacing w:line="276" w:lineRule="auto"/>
              <w:jc w:val="center"/>
              <w:rPr>
                <w:rFonts w:ascii="宋体" w:hAnsi="宋体" w:cs="宋体"/>
                <w:b/>
              </w:rPr>
            </w:pPr>
            <w:r>
              <w:rPr>
                <w:rFonts w:hint="eastAsia" w:ascii="宋体" w:hAnsi="宋体" w:cs="宋体"/>
                <w:b/>
              </w:rPr>
              <w:t>技术及人员要求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5" w:hRule="atLeast"/>
          <w:jc w:val="center"/>
        </w:trPr>
        <w:tc>
          <w:tcPr>
            <w:tcW w:w="714" w:type="dxa"/>
            <w:vAlign w:val="center"/>
          </w:tcPr>
          <w:p>
            <w:pPr>
              <w:spacing w:line="276" w:lineRule="auto"/>
              <w:ind w:firstLine="199" w:firstLineChars="95"/>
              <w:rPr>
                <w:rFonts w:ascii="宋体" w:hAnsi="宋体"/>
              </w:rPr>
            </w:pPr>
            <w:r>
              <w:rPr>
                <w:rFonts w:hint="eastAsia" w:ascii="宋体" w:hAnsi="宋体"/>
              </w:rPr>
              <w:t>1</w:t>
            </w:r>
          </w:p>
        </w:tc>
        <w:tc>
          <w:tcPr>
            <w:tcW w:w="1134" w:type="dxa"/>
            <w:vAlign w:val="center"/>
          </w:tcPr>
          <w:p>
            <w:pPr>
              <w:spacing w:line="276" w:lineRule="auto"/>
              <w:jc w:val="center"/>
              <w:rPr>
                <w:rFonts w:ascii="宋体" w:hAnsi="宋体"/>
              </w:rPr>
            </w:pPr>
            <w:r>
              <w:rPr>
                <w:rFonts w:hint="eastAsia" w:ascii="宋体" w:hAnsi="宋体" w:cs="宋体"/>
                <w:kern w:val="0"/>
              </w:rPr>
              <w:t>等保建设整改服务</w:t>
            </w:r>
          </w:p>
        </w:tc>
        <w:tc>
          <w:tcPr>
            <w:tcW w:w="7938" w:type="dxa"/>
            <w:vAlign w:val="center"/>
          </w:tcPr>
          <w:p>
            <w:pPr>
              <w:spacing w:line="276" w:lineRule="auto"/>
              <w:jc w:val="left"/>
              <w:rPr>
                <w:b/>
              </w:rPr>
            </w:pPr>
            <w:r>
              <w:rPr>
                <w:rFonts w:hint="eastAsia"/>
                <w:b/>
              </w:rPr>
              <w:t>一</w:t>
            </w:r>
            <w:r>
              <w:rPr>
                <w:b/>
              </w:rPr>
              <w:t>、</w:t>
            </w:r>
            <w:r>
              <w:rPr>
                <w:rFonts w:hint="eastAsia"/>
                <w:b/>
              </w:rPr>
              <w:t>整体测评服务</w:t>
            </w:r>
            <w:r>
              <w:rPr>
                <w:b/>
              </w:rPr>
              <w:t>范围</w:t>
            </w:r>
          </w:p>
          <w:p>
            <w:pPr>
              <w:spacing w:line="276" w:lineRule="auto"/>
              <w:ind w:firstLine="315" w:firstLineChars="150"/>
              <w:jc w:val="left"/>
            </w:pPr>
            <w:r>
              <w:rPr>
                <w:rFonts w:hint="eastAsia"/>
              </w:rPr>
              <w:t>本项目需要进行3级等保测评的系统为《广西</w:t>
            </w:r>
            <w:r>
              <w:rPr>
                <w:rFonts w:hint="eastAsia"/>
                <w:lang w:val="en-US" w:eastAsia="zh-CN"/>
              </w:rPr>
              <w:t>壮族自治区</w:t>
            </w:r>
            <w:r>
              <w:rPr>
                <w:rFonts w:hint="eastAsia"/>
              </w:rPr>
              <w:t>桂东人民医院信息系统》。</w:t>
            </w:r>
          </w:p>
          <w:p>
            <w:pPr>
              <w:spacing w:line="276" w:lineRule="auto"/>
              <w:jc w:val="left"/>
              <w:rPr>
                <w:b/>
              </w:rPr>
            </w:pPr>
            <w:r>
              <w:rPr>
                <w:rFonts w:hint="eastAsia"/>
                <w:b/>
              </w:rPr>
              <w:t>二</w:t>
            </w:r>
            <w:r>
              <w:rPr>
                <w:b/>
              </w:rPr>
              <w:t>、</w:t>
            </w:r>
            <w:r>
              <w:rPr>
                <w:rFonts w:hint="eastAsia"/>
                <w:b/>
              </w:rPr>
              <w:t>总体要求</w:t>
            </w:r>
          </w:p>
          <w:p>
            <w:pPr>
              <w:spacing w:line="276" w:lineRule="auto"/>
              <w:ind w:firstLine="315" w:firstLineChars="150"/>
              <w:jc w:val="left"/>
              <w:textAlignment w:val="center"/>
            </w:pPr>
            <w:r>
              <w:rPr>
                <w:rFonts w:hint="eastAsia"/>
              </w:rPr>
              <w:t>根据《信息系统安全等级保护基本要求》、《信息系统安全等级保护测评准则》等相关规定，对采购单位上述信息系统进行初步评估，进行信息安全等级保护建设（信息安全等级保护：</w:t>
            </w:r>
            <w:r>
              <w:t>3</w:t>
            </w:r>
            <w:r>
              <w:rPr>
                <w:rFonts w:hint="eastAsia"/>
              </w:rPr>
              <w:t>级）和</w:t>
            </w:r>
            <w:r>
              <w:t>整改</w:t>
            </w:r>
            <w:r>
              <w:rPr>
                <w:rFonts w:hint="eastAsia"/>
              </w:rPr>
              <w:t xml:space="preserve">，直至采购人的业务系统最终顺利通过信息系统等级保护3级测评。   </w:t>
            </w:r>
          </w:p>
          <w:p>
            <w:pPr>
              <w:spacing w:line="276" w:lineRule="auto"/>
              <w:jc w:val="left"/>
              <w:textAlignment w:val="center"/>
              <w:rPr>
                <w:b/>
              </w:rPr>
            </w:pPr>
            <w:r>
              <w:rPr>
                <w:rFonts w:hint="eastAsia"/>
                <w:b/>
              </w:rPr>
              <w:t xml:space="preserve">三、提供信息安全等级保护整改及相关服务                            </w:t>
            </w:r>
          </w:p>
          <w:p>
            <w:pPr>
              <w:spacing w:line="276" w:lineRule="auto"/>
              <w:ind w:firstLine="315" w:firstLineChars="150"/>
              <w:jc w:val="left"/>
              <w:textAlignment w:val="center"/>
            </w:pPr>
            <w:r>
              <w:rPr>
                <w:rFonts w:hint="eastAsia"/>
              </w:rPr>
              <w:t>1.整改内容包含物理安全、网络安全、主机安全、应用安全和数据安全及备份恢复、机房物理环境整改；</w:t>
            </w:r>
          </w:p>
          <w:p>
            <w:pPr>
              <w:spacing w:line="276" w:lineRule="auto"/>
              <w:ind w:firstLine="315" w:firstLineChars="150"/>
              <w:jc w:val="left"/>
              <w:textAlignment w:val="center"/>
            </w:pPr>
            <w:r>
              <w:rPr>
                <w:rFonts w:hint="eastAsia"/>
              </w:rPr>
              <w:t>2.协助采购人建立和完善信息安全管理制度，初步建立信息安全管理体系；</w:t>
            </w:r>
          </w:p>
          <w:p>
            <w:pPr>
              <w:spacing w:line="276" w:lineRule="auto"/>
              <w:ind w:firstLine="315" w:firstLineChars="150"/>
              <w:jc w:val="left"/>
              <w:textAlignment w:val="center"/>
            </w:pPr>
            <w:r>
              <w:rPr>
                <w:rFonts w:hint="eastAsia"/>
              </w:rPr>
              <w:t>3.指派专业人员对客户内外网进行检测，对信息系统在确保业务不间断的情况下进行安全检测，提供信息系统安全巡检汇报，使客户相关人员能够实时掌控信息系统的安全状况。对设备安全巡检，及时发现并消除网络故障和安全隐患，保障客户网络和系统处于健康、安全的状态，确保相关业务持续运行；</w:t>
            </w:r>
          </w:p>
          <w:p>
            <w:pPr>
              <w:spacing w:line="276" w:lineRule="auto"/>
              <w:ind w:firstLine="315" w:firstLineChars="150"/>
              <w:jc w:val="left"/>
              <w:textAlignment w:val="center"/>
            </w:pPr>
            <w:r>
              <w:rPr>
                <w:rFonts w:hint="eastAsia"/>
              </w:rPr>
              <w:t>4.指派具有丰富经验的安全服务人员定期对应用系统、操作系统、网设备及安全设备的安全日志、安全告警等进行检查，分析安全事件及其关联，查找攻击者的攻击目标和路径，如果发现问题及时与客户进行沟通，并提出解决方案和建议；</w:t>
            </w:r>
          </w:p>
          <w:p>
            <w:pPr>
              <w:spacing w:line="276" w:lineRule="auto"/>
              <w:ind w:firstLine="315" w:firstLineChars="150"/>
              <w:jc w:val="left"/>
              <w:textAlignment w:val="center"/>
            </w:pPr>
            <w:r>
              <w:t>5.</w:t>
            </w:r>
            <w:r>
              <w:rPr>
                <w:rFonts w:hint="eastAsia"/>
              </w:rPr>
              <w:t>需对信息系统进行安全网络信息搜集、端口扫描、远程溢出、口令猜测、本地溢出 、脚本测试 、渗透测试；</w:t>
            </w:r>
          </w:p>
          <w:p>
            <w:pPr>
              <w:spacing w:line="276" w:lineRule="auto"/>
              <w:ind w:firstLine="315" w:firstLineChars="150"/>
              <w:jc w:val="left"/>
            </w:pPr>
            <w:r>
              <w:t>6.</w:t>
            </w:r>
            <w:r>
              <w:rPr>
                <w:rFonts w:hint="eastAsia"/>
              </w:rPr>
              <w:t>在服务期内提供专业等级保护咨询与规划、安全应急、样本分析、安全意识培训等，详见其他要求；</w:t>
            </w:r>
          </w:p>
          <w:p>
            <w:pPr>
              <w:spacing w:line="276" w:lineRule="auto"/>
              <w:ind w:firstLine="315" w:firstLineChars="150"/>
              <w:jc w:val="left"/>
            </w:pPr>
            <w:r>
              <w:rPr>
                <w:rFonts w:hint="eastAsia"/>
              </w:rPr>
              <w:t>7</w:t>
            </w:r>
            <w:r>
              <w:t>.</w:t>
            </w:r>
            <w:r>
              <w:rPr>
                <w:rFonts w:hint="eastAsia"/>
              </w:rPr>
              <w:t>为保证服务质量，竞价人需具备自动化渗透测试工具完成等保建设整改服务，</w:t>
            </w:r>
            <w:r>
              <w:t>辅助测试工具至少具备</w:t>
            </w:r>
            <w:r>
              <w:rPr>
                <w:rFonts w:hint="eastAsia"/>
              </w:rPr>
              <w:t>相关功能</w:t>
            </w:r>
            <w:r>
              <w:t>如下</w:t>
            </w:r>
            <w:r>
              <w:rPr>
                <w:rFonts w:hint="eastAsia"/>
              </w:rPr>
              <w:t>：</w:t>
            </w:r>
          </w:p>
          <w:p>
            <w:pPr>
              <w:spacing w:line="276" w:lineRule="auto"/>
              <w:ind w:firstLine="420"/>
              <w:jc w:val="left"/>
            </w:pPr>
            <w:r>
              <w:t>7.1</w:t>
            </w:r>
            <w:r>
              <w:rPr>
                <w:rFonts w:hint="eastAsia"/>
              </w:rPr>
              <w:t>为了贯穿整个渗透过程的操作，至少包括信息收集、插件管理、指纹管理、漏洞发现、漏洞利用、后渗透攻击模块。；</w:t>
            </w:r>
          </w:p>
          <w:p>
            <w:pPr>
              <w:spacing w:line="276" w:lineRule="auto"/>
              <w:ind w:firstLine="420"/>
              <w:jc w:val="left"/>
            </w:pPr>
            <w:r>
              <w:t>7.2</w:t>
            </w:r>
            <w:r>
              <w:rPr>
                <w:rFonts w:hint="eastAsia"/>
              </w:rPr>
              <w:t>可以根据可编程平台提供的接口编写自己的攻击插件，实现自定义的攻击需求；</w:t>
            </w:r>
          </w:p>
          <w:p>
            <w:pPr>
              <w:spacing w:line="276" w:lineRule="auto"/>
              <w:ind w:firstLine="420"/>
              <w:jc w:val="left"/>
            </w:pPr>
            <w:r>
              <w:t>7.3</w:t>
            </w:r>
            <w:r>
              <w:rPr>
                <w:rFonts w:hint="eastAsia"/>
              </w:rPr>
              <w:t>可利用http协议、DNS协议等远程获取外带数据；可通过内置的方法反弹交互shell到平台，执行vim、交互执行操作等功能。</w:t>
            </w:r>
          </w:p>
          <w:p>
            <w:pPr>
              <w:spacing w:line="276" w:lineRule="auto"/>
              <w:ind w:firstLine="199" w:firstLineChars="95"/>
              <w:jc w:val="left"/>
            </w:pPr>
            <w:r>
              <w:rPr>
                <w:rFonts w:hint="eastAsia"/>
              </w:rPr>
              <w:t>8.协助</w:t>
            </w:r>
            <w:r>
              <w:t>测评服务</w:t>
            </w:r>
          </w:p>
          <w:p>
            <w:pPr>
              <w:spacing w:line="276" w:lineRule="auto"/>
              <w:ind w:firstLine="420"/>
              <w:jc w:val="left"/>
            </w:pPr>
            <w:r>
              <w:rPr>
                <w:rFonts w:hint="eastAsia"/>
              </w:rPr>
              <w:t>8.1撰写定级报告：通过以上调查与分析，撰写系统定级报告，包括系统描述、业务信息安全保护等级的确定、系统服务安全保护等级的确定、整个系统安全保护等级的确定等。</w:t>
            </w:r>
          </w:p>
          <w:p>
            <w:pPr>
              <w:spacing w:line="276" w:lineRule="auto"/>
              <w:ind w:firstLine="420"/>
              <w:jc w:val="left"/>
            </w:pPr>
            <w:r>
              <w:rPr>
                <w:rFonts w:hint="eastAsia"/>
              </w:rPr>
              <w:t>8.2协助定级备案：协助采购人完成系统安全等级保护备案表的填写；协助采购人组织召开系统定级结果评审会, 协助采购人完成整个定级审批</w:t>
            </w:r>
            <w:r>
              <w:t>过程。</w:t>
            </w:r>
          </w:p>
          <w:p>
            <w:pPr>
              <w:spacing w:line="276" w:lineRule="auto"/>
              <w:ind w:firstLine="420"/>
              <w:jc w:val="left"/>
            </w:pPr>
            <w:r>
              <w:rPr>
                <w:rFonts w:hint="eastAsia"/>
              </w:rPr>
              <w:t>8</w:t>
            </w:r>
            <w:r>
              <w:t>.3</w:t>
            </w:r>
            <w:r>
              <w:rPr>
                <w:rFonts w:hint="eastAsia"/>
              </w:rPr>
              <w:t>协助</w:t>
            </w:r>
            <w:r>
              <w:t>采购人</w:t>
            </w:r>
            <w:r>
              <w:rPr>
                <w:rFonts w:hint="eastAsia"/>
              </w:rPr>
              <w:t>通过等保测评。</w:t>
            </w:r>
          </w:p>
          <w:p>
            <w:pPr>
              <w:spacing w:line="276" w:lineRule="auto"/>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pPr>
              <w:spacing w:line="276" w:lineRule="auto"/>
              <w:ind w:firstLine="199" w:firstLineChars="95"/>
              <w:rPr>
                <w:rFonts w:ascii="宋体" w:hAnsi="宋体"/>
              </w:rPr>
            </w:pPr>
            <w:r>
              <w:rPr>
                <w:rFonts w:hint="eastAsia" w:ascii="宋体" w:hAnsi="宋体"/>
              </w:rPr>
              <w:t>2</w:t>
            </w:r>
          </w:p>
        </w:tc>
        <w:tc>
          <w:tcPr>
            <w:tcW w:w="1134" w:type="dxa"/>
            <w:vAlign w:val="center"/>
          </w:tcPr>
          <w:p>
            <w:pPr>
              <w:spacing w:line="276" w:lineRule="auto"/>
              <w:jc w:val="center"/>
              <w:rPr>
                <w:rFonts w:ascii="宋体" w:hAnsi="宋体"/>
              </w:rPr>
            </w:pPr>
            <w:r>
              <w:rPr>
                <w:rFonts w:hint="eastAsia" w:ascii="宋体" w:hAnsi="宋体" w:cs="宋体"/>
                <w:kern w:val="0"/>
              </w:rPr>
              <w:t>信息系统等保测评服务</w:t>
            </w:r>
          </w:p>
        </w:tc>
        <w:tc>
          <w:tcPr>
            <w:tcW w:w="7938" w:type="dxa"/>
            <w:vAlign w:val="center"/>
          </w:tcPr>
          <w:p>
            <w:pPr>
              <w:widowControl/>
              <w:spacing w:line="276" w:lineRule="auto"/>
              <w:jc w:val="left"/>
              <w:rPr>
                <w:b/>
                <w:bCs/>
              </w:rPr>
            </w:pPr>
            <w:r>
              <w:rPr>
                <w:rFonts w:hint="eastAsia"/>
                <w:b/>
                <w:bCs/>
              </w:rPr>
              <w:t>一、基本要求</w:t>
            </w:r>
          </w:p>
          <w:p>
            <w:pPr>
              <w:snapToGrid w:val="0"/>
              <w:spacing w:line="460" w:lineRule="exact"/>
              <w:ind w:firstLine="420" w:firstLineChars="200"/>
              <w:rPr>
                <w:rFonts w:ascii="宋体" w:hAnsi="宋体" w:cs="Arial"/>
              </w:rPr>
            </w:pPr>
            <w:r>
              <w:rPr>
                <w:rFonts w:hint="eastAsia"/>
              </w:rPr>
              <w:t>1.对采购人信息系统进行提供测评服务，通过等保测评（信息安全等级保护：3级），签订合同时必须按采购人要求签署相关保密协议，严格遵守协议要求；</w:t>
            </w:r>
          </w:p>
          <w:p>
            <w:pPr>
              <w:spacing w:line="276" w:lineRule="auto"/>
              <w:ind w:firstLine="315" w:firstLineChars="150"/>
            </w:pPr>
            <w:r>
              <w:rPr>
                <w:rFonts w:hint="eastAsia"/>
              </w:rPr>
              <w:t>2.依据《信息安全等级保护管理办法》（公通字[2007]43号）和《信息安全等级保护定级指南》（GB/T 22240-2020）提供对采购人开展信息系统定级和备案工作，并协助采购人编写和提交符合公安管理部门规范要求的定级报告和备案表，以获得公安机关颁发的信息系统安全等级备案证明；</w:t>
            </w:r>
          </w:p>
          <w:p>
            <w:pPr>
              <w:spacing w:line="276" w:lineRule="auto"/>
              <w:ind w:firstLine="315" w:firstLineChars="150"/>
            </w:pPr>
            <w:r>
              <w:rPr>
                <w:rFonts w:hint="eastAsia"/>
              </w:rPr>
              <w:t>3.依据《信息系统安全等级保护基本要求》（GB/T 22239-2019）提供对采购人安全等级测评工作，在项目终验前完成正式等级测评，并出具符合国家信息安全等级保护管理部门规范要求、公安机关认可的信息系统安全等级测评报告。</w:t>
            </w:r>
          </w:p>
          <w:p>
            <w:pPr>
              <w:spacing w:line="276" w:lineRule="auto"/>
              <w:rPr>
                <w:b/>
                <w:bCs/>
              </w:rPr>
            </w:pPr>
            <w:r>
              <w:rPr>
                <w:rFonts w:hint="eastAsia"/>
                <w:b/>
                <w:bCs/>
              </w:rPr>
              <w:t>二、测评机构资质要求</w:t>
            </w:r>
          </w:p>
          <w:p>
            <w:pPr>
              <w:spacing w:line="276" w:lineRule="auto"/>
              <w:ind w:firstLine="304" w:firstLineChars="145"/>
            </w:pPr>
            <w:r>
              <w:rPr>
                <w:rFonts w:hint="eastAsia"/>
              </w:rPr>
              <w:t>信息系统等保测评服务必须委托给具备以下条件的测评机构进行测评：</w:t>
            </w:r>
          </w:p>
          <w:p>
            <w:pPr>
              <w:widowControl/>
              <w:spacing w:line="276" w:lineRule="auto"/>
              <w:ind w:firstLine="315" w:firstLineChars="150"/>
            </w:pPr>
            <w:r>
              <w:rPr>
                <w:rFonts w:hint="eastAsia"/>
              </w:rPr>
              <w:t>（1）提供测评机构由国家网络安全等级保护工作协调小组办公室颁发的《网络安全等级保护测评机构推荐证书》；</w:t>
            </w:r>
          </w:p>
          <w:p>
            <w:pPr>
              <w:widowControl/>
              <w:spacing w:line="276" w:lineRule="auto"/>
              <w:ind w:firstLine="316" w:firstLineChars="150"/>
              <w:jc w:val="left"/>
            </w:pPr>
            <w:r>
              <w:rPr>
                <w:rFonts w:hint="eastAsia"/>
                <w:b/>
                <w:bCs/>
              </w:rPr>
              <w:t>注：响应文件中必须提供委托的测试机构相关资质等证明材料复印件，并加盖测评机构公章及竞价人公章。</w:t>
            </w:r>
          </w:p>
          <w:p>
            <w:pPr>
              <w:widowControl/>
              <w:spacing w:line="276" w:lineRule="auto"/>
              <w:ind w:left="211" w:hanging="211" w:hangingChars="100"/>
              <w:jc w:val="left"/>
              <w:rPr>
                <w:b/>
                <w:bCs/>
              </w:rPr>
            </w:pPr>
            <w:r>
              <w:rPr>
                <w:rFonts w:hint="eastAsia"/>
                <w:b/>
                <w:bCs/>
              </w:rPr>
              <w:t>三</w:t>
            </w:r>
            <w:r>
              <w:rPr>
                <w:b/>
                <w:bCs/>
              </w:rPr>
              <w:t>、</w:t>
            </w:r>
            <w:r>
              <w:rPr>
                <w:rFonts w:hint="eastAsia"/>
                <w:b/>
                <w:bCs/>
              </w:rPr>
              <w:t>测评机构人员要求</w:t>
            </w:r>
          </w:p>
          <w:p>
            <w:pPr>
              <w:widowControl/>
              <w:adjustRightInd w:val="0"/>
              <w:snapToGrid w:val="0"/>
              <w:spacing w:line="276" w:lineRule="auto"/>
              <w:jc w:val="left"/>
            </w:pPr>
            <w:r>
              <w:t>1</w:t>
            </w:r>
            <w:r>
              <w:rPr>
                <w:rFonts w:hint="eastAsia"/>
              </w:rPr>
              <w:t>.以上测评机构的测评人员必须具备公安部信息安全等级保护评估中心颁发的《信息安全等级测评师证书》。</w:t>
            </w:r>
          </w:p>
          <w:p>
            <w:pPr>
              <w:widowControl/>
              <w:spacing w:line="276" w:lineRule="auto"/>
              <w:ind w:left="422" w:hanging="422" w:hangingChars="200"/>
              <w:jc w:val="left"/>
              <w:rPr>
                <w:rFonts w:ascii="宋体" w:hAnsi="宋体" w:cs="宋体"/>
                <w:kern w:val="0"/>
              </w:rPr>
            </w:pPr>
            <w:r>
              <w:rPr>
                <w:rFonts w:hint="eastAsia" w:ascii="宋体" w:hAnsi="宋体" w:cs="宋体"/>
                <w:b/>
                <w:kern w:val="0"/>
              </w:rPr>
              <w:t>四、测评主要内容</w:t>
            </w:r>
          </w:p>
          <w:p>
            <w:pPr>
              <w:widowControl/>
              <w:spacing w:line="276" w:lineRule="auto"/>
              <w:ind w:left="420" w:leftChars="100" w:hanging="210" w:hangingChars="100"/>
              <w:jc w:val="left"/>
              <w:rPr>
                <w:rFonts w:ascii="宋体" w:hAnsi="宋体" w:cs="宋体"/>
                <w:kern w:val="0"/>
              </w:rPr>
            </w:pPr>
            <w:r>
              <w:rPr>
                <w:rFonts w:hint="eastAsia" w:ascii="宋体" w:hAnsi="宋体" w:cs="宋体"/>
                <w:kern w:val="0"/>
              </w:rPr>
              <w:t>1.上述信息系统的安全等级测评内容应包括技术和管理两大类：</w:t>
            </w:r>
          </w:p>
          <w:p>
            <w:pPr>
              <w:widowControl/>
              <w:spacing w:line="276" w:lineRule="auto"/>
              <w:ind w:firstLine="316" w:firstLineChars="150"/>
              <w:jc w:val="left"/>
              <w:rPr>
                <w:rFonts w:ascii="宋体" w:hAnsi="宋体" w:cs="宋体"/>
                <w:kern w:val="0"/>
              </w:rPr>
            </w:pPr>
            <w:r>
              <w:rPr>
                <w:rFonts w:hint="eastAsia" w:ascii="宋体" w:hAnsi="宋体" w:cs="宋体"/>
                <w:b/>
                <w:kern w:val="0"/>
              </w:rPr>
              <w:t>技术类</w:t>
            </w:r>
            <w:r>
              <w:rPr>
                <w:rFonts w:ascii="宋体" w:hAnsi="宋体" w:cs="宋体"/>
                <w:b/>
                <w:kern w:val="0"/>
              </w:rPr>
              <w:t>：</w:t>
            </w:r>
            <w:r>
              <w:rPr>
                <w:rFonts w:hint="eastAsia" w:ascii="宋体" w:hAnsi="宋体" w:cs="宋体"/>
                <w:kern w:val="0"/>
              </w:rPr>
              <w:t>物理安全、网络安全、主机安全、应用安全和数据安全及备份恢复等方面的测评。</w:t>
            </w:r>
          </w:p>
          <w:p>
            <w:pPr>
              <w:widowControl/>
              <w:spacing w:line="276" w:lineRule="auto"/>
              <w:ind w:left="420" w:leftChars="150" w:hanging="105" w:hangingChars="50"/>
              <w:jc w:val="left"/>
              <w:rPr>
                <w:rFonts w:ascii="宋体" w:hAnsi="宋体" w:cs="宋体"/>
                <w:kern w:val="0"/>
              </w:rPr>
            </w:pPr>
            <w:r>
              <w:rPr>
                <w:rFonts w:hint="eastAsia" w:ascii="宋体" w:hAnsi="宋体" w:cs="宋体"/>
                <w:b/>
                <w:kern w:val="0"/>
              </w:rPr>
              <w:t>管理类：</w:t>
            </w:r>
            <w:r>
              <w:rPr>
                <w:rFonts w:hint="eastAsia" w:ascii="宋体" w:hAnsi="宋体" w:cs="宋体"/>
                <w:kern w:val="0"/>
              </w:rPr>
              <w:t>测评应包括对机构安全管理机构、人员安全管理、安全管理制度、系统</w:t>
            </w:r>
          </w:p>
          <w:p>
            <w:pPr>
              <w:widowControl/>
              <w:spacing w:line="276" w:lineRule="auto"/>
              <w:jc w:val="left"/>
              <w:rPr>
                <w:rFonts w:ascii="宋体" w:hAnsi="宋体" w:cs="宋体"/>
                <w:kern w:val="0"/>
              </w:rPr>
            </w:pPr>
            <w:r>
              <w:rPr>
                <w:rFonts w:hint="eastAsia" w:ascii="宋体" w:hAnsi="宋体" w:cs="宋体"/>
                <w:kern w:val="0"/>
              </w:rPr>
              <w:t>建设管理和系统运维管理等方面的测评，并提出安全建设整改建议；</w:t>
            </w:r>
          </w:p>
          <w:p>
            <w:pPr>
              <w:widowControl/>
              <w:spacing w:line="276" w:lineRule="auto"/>
              <w:ind w:firstLine="315" w:firstLineChars="150"/>
              <w:jc w:val="left"/>
              <w:rPr>
                <w:rFonts w:ascii="宋体" w:hAnsi="宋体" w:cs="宋体"/>
                <w:kern w:val="0"/>
              </w:rPr>
            </w:pPr>
            <w:r>
              <w:rPr>
                <w:rFonts w:ascii="宋体" w:hAnsi="宋体" w:cs="宋体"/>
                <w:kern w:val="0"/>
              </w:rPr>
              <w:t>2.</w:t>
            </w:r>
            <w:r>
              <w:rPr>
                <w:rFonts w:hint="eastAsia" w:ascii="宋体" w:hAnsi="宋体" w:cs="宋体"/>
                <w:kern w:val="0"/>
              </w:rPr>
              <w:t>对信息系统进行安全漏洞检测和挖掘，检测例如缓冲区溢出、SQL注入和跨站脚本等常见安全漏洞，并提供漏洞修补建议及时采取适当的处理措施进行修补，有效阻止安全隐患被利用和发生安全事件；</w:t>
            </w:r>
          </w:p>
          <w:p>
            <w:pPr>
              <w:widowControl/>
              <w:spacing w:line="276" w:lineRule="auto"/>
              <w:ind w:firstLine="315" w:firstLineChars="150"/>
              <w:jc w:val="left"/>
              <w:rPr>
                <w:rFonts w:ascii="宋体" w:hAnsi="宋体" w:cs="宋体"/>
                <w:kern w:val="0"/>
              </w:rPr>
            </w:pPr>
            <w:r>
              <w:rPr>
                <w:rFonts w:ascii="宋体" w:hAnsi="宋体" w:cs="宋体"/>
                <w:kern w:val="0"/>
              </w:rPr>
              <w:t xml:space="preserve"> 3.</w:t>
            </w:r>
            <w:r>
              <w:rPr>
                <w:rFonts w:hint="eastAsia" w:ascii="宋体" w:hAnsi="宋体" w:cs="宋体"/>
                <w:kern w:val="0"/>
              </w:rPr>
              <w:t xml:space="preserve"> 响应文件中必须提供专业的等级保护测评方案（由具备等级保护测评资质的测评机构出具）。</w:t>
            </w:r>
          </w:p>
          <w:p>
            <w:pPr>
              <w:widowControl/>
              <w:spacing w:line="276" w:lineRule="auto"/>
              <w:ind w:firstLine="315" w:firstLineChars="150"/>
              <w:jc w:val="left"/>
              <w:rPr>
                <w:rFonts w:ascii="宋体" w:hAnsi="宋体" w:cs="宋体"/>
                <w:kern w:val="0"/>
              </w:rPr>
            </w:pPr>
            <w:r>
              <w:rPr>
                <w:rFonts w:hint="eastAsia" w:ascii="宋体" w:hAnsi="宋体" w:cs="宋体"/>
                <w:kern w:val="0"/>
              </w:rPr>
              <w:t>五、</w:t>
            </w:r>
            <w:r>
              <w:rPr>
                <w:rFonts w:ascii="宋体" w:hAnsi="宋体" w:cs="宋体"/>
                <w:kern w:val="0"/>
              </w:rPr>
              <w:t>测评方法</w:t>
            </w:r>
          </w:p>
          <w:p>
            <w:pPr>
              <w:widowControl/>
              <w:spacing w:line="276" w:lineRule="auto"/>
              <w:ind w:left="420" w:leftChars="200"/>
              <w:jc w:val="left"/>
              <w:rPr>
                <w:rFonts w:ascii="宋体" w:hAnsi="宋体" w:cs="宋体"/>
                <w:kern w:val="0"/>
              </w:rPr>
            </w:pPr>
            <w:r>
              <w:rPr>
                <w:rFonts w:hint="eastAsia" w:ascii="宋体" w:hAnsi="宋体" w:cs="宋体"/>
                <w:kern w:val="0"/>
              </w:rPr>
              <w:t>在等级保护测评过程中，应采用访谈、检查、测试、工具扫描等国际国</w:t>
            </w:r>
          </w:p>
          <w:p>
            <w:pPr>
              <w:widowControl/>
              <w:spacing w:line="276" w:lineRule="auto"/>
              <w:jc w:val="left"/>
              <w:rPr>
                <w:rFonts w:ascii="宋体" w:hAnsi="宋体" w:cs="宋体"/>
                <w:kern w:val="0"/>
              </w:rPr>
            </w:pPr>
            <w:r>
              <w:rPr>
                <w:rFonts w:hint="eastAsia" w:ascii="宋体" w:hAnsi="宋体" w:cs="宋体"/>
                <w:kern w:val="0"/>
              </w:rPr>
              <w:t>内认可的先进方法和手段进行，并与国家相关规范及标准的要求相符</w:t>
            </w:r>
            <w:r>
              <w:rPr>
                <w:rFonts w:ascii="宋体" w:hAnsi="宋体" w:cs="宋体"/>
                <w:kern w:val="0"/>
              </w:rPr>
              <w:t>。</w:t>
            </w:r>
            <w:r>
              <w:rPr>
                <w:rFonts w:hint="eastAsia" w:ascii="宋体" w:hAnsi="宋体" w:cs="宋体"/>
                <w:kern w:val="0"/>
              </w:rPr>
              <w:t>测评中采用专业的国内安全扫描设备及软件产品辅助测评工作的完成。</w:t>
            </w:r>
          </w:p>
        </w:tc>
      </w:tr>
    </w:tbl>
    <w:p>
      <w:pPr>
        <w:pStyle w:val="13"/>
      </w:pPr>
    </w:p>
    <w:p>
      <w:pPr>
        <w:widowControl/>
        <w:numPr>
          <w:ilvl w:val="0"/>
          <w:numId w:val="1"/>
        </w:numPr>
        <w:spacing w:line="360" w:lineRule="auto"/>
        <w:ind w:left="-708" w:leftChars="-337"/>
        <w:jc w:val="left"/>
      </w:pPr>
      <w:r>
        <w:rPr>
          <w:rFonts w:hint="eastAsia" w:cs="宋体"/>
          <w:b/>
          <w:bCs/>
          <w:color w:val="000000"/>
          <w:kern w:val="0"/>
          <w:sz w:val="24"/>
          <w:szCs w:val="24"/>
        </w:rPr>
        <w:t>项目基本要求</w:t>
      </w:r>
    </w:p>
    <w:p>
      <w:pPr>
        <w:pStyle w:val="2"/>
        <w:rPr>
          <w:rFonts w:eastAsia="宋体"/>
        </w:rPr>
      </w:pPr>
      <w:r>
        <w:rPr>
          <w:rFonts w:hint="eastAsia" w:eastAsia="宋体" w:cs="宋体"/>
          <w:bCs/>
          <w:color w:val="000000"/>
          <w:kern w:val="0"/>
          <w:sz w:val="24"/>
          <w:szCs w:val="24"/>
        </w:rPr>
        <w:t>无</w:t>
      </w:r>
    </w:p>
    <w:p>
      <w:pPr>
        <w:pStyle w:val="13"/>
        <w:numPr>
          <w:ilvl w:val="0"/>
          <w:numId w:val="1"/>
        </w:numPr>
        <w:ind w:left="-708" w:leftChars="-337"/>
        <w:rPr>
          <w:rFonts w:cs="宋体"/>
          <w:b/>
          <w:bCs/>
        </w:rPr>
      </w:pPr>
      <w:r>
        <w:rPr>
          <w:rFonts w:hint="eastAsia" w:cs="宋体"/>
          <w:b/>
          <w:bCs/>
        </w:rPr>
        <w:t>商务要求</w:t>
      </w:r>
    </w:p>
    <w:tbl>
      <w:tblPr>
        <w:tblStyle w:val="9"/>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8" w:type="dxa"/>
            <w:vAlign w:val="center"/>
          </w:tcPr>
          <w:p>
            <w:pPr>
              <w:widowControl/>
              <w:spacing w:line="276" w:lineRule="auto"/>
              <w:jc w:val="center"/>
              <w:rPr>
                <w:rFonts w:ascii="宋体" w:hAnsi="宋体"/>
                <w:b/>
              </w:rPr>
            </w:pPr>
            <w:r>
              <w:rPr>
                <w:rFonts w:hint="eastAsia" w:ascii="宋体" w:hAnsi="宋体" w:cs="宋体"/>
                <w:b/>
              </w:rPr>
              <w:t>采购总预算</w:t>
            </w:r>
          </w:p>
        </w:tc>
        <w:tc>
          <w:tcPr>
            <w:tcW w:w="7938" w:type="dxa"/>
            <w:vAlign w:val="center"/>
          </w:tcPr>
          <w:p>
            <w:pPr>
              <w:widowControl/>
              <w:spacing w:line="276" w:lineRule="auto"/>
              <w:jc w:val="left"/>
              <w:rPr>
                <w:rFonts w:ascii="宋体" w:hAnsi="宋体"/>
                <w:b/>
              </w:rPr>
            </w:pPr>
            <w:r>
              <w:rPr>
                <w:rFonts w:hint="eastAsia" w:ascii="宋体" w:hAnsi="宋体" w:cs="宋体"/>
              </w:rPr>
              <w:t xml:space="preserve">人民币 </w:t>
            </w:r>
            <w:sdt>
              <w:sdtPr>
                <w:rPr>
                  <w:rFonts w:hint="eastAsia"/>
                  <w:sz w:val="24"/>
                </w:rPr>
                <w:alias w:val="注意数额的前后一致"/>
                <w:tag w:val="注意数额的前后一致"/>
                <w:id w:val="-1737696709"/>
                <w:placeholder>
                  <w:docPart w:val="{fc7e0f34-a7f8-4f89-ae17-f6529107140f}"/>
                </w:placeholder>
                <w15:color w:val="FF0000"/>
              </w:sdtPr>
              <w:sdtEndPr>
                <w:rPr>
                  <w:rFonts w:hint="eastAsia" w:eastAsia="宋体"/>
                  <w:sz w:val="24"/>
                  <w:u w:val="single"/>
                  <w:lang w:val="en-US" w:eastAsia="zh-CN"/>
                </w:rPr>
              </w:sdtEndPr>
              <w:sdtContent>
                <w:r>
                  <w:rPr>
                    <w:rFonts w:hint="eastAsia" w:eastAsia="宋体"/>
                    <w:sz w:val="24"/>
                    <w:u w:val="single"/>
                    <w:lang w:val="en-US" w:eastAsia="zh-CN"/>
                  </w:rPr>
                  <w:t>￥</w:t>
                </w:r>
                <w:r>
                  <w:rPr>
                    <w:rFonts w:hint="eastAsia"/>
                    <w:sz w:val="24"/>
                    <w:u w:val="single"/>
                    <w:lang w:val="en-US" w:eastAsia="zh-CN"/>
                  </w:rPr>
                  <w:t>140</w:t>
                </w:r>
                <w:r>
                  <w:rPr>
                    <w:rFonts w:hint="eastAsia" w:eastAsia="宋体"/>
                    <w:sz w:val="24"/>
                    <w:u w:val="single"/>
                  </w:rPr>
                  <w:t>000.00 元整</w:t>
                </w:r>
                <w:r>
                  <w:rPr>
                    <w:rFonts w:hint="eastAsia"/>
                    <w:sz w:val="24"/>
                    <w:u w:val="single"/>
                    <w:lang w:val="en-US" w:eastAsia="zh-CN"/>
                  </w:rPr>
                  <w:t xml:space="preserve"> </w:t>
                </w:r>
                <w:r>
                  <w:rPr>
                    <w:rFonts w:hint="eastAsia" w:eastAsia="宋体"/>
                    <w:sz w:val="24"/>
                    <w:u w:val="single"/>
                    <w:lang w:eastAsia="zh-CN"/>
                  </w:rPr>
                  <w:t>（大写：</w:t>
                </w:r>
                <w:r>
                  <w:rPr>
                    <w:rFonts w:hint="eastAsia"/>
                    <w:sz w:val="24"/>
                    <w:u w:val="single"/>
                    <w:lang w:eastAsia="zh-CN"/>
                  </w:rPr>
                  <w:t>壹拾肆</w:t>
                </w:r>
                <w:r>
                  <w:rPr>
                    <w:rFonts w:hint="eastAsia" w:eastAsia="宋体"/>
                    <w:sz w:val="24"/>
                    <w:u w:val="single"/>
                  </w:rPr>
                  <w:t>万元整）</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8" w:type="dxa"/>
            <w:vAlign w:val="center"/>
          </w:tcPr>
          <w:p>
            <w:pPr>
              <w:widowControl/>
              <w:spacing w:line="276" w:lineRule="auto"/>
              <w:jc w:val="center"/>
              <w:rPr>
                <w:rFonts w:ascii="宋体" w:hAnsi="宋体" w:cs="宋体"/>
                <w:b/>
              </w:rPr>
            </w:pPr>
            <w:r>
              <w:rPr>
                <w:rFonts w:hint="eastAsia" w:ascii="宋体" w:hAnsi="宋体" w:cs="宋体"/>
                <w:b/>
              </w:rPr>
              <w:t>报价要求</w:t>
            </w:r>
          </w:p>
        </w:tc>
        <w:tc>
          <w:tcPr>
            <w:tcW w:w="7938" w:type="dxa"/>
            <w:vAlign w:val="center"/>
          </w:tcPr>
          <w:p>
            <w:pPr>
              <w:spacing w:line="276" w:lineRule="auto"/>
              <w:ind w:right="-57" w:rightChars="-27" w:firstLine="420"/>
              <w:jc w:val="left"/>
              <w:rPr>
                <w:rFonts w:ascii="宋体" w:hAnsi="宋体"/>
              </w:rPr>
            </w:pPr>
            <w:r>
              <w:rPr>
                <w:rFonts w:ascii="宋体" w:hAnsi="宋体"/>
              </w:rPr>
              <w:t>1.</w:t>
            </w:r>
            <w:r>
              <w:rPr>
                <w:rFonts w:hint="eastAsia" w:ascii="宋体" w:hAnsi="宋体"/>
              </w:rPr>
              <w:t>本次报价执行包干报价，即报价应包括服务人员的劳务费、差旅费、服务费、测评</w:t>
            </w:r>
            <w:r>
              <w:rPr>
                <w:rFonts w:ascii="宋体" w:hAnsi="宋体"/>
              </w:rPr>
              <w:t>费、</w:t>
            </w:r>
            <w:r>
              <w:rPr>
                <w:rFonts w:hint="eastAsia" w:ascii="宋体" w:hAnsi="宋体"/>
              </w:rPr>
              <w:t>税费、整改服务费等，以及其他所有可能产生的费用，除本报价外采购人不再另外支付任何费用。</w:t>
            </w:r>
          </w:p>
          <w:p>
            <w:pPr>
              <w:widowControl/>
              <w:spacing w:line="276" w:lineRule="auto"/>
              <w:ind w:firstLine="422"/>
              <w:jc w:val="left"/>
              <w:rPr>
                <w:rFonts w:ascii="宋体" w:hAnsi="宋体" w:cs="宋体"/>
              </w:rPr>
            </w:pPr>
            <w:r>
              <w:rPr>
                <w:rFonts w:ascii="宋体" w:hAnsi="宋体"/>
                <w:b/>
                <w:bCs/>
              </w:rPr>
              <w:t>2.</w:t>
            </w:r>
            <w:r>
              <w:rPr>
                <w:rFonts w:hint="eastAsia" w:ascii="宋体" w:hAnsi="宋体"/>
                <w:b/>
                <w:bCs/>
              </w:rPr>
              <w:t>报价特别说明：各竞价人首次总价不能超过采购总预算</w:t>
            </w:r>
            <w:r>
              <w:rPr>
                <w:rFonts w:ascii="宋体" w:hAnsi="宋体"/>
                <w:b/>
                <w:bCs/>
              </w:rPr>
              <w:t>价</w:t>
            </w:r>
            <w:r>
              <w:rPr>
                <w:rFonts w:hint="eastAsia" w:ascii="宋体" w:hAnsi="宋体"/>
                <w:b/>
                <w:bCs/>
              </w:rPr>
              <w:t>，否则竞价无效。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48" w:type="dxa"/>
            <w:vAlign w:val="center"/>
          </w:tcPr>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Cs/>
              </w:rPr>
            </w:pPr>
            <w:r>
              <w:rPr>
                <w:rFonts w:hint="eastAsia" w:ascii="宋体" w:hAnsi="宋体"/>
                <w:b/>
              </w:rPr>
              <w:t>基本要求</w:t>
            </w:r>
          </w:p>
        </w:tc>
        <w:tc>
          <w:tcPr>
            <w:tcW w:w="7938" w:type="dxa"/>
            <w:vAlign w:val="center"/>
          </w:tcPr>
          <w:p>
            <w:pPr>
              <w:spacing w:line="276" w:lineRule="auto"/>
              <w:ind w:firstLine="420"/>
            </w:pPr>
            <w:r>
              <w:rPr>
                <w:rFonts w:hint="eastAsia"/>
              </w:rPr>
              <w:t>1.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pPr>
              <w:spacing w:line="276" w:lineRule="auto"/>
              <w:ind w:firstLine="420"/>
            </w:pPr>
            <w:r>
              <w:rPr>
                <w:rFonts w:hint="eastAsia"/>
              </w:rPr>
              <w:t>2.成交供应商应保证竞价产品涉及到的知识产权和所提供的相关技术资料是合法取得，并享有完整的知识产权，不会因为需方的使用而被责令停止使用、追偿或要求赔偿损失，如出现此情况，一切经济和法律责任均由成交人承担。</w:t>
            </w:r>
          </w:p>
          <w:p>
            <w:pPr>
              <w:spacing w:line="276" w:lineRule="auto"/>
              <w:ind w:firstLine="420"/>
            </w:pPr>
            <w:r>
              <w:t>3.</w:t>
            </w:r>
            <w:r>
              <w:rPr>
                <w:rFonts w:hint="eastAsia"/>
              </w:rPr>
              <w:t>成交</w:t>
            </w:r>
            <w:r>
              <w:t>供应商</w:t>
            </w:r>
            <w:r>
              <w:rPr>
                <w:rFonts w:hint="eastAsia"/>
              </w:rPr>
              <w:t>的响应文件应列明详细的产品及所提供的服务内容，技术文件应包括产品的主要性能技术参数、适用范围等。</w:t>
            </w:r>
          </w:p>
          <w:p>
            <w:pPr>
              <w:spacing w:line="276" w:lineRule="auto"/>
              <w:ind w:firstLine="409" w:firstLineChars="195"/>
            </w:pPr>
            <w:r>
              <w:t>4.</w:t>
            </w:r>
            <w:r>
              <w:rPr>
                <w:rFonts w:hint="eastAsia"/>
              </w:rPr>
              <w:t>未尽事宜按国家现行有关规范、标准执行。</w:t>
            </w:r>
          </w:p>
          <w:p>
            <w:pPr>
              <w:spacing w:line="276" w:lineRule="auto"/>
              <w:ind w:firstLine="420"/>
            </w:pPr>
            <w:r>
              <w:t>5.</w:t>
            </w:r>
            <w:r>
              <w:rPr>
                <w:rFonts w:hint="eastAsia"/>
              </w:rPr>
              <w:t>采购人在中华人民共和国境内使用成交供应商提供的产品及服务时免受第三方提出的侵犯其专利权或其它知识产权的起诉。如果第三方提出侵权指控，成交人应承担由此而引起的一切法律责任和费用。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48" w:type="dxa"/>
            <w:vAlign w:val="center"/>
          </w:tcPr>
          <w:p>
            <w:pPr>
              <w:spacing w:line="276" w:lineRule="auto"/>
              <w:jc w:val="center"/>
              <w:rPr>
                <w:rFonts w:ascii="宋体" w:hAnsi="宋体"/>
                <w:b/>
              </w:rPr>
            </w:pPr>
            <w:r>
              <w:rPr>
                <w:rFonts w:hint="eastAsia" w:ascii="宋体" w:hAnsi="宋体"/>
                <w:b/>
              </w:rPr>
              <w:t>交付时间及地点</w:t>
            </w:r>
          </w:p>
        </w:tc>
        <w:tc>
          <w:tcPr>
            <w:tcW w:w="7938" w:type="dxa"/>
          </w:tcPr>
          <w:p>
            <w:pPr>
              <w:spacing w:line="276" w:lineRule="auto"/>
              <w:ind w:right="-57" w:rightChars="-27"/>
              <w:jc w:val="left"/>
              <w:rPr>
                <w:rFonts w:ascii="宋体" w:hAnsi="宋体"/>
              </w:rPr>
            </w:pPr>
            <w:r>
              <w:rPr>
                <w:rFonts w:hint="eastAsia" w:ascii="宋体" w:hAnsi="宋体"/>
              </w:rPr>
              <w:t>完成时间：自签订合同之日起</w:t>
            </w:r>
            <w:r>
              <w:rPr>
                <w:rFonts w:ascii="宋体" w:hAnsi="宋体"/>
              </w:rPr>
              <w:t>90</w:t>
            </w:r>
            <w:r>
              <w:rPr>
                <w:rFonts w:hint="eastAsia" w:ascii="宋体" w:hAnsi="宋体"/>
              </w:rPr>
              <w:t>日内（</w:t>
            </w:r>
            <w:r>
              <w:rPr>
                <w:rFonts w:hint="eastAsia" w:hAnsi="宋体"/>
              </w:rPr>
              <w:t>因采购人原因造成的</w:t>
            </w:r>
            <w:r>
              <w:rPr>
                <w:rFonts w:hint="eastAsia" w:ascii="宋体" w:hAnsi="宋体"/>
              </w:rPr>
              <w:t>的时间延误</w:t>
            </w:r>
            <w:r>
              <w:rPr>
                <w:rFonts w:hint="eastAsia" w:hAnsi="宋体"/>
              </w:rPr>
              <w:t>，完成时间可以相应延长</w:t>
            </w:r>
            <w:r>
              <w:rPr>
                <w:rFonts w:hint="eastAsia" w:ascii="宋体" w:hAnsi="宋体"/>
              </w:rPr>
              <w:t>）完成自评、整改及三级等保测评通过。</w:t>
            </w:r>
          </w:p>
          <w:p>
            <w:pPr>
              <w:snapToGrid w:val="0"/>
              <w:spacing w:line="276" w:lineRule="auto"/>
              <w:ind w:right="-57" w:rightChars="-27"/>
              <w:jc w:val="left"/>
              <w:rPr>
                <w:rFonts w:ascii="宋体" w:hAnsi="宋体"/>
              </w:rPr>
            </w:pPr>
            <w:r>
              <w:rPr>
                <w:rFonts w:hint="eastAsia" w:ascii="宋体" w:hAnsi="宋体"/>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48" w:type="dxa"/>
            <w:vAlign w:val="center"/>
          </w:tcPr>
          <w:p>
            <w:pPr>
              <w:snapToGrid w:val="0"/>
              <w:spacing w:line="276" w:lineRule="auto"/>
              <w:ind w:firstLine="422"/>
              <w:rPr>
                <w:rFonts w:ascii="宋体" w:hAnsi="宋体"/>
                <w:bCs/>
              </w:rPr>
            </w:pPr>
            <w:r>
              <w:rPr>
                <w:rFonts w:hint="eastAsia" w:ascii="宋体" w:hAnsi="宋体"/>
                <w:b/>
              </w:rPr>
              <w:t>服务期限</w:t>
            </w:r>
          </w:p>
        </w:tc>
        <w:tc>
          <w:tcPr>
            <w:tcW w:w="7938" w:type="dxa"/>
            <w:vAlign w:val="center"/>
          </w:tcPr>
          <w:p>
            <w:pPr>
              <w:spacing w:line="276" w:lineRule="auto"/>
              <w:ind w:right="-57" w:rightChars="-27" w:firstLine="420"/>
              <w:jc w:val="left"/>
              <w:rPr>
                <w:rFonts w:ascii="宋体" w:hAnsi="宋体"/>
              </w:rPr>
            </w:pPr>
            <w:r>
              <w:rPr>
                <w:rFonts w:hint="eastAsia" w:hAnsi="宋体" w:cs="宋体"/>
              </w:rPr>
              <w:t>服务期限为</w:t>
            </w:r>
            <w:r>
              <w:rPr>
                <w:rFonts w:hint="eastAsia" w:hAnsi="宋体" w:cs="宋体"/>
                <w:u w:val="single"/>
              </w:rPr>
              <w:t xml:space="preserve"> 合同签订至测评机构向采购人出具最终的测评通过报告止 </w:t>
            </w:r>
            <w:r>
              <w:rPr>
                <w:rFonts w:hint="eastAsia" w:hAnsi="宋体" w:cs="宋体"/>
              </w:rPr>
              <w:t>。若期间成交供应商未能按约定履行合同，采购人有权扣罚合同金额或终止合同，</w:t>
            </w:r>
            <w:r>
              <w:rPr>
                <w:rFonts w:hAnsi="宋体" w:cs="宋体"/>
              </w:rPr>
              <w:t>并</w:t>
            </w:r>
            <w:r>
              <w:rPr>
                <w:rFonts w:hint="eastAsia" w:hAnsi="宋体" w:cs="宋体"/>
              </w:rPr>
              <w:t>要求成交供应商</w:t>
            </w:r>
            <w:r>
              <w:rPr>
                <w:rFonts w:hAnsi="宋体" w:cs="宋体"/>
              </w:rPr>
              <w:t>赔偿损失</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48" w:type="dxa"/>
            <w:vAlign w:val="center"/>
          </w:tcPr>
          <w:p>
            <w:pPr>
              <w:spacing w:line="276" w:lineRule="auto"/>
              <w:ind w:firstLine="422"/>
              <w:rPr>
                <w:rFonts w:ascii="宋体" w:hAnsi="宋体"/>
                <w:b/>
              </w:rPr>
            </w:pPr>
            <w:r>
              <w:rPr>
                <w:rFonts w:hint="eastAsia" w:ascii="宋体" w:hAnsi="宋体"/>
                <w:b/>
              </w:rPr>
              <w:t>验收</w:t>
            </w:r>
            <w:r>
              <w:rPr>
                <w:rFonts w:ascii="宋体" w:hAnsi="宋体"/>
                <w:b/>
              </w:rPr>
              <w:t>要求</w:t>
            </w:r>
          </w:p>
        </w:tc>
        <w:tc>
          <w:tcPr>
            <w:tcW w:w="7938" w:type="dxa"/>
            <w:vAlign w:val="center"/>
          </w:tcPr>
          <w:p>
            <w:pPr>
              <w:spacing w:line="276" w:lineRule="auto"/>
              <w:ind w:right="-57" w:rightChars="-27" w:firstLine="315" w:firstLineChars="150"/>
              <w:jc w:val="left"/>
              <w:rPr>
                <w:rFonts w:ascii="宋体" w:hAnsi="宋体"/>
              </w:rPr>
            </w:pPr>
            <w:r>
              <w:rPr>
                <w:rFonts w:hint="eastAsia" w:ascii="宋体" w:hAnsi="宋体"/>
              </w:rPr>
              <w:t>成交供应商向采购人提交测评机构出具的《信息系统安全等级测评报告》且报告中有明确指出已通过信息系统等级保护3级测评后才能提出验收申请。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848" w:type="dxa"/>
            <w:vAlign w:val="center"/>
          </w:tcPr>
          <w:p>
            <w:pPr>
              <w:spacing w:line="276" w:lineRule="auto"/>
              <w:ind w:firstLine="422"/>
              <w:rPr>
                <w:rFonts w:ascii="宋体" w:hAnsi="宋体"/>
                <w:b/>
              </w:rPr>
            </w:pPr>
            <w:r>
              <w:rPr>
                <w:rFonts w:hint="eastAsia" w:ascii="宋体" w:hAnsi="宋体"/>
                <w:b/>
              </w:rPr>
              <w:t>付款条件</w:t>
            </w:r>
          </w:p>
        </w:tc>
        <w:tc>
          <w:tcPr>
            <w:tcW w:w="7938" w:type="dxa"/>
            <w:vAlign w:val="center"/>
          </w:tcPr>
          <w:p>
            <w:pPr>
              <w:spacing w:line="276" w:lineRule="auto"/>
              <w:ind w:left="-2" w:leftChars="-1" w:right="-57" w:rightChars="-27" w:firstLine="243" w:firstLineChars="116"/>
              <w:jc w:val="left"/>
              <w:rPr>
                <w:rFonts w:ascii="宋体" w:hAnsi="宋体" w:cs="宋体"/>
              </w:rPr>
            </w:pPr>
            <w:r>
              <w:rPr>
                <w:rFonts w:hint="eastAsia" w:hAnsi="宋体" w:cs="宋体"/>
              </w:rPr>
              <w:t>采购人在收到成交供应商开具的真实、准确、正规全额发票，并人员进场完成评估及整改后由测评机构认定且出具了最终通过报告后</w:t>
            </w:r>
            <w:r>
              <w:rPr>
                <w:rFonts w:hint="eastAsia" w:hAnsi="宋体" w:cs="宋体"/>
                <w:lang w:val="en-US" w:eastAsia="zh-CN"/>
              </w:rPr>
              <w:t>30</w:t>
            </w:r>
            <w:r>
              <w:rPr>
                <w:rFonts w:hint="eastAsia" w:hAnsi="宋体" w:cs="宋体"/>
              </w:rPr>
              <w:t>个工作日</w:t>
            </w:r>
            <w:r>
              <w:rPr>
                <w:rFonts w:hint="eastAsia" w:hAnsi="宋体" w:cs="宋体"/>
                <w:lang w:val="en-US" w:eastAsia="zh-CN"/>
              </w:rPr>
              <w:t>内一次性支付合同总金额的100%的服务费</w:t>
            </w:r>
            <w:r>
              <w:rPr>
                <w:rFonts w:hint="eastAsia" w:hAnsi="宋体" w:cs="宋体"/>
              </w:rPr>
              <w:t>。</w:t>
            </w:r>
          </w:p>
        </w:tc>
      </w:tr>
    </w:tbl>
    <w:p>
      <w:pPr>
        <w:spacing w:before="156" w:beforeLines="50" w:line="276" w:lineRule="auto"/>
        <w:rPr>
          <w:b/>
        </w:rPr>
      </w:pPr>
    </w:p>
    <w:p>
      <w:pPr>
        <w:pStyle w:val="13"/>
        <w:ind w:left="-708" w:leftChars="-337"/>
        <w:rPr>
          <w:rFonts w:cs="宋体"/>
          <w:b/>
          <w:bCs/>
        </w:rPr>
      </w:pPr>
    </w:p>
    <w:p>
      <w:pPr>
        <w:pStyle w:val="13"/>
        <w:ind w:left="-708" w:leftChars="-337"/>
        <w:rPr>
          <w:rFonts w:cs="宋体"/>
        </w:rPr>
      </w:pPr>
      <w:r>
        <w:rPr>
          <w:rFonts w:hint="eastAsia" w:cs="宋体"/>
          <w:b/>
          <w:bCs/>
        </w:rPr>
        <w:t>1、投标人资格要求</w:t>
      </w:r>
    </w:p>
    <w:p>
      <w:pPr>
        <w:pStyle w:val="13"/>
        <w:ind w:left="-708" w:leftChars="-337"/>
        <w:rPr>
          <w:rFonts w:cs="宋体"/>
        </w:rPr>
      </w:pPr>
      <w:r>
        <w:rPr>
          <w:rFonts w:hint="eastAsia" w:cs="宋体"/>
        </w:rPr>
        <w:t>1）投标人为独立法人，并具备统一社会信用代码。</w:t>
      </w:r>
    </w:p>
    <w:p>
      <w:pPr>
        <w:pStyle w:val="13"/>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3"/>
        <w:ind w:left="-708" w:leftChars="-337"/>
        <w:rPr>
          <w:rFonts w:cs="宋体"/>
        </w:rPr>
      </w:pPr>
      <w:r>
        <w:rPr>
          <w:rFonts w:hint="eastAsia" w:cs="宋体"/>
        </w:rPr>
        <w:t>3）被列入我院投标人黑名单（在我院招投标活动中存在2次违规行为）未满3年的投标人将被拒绝其参与本次招投标活动。</w:t>
      </w:r>
    </w:p>
    <w:p>
      <w:pPr>
        <w:pStyle w:val="13"/>
        <w:ind w:left="-708" w:leftChars="-337"/>
        <w:rPr>
          <w:rFonts w:hint="eastAsia" w:cs="宋体"/>
          <w:color w:val="auto"/>
        </w:rPr>
      </w:pPr>
      <w:r>
        <w:rPr>
          <w:rFonts w:hint="eastAsia" w:ascii="宋体" w:hAnsi="宋体" w:cs="宋体"/>
        </w:rPr>
        <w:t>4）</w:t>
      </w:r>
      <w:r>
        <w:rPr>
          <w:rFonts w:hint="eastAsia" w:ascii="宋体" w:hAnsi="宋体" w:cs="宋体"/>
          <w:color w:val="auto"/>
        </w:rPr>
        <w:t>本项目不接收联合体投标</w:t>
      </w:r>
      <w:r>
        <w:rPr>
          <w:rFonts w:hint="eastAsia" w:cs="宋体"/>
          <w:color w:val="auto"/>
        </w:rPr>
        <w:t>。</w:t>
      </w:r>
    </w:p>
    <w:p>
      <w:pPr>
        <w:pStyle w:val="13"/>
        <w:ind w:left="-708" w:leftChars="-337"/>
        <w:rPr>
          <w:rFonts w:hint="eastAsia"/>
          <w:kern w:val="0"/>
          <w:sz w:val="24"/>
          <w:szCs w:val="24"/>
          <w:highlight w:val="none"/>
          <w:lang w:val="en-US" w:eastAsia="zh-CN"/>
        </w:rPr>
      </w:pPr>
      <w:r>
        <w:rPr>
          <w:rFonts w:hint="eastAsia"/>
          <w:kern w:val="0"/>
          <w:sz w:val="24"/>
          <w:szCs w:val="24"/>
          <w:highlight w:val="none"/>
          <w:lang w:val="en-US" w:eastAsia="zh-CN"/>
        </w:rPr>
        <w:t>5）售后服务要求</w:t>
      </w:r>
    </w:p>
    <w:p>
      <w:pPr>
        <w:pStyle w:val="13"/>
        <w:ind w:left="-708" w:leftChars="-337"/>
        <w:rPr>
          <w:rFonts w:hint="eastAsia"/>
          <w:kern w:val="0"/>
          <w:sz w:val="24"/>
          <w:szCs w:val="24"/>
          <w:highlight w:val="none"/>
          <w:lang w:val="en-US" w:eastAsia="zh-CN"/>
        </w:rPr>
      </w:pPr>
      <w:r>
        <w:rPr>
          <w:rFonts w:hint="eastAsia"/>
          <w:kern w:val="0"/>
          <w:sz w:val="24"/>
          <w:szCs w:val="24"/>
          <w:highlight w:val="none"/>
          <w:lang w:val="en-US" w:eastAsia="zh-CN"/>
        </w:rPr>
        <w:t>1.服务期为自签订合同之日起1年，服务期间提供服务时不再收取额外费用。</w:t>
      </w:r>
    </w:p>
    <w:p>
      <w:pPr>
        <w:pStyle w:val="13"/>
        <w:ind w:left="-708" w:leftChars="-337"/>
        <w:rPr>
          <w:rFonts w:hint="eastAsia"/>
          <w:kern w:val="0"/>
          <w:sz w:val="24"/>
          <w:szCs w:val="24"/>
          <w:highlight w:val="none"/>
          <w:lang w:val="en-US" w:eastAsia="zh-CN"/>
        </w:rPr>
      </w:pPr>
      <w:r>
        <w:rPr>
          <w:rFonts w:hint="eastAsia"/>
          <w:kern w:val="0"/>
          <w:sz w:val="24"/>
          <w:szCs w:val="24"/>
          <w:highlight w:val="none"/>
          <w:lang w:val="en-US" w:eastAsia="zh-CN"/>
        </w:rPr>
        <w:t>2.服务期内需组织开展采购人相关人员培训：</w:t>
      </w:r>
    </w:p>
    <w:p>
      <w:pPr>
        <w:pStyle w:val="13"/>
        <w:ind w:left="-708" w:leftChars="-337"/>
        <w:rPr>
          <w:rFonts w:hint="eastAsia"/>
          <w:kern w:val="0"/>
          <w:sz w:val="24"/>
          <w:szCs w:val="24"/>
          <w:highlight w:val="none"/>
          <w:lang w:val="en-US" w:eastAsia="zh-CN"/>
        </w:rPr>
      </w:pPr>
      <w:r>
        <w:rPr>
          <w:rFonts w:hint="eastAsia"/>
          <w:kern w:val="0"/>
          <w:sz w:val="24"/>
          <w:szCs w:val="24"/>
          <w:highlight w:val="none"/>
          <w:lang w:val="en-US" w:eastAsia="zh-CN"/>
        </w:rPr>
        <w:t>1）提供不少于一次针对全院职工进行有效的网络安全主题培训。统一思想认识，灌输采购人员工所需网络安全知识和自我防范技能，提升采购人员工的网络安全素质和辨识、感悟的能力。（内容涵盖：信息安全现状、网络安全法解读、常见的网络攻击手段、工作中常犯的错误、日常安全行为准则、重要信息的保密、安全建议等。）</w:t>
      </w:r>
    </w:p>
    <w:p>
      <w:pPr>
        <w:pStyle w:val="13"/>
        <w:ind w:left="-708" w:leftChars="-337"/>
        <w:rPr>
          <w:rFonts w:hint="eastAsia" w:cs="宋体"/>
          <w:color w:val="auto"/>
        </w:rPr>
      </w:pPr>
      <w:bookmarkStart w:id="0" w:name="_GoBack"/>
      <w:bookmarkEnd w:id="0"/>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auto"/>
            <w:kern w:val="0"/>
            <w:sz w:val="24"/>
            <w:szCs w:val="24"/>
            <w:u w:val="single"/>
          </w:rPr>
        </w:sdtEndPr>
        <w:sdtContent>
          <w:r>
            <w:rPr>
              <w:rFonts w:hint="eastAsia" w:cs="宋体"/>
              <w:color w:val="auto"/>
              <w:kern w:val="0"/>
              <w:sz w:val="24"/>
              <w:szCs w:val="24"/>
              <w:u w:val="single"/>
              <w:lang w:val="en-US" w:eastAsia="zh-CN"/>
            </w:rPr>
            <w:t>30</w:t>
          </w:r>
          <w:r>
            <w:rPr>
              <w:rFonts w:hint="eastAsia" w:cs="宋体"/>
              <w:color w:val="auto"/>
              <w:kern w:val="0"/>
              <w:sz w:val="24"/>
              <w:szCs w:val="24"/>
              <w:u w:val="single"/>
            </w:rPr>
            <w:t>个</w:t>
          </w:r>
          <w:r>
            <w:rPr>
              <w:rFonts w:hint="eastAsia" w:cs="宋体"/>
              <w:color w:val="auto"/>
              <w:kern w:val="0"/>
              <w:sz w:val="24"/>
              <w:szCs w:val="24"/>
              <w:u w:val="single"/>
              <w:lang w:eastAsia="zh-CN"/>
            </w:rPr>
            <w:t>历</w:t>
          </w:r>
        </w:sdtContent>
      </w:sdt>
      <w:r>
        <w:rPr>
          <w:rFonts w:hint="eastAsia" w:cs="宋体"/>
          <w:color w:val="auto"/>
          <w:kern w:val="0"/>
          <w:sz w:val="24"/>
          <w:szCs w:val="24"/>
          <w:u w:val="single"/>
        </w:rPr>
        <w:t>日内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tbl>
      <w:tblPr>
        <w:tblStyle w:val="9"/>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48" w:type="dxa"/>
            <w:vAlign w:val="center"/>
          </w:tcPr>
          <w:p>
            <w:pPr>
              <w:snapToGrid w:val="0"/>
              <w:spacing w:line="276" w:lineRule="auto"/>
              <w:ind w:firstLine="422"/>
              <w:rPr>
                <w:rFonts w:ascii="宋体" w:hAnsi="宋体"/>
                <w:bCs/>
              </w:rPr>
            </w:pPr>
            <w:r>
              <w:rPr>
                <w:rFonts w:hint="eastAsia" w:ascii="宋体" w:hAnsi="宋体"/>
                <w:b/>
              </w:rPr>
              <w:t>违约责任</w:t>
            </w:r>
          </w:p>
        </w:tc>
        <w:tc>
          <w:tcPr>
            <w:tcW w:w="7938" w:type="dxa"/>
            <w:vAlign w:val="center"/>
          </w:tcPr>
          <w:p>
            <w:pPr>
              <w:pStyle w:val="4"/>
              <w:tabs>
                <w:tab w:val="left" w:pos="3765"/>
              </w:tabs>
              <w:spacing w:line="276" w:lineRule="auto"/>
              <w:ind w:firstLine="420"/>
              <w:jc w:val="left"/>
            </w:pPr>
            <w:r>
              <w:t>1.</w:t>
            </w:r>
            <w:r>
              <w:rPr>
                <w:rFonts w:hint="eastAsia"/>
              </w:rPr>
              <w:t>如成交人向采购人提供虚假税务发票或委托第三方进行结算，采购人有权拒绝支付服务商的所有款项，并立即终止合同。</w:t>
            </w:r>
          </w:p>
          <w:p>
            <w:pPr>
              <w:pStyle w:val="4"/>
              <w:tabs>
                <w:tab w:val="left" w:pos="3765"/>
              </w:tabs>
              <w:spacing w:line="276" w:lineRule="auto"/>
              <w:ind w:firstLine="420"/>
              <w:jc w:val="left"/>
            </w:pPr>
            <w:r>
              <w:t>2.</w:t>
            </w:r>
            <w:r>
              <w:rPr>
                <w:rFonts w:hint="eastAsia"/>
              </w:rPr>
              <w:t>成交人提供的货物如侵犯了第三方合法权益而引发的任何纠纷或诉讼，均由服务商自行负责交涉并承担全部责任。</w:t>
            </w:r>
          </w:p>
          <w:p>
            <w:pPr>
              <w:pStyle w:val="4"/>
              <w:tabs>
                <w:tab w:val="left" w:pos="3765"/>
              </w:tabs>
              <w:spacing w:line="276" w:lineRule="auto"/>
              <w:ind w:firstLine="420"/>
              <w:jc w:val="left"/>
            </w:pPr>
            <w:r>
              <w:rPr>
                <w:rFonts w:hint="eastAsia"/>
              </w:rPr>
              <w:t>3.在规定时间内未完成自评、整改，并协助采购人获得三级等保测评通过的，每逾期一天扣罚合同总金额的1%，逾期超过十天，直接扣罚合同总金额的20%，</w:t>
            </w:r>
            <w:r>
              <w:rPr>
                <w:rFonts w:hint="eastAsia" w:hAnsi="宋体"/>
              </w:rPr>
              <w:t>因采购人原因造成的的时间延误，完成时间可以相应延长</w:t>
            </w:r>
            <w:r>
              <w:rPr>
                <w:rFonts w:hint="eastAsia"/>
              </w:rPr>
              <w:t>。</w:t>
            </w:r>
          </w:p>
          <w:p>
            <w:pPr>
              <w:spacing w:line="276" w:lineRule="auto"/>
              <w:ind w:firstLine="420"/>
            </w:pPr>
            <w:r>
              <w:rPr>
                <w:rFonts w:hint="eastAsia"/>
              </w:rPr>
              <w:t>4</w:t>
            </w:r>
            <w:r>
              <w:t>.</w:t>
            </w:r>
            <w:r>
              <w:rPr>
                <w:rFonts w:hint="eastAsia"/>
              </w:rPr>
              <w:t xml:space="preserve">下列行为之一的，采购人有权单方取消其服务协议资格，解除合同，扣罚合同总金额的10%，并禁止参加医院任何采购活动。 </w:t>
            </w:r>
          </w:p>
          <w:p>
            <w:pPr>
              <w:spacing w:line="276" w:lineRule="auto"/>
              <w:ind w:firstLine="420"/>
            </w:pPr>
            <w:r>
              <w:rPr>
                <w:rFonts w:hint="eastAsia"/>
              </w:rPr>
              <w:t>①提供任何虚假资料的；</w:t>
            </w:r>
          </w:p>
          <w:p>
            <w:pPr>
              <w:pStyle w:val="4"/>
              <w:tabs>
                <w:tab w:val="left" w:pos="3765"/>
              </w:tabs>
              <w:spacing w:line="276" w:lineRule="auto"/>
              <w:ind w:firstLine="420"/>
              <w:jc w:val="left"/>
            </w:pPr>
            <w:r>
              <w:rPr>
                <w:rFonts w:hint="eastAsia"/>
              </w:rPr>
              <w:t>②将本项目转让给他人的；</w:t>
            </w:r>
          </w:p>
          <w:p>
            <w:pPr>
              <w:pStyle w:val="4"/>
              <w:tabs>
                <w:tab w:val="left" w:pos="3765"/>
              </w:tabs>
              <w:spacing w:line="276" w:lineRule="auto"/>
              <w:ind w:firstLine="420"/>
              <w:jc w:val="left"/>
            </w:pPr>
            <w:r>
              <w:rPr>
                <w:rFonts w:hint="eastAsia"/>
              </w:rPr>
              <w:t>③所使用的技术手段软件未经正规合法经销渠道的；</w:t>
            </w:r>
          </w:p>
          <w:p>
            <w:pPr>
              <w:spacing w:line="276" w:lineRule="auto"/>
              <w:ind w:firstLine="420"/>
            </w:pPr>
            <w:r>
              <w:rPr>
                <w:rFonts w:hint="eastAsia"/>
              </w:rPr>
              <w:t>④项目实施人员存在保密协议内容中有泄密情况的</w:t>
            </w:r>
          </w:p>
          <w:p>
            <w:pPr>
              <w:spacing w:line="276" w:lineRule="auto"/>
              <w:ind w:firstLine="420"/>
            </w:pPr>
            <w:r>
              <w:rPr>
                <w:rFonts w:hint="eastAsia"/>
              </w:rPr>
              <w:t>⑤成交供应商在整改期间进行的安全检测、安全加固等技术整改未经采购人审核确认并私自执行的。</w:t>
            </w:r>
          </w:p>
          <w:p>
            <w:pPr>
              <w:pStyle w:val="2"/>
              <w:ind w:firstLine="420"/>
            </w:pPr>
            <w:r>
              <w:rPr>
                <w:rFonts w:hint="eastAsia" w:ascii="Times New Roman" w:eastAsia="宋体"/>
                <w:b w:val="0"/>
                <w:spacing w:val="0"/>
                <w:sz w:val="21"/>
              </w:rPr>
              <w:t>⑥成交人的工作人员不遵守医院各项管理规定，或泄露医院内部情况，造成社会不良影响的；</w:t>
            </w:r>
          </w:p>
        </w:tc>
      </w:tr>
    </w:tbl>
    <w:p>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rFonts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rPr>
        <w:t>综合评分法</w:t>
      </w:r>
      <w:r>
        <w:rPr>
          <w:rFonts w:hint="eastAsia" w:cs="宋体"/>
          <w:kern w:val="0"/>
          <w:sz w:val="24"/>
          <w:szCs w:val="24"/>
        </w:rPr>
        <w:t>确定中标候选人。</w:t>
      </w:r>
    </w:p>
    <w:p>
      <w:pPr>
        <w:widowControl/>
        <w:spacing w:line="360" w:lineRule="auto"/>
        <w:jc w:val="left"/>
        <w:rPr>
          <w:rFonts w:cs="宋体"/>
          <w:b/>
          <w:bCs/>
          <w:kern w:val="0"/>
          <w:sz w:val="28"/>
          <w:szCs w:val="28"/>
        </w:rPr>
      </w:pPr>
    </w:p>
    <w:p>
      <w:pPr>
        <w:widowControl/>
        <w:spacing w:line="360" w:lineRule="auto"/>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r>
        <w:t xml:space="preserve"> </w:t>
      </w:r>
    </w:p>
    <w:p>
      <w:pPr>
        <w:widowControl/>
        <w:spacing w:line="360" w:lineRule="auto"/>
        <w:ind w:firstLine="420" w:firstLineChars="200"/>
        <w:jc w:val="left"/>
      </w:pPr>
      <w:r>
        <w:rPr>
          <w:rFonts w:hint="eastAsia" w:cs="宋体"/>
        </w:rPr>
        <w:t>附件：评分模板</w:t>
      </w:r>
    </w:p>
    <w:sdt>
      <w:sdtPr>
        <w:rPr>
          <w:rFonts w:ascii="宋体" w:hAnsi="Courier New"/>
        </w:rPr>
        <w:id w:val="2068989185"/>
        <w:placeholder>
          <w:docPart w:val="{11d388e6-f781-4c57-b58f-1cb3a84d6211}"/>
        </w:placeholder>
      </w:sdtPr>
      <w:sdtEndPr>
        <w:rPr>
          <w:rFonts w:ascii="宋体" w:hAnsi="Courier New"/>
        </w:rPr>
      </w:sdtEndPr>
      <w:sdtContent>
        <w:tbl>
          <w:tblPr>
            <w:tblStyle w:val="9"/>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500"/>
            <w:gridCol w:w="1523"/>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05" w:type="dxa"/>
                <w:gridSpan w:val="2"/>
                <w:vAlign w:val="center"/>
              </w:tcPr>
              <w:p>
                <w:pPr>
                  <w:adjustRightInd w:val="0"/>
                  <w:spacing w:line="276" w:lineRule="auto"/>
                  <w:jc w:val="center"/>
                  <w:textAlignment w:val="baseline"/>
                  <w:rPr>
                    <w:rFonts w:ascii="宋体" w:hAnsi="宋体"/>
                  </w:rPr>
                </w:pPr>
                <w:r>
                  <w:rPr>
                    <w:rFonts w:hint="eastAsia" w:ascii="宋体" w:hAnsi="宋体"/>
                    <w:b/>
                  </w:rPr>
                  <w:t>序号</w:t>
                </w:r>
              </w:p>
            </w:tc>
            <w:tc>
              <w:tcPr>
                <w:tcW w:w="1523" w:type="dxa"/>
                <w:vAlign w:val="center"/>
              </w:tcPr>
              <w:p>
                <w:pPr>
                  <w:adjustRightInd w:val="0"/>
                  <w:spacing w:line="276" w:lineRule="auto"/>
                  <w:jc w:val="center"/>
                  <w:textAlignment w:val="baseline"/>
                  <w:rPr>
                    <w:rFonts w:ascii="宋体" w:hAnsi="宋体"/>
                  </w:rPr>
                </w:pPr>
                <w:r>
                  <w:rPr>
                    <w:rFonts w:hint="eastAsia" w:ascii="宋体" w:hAnsi="宋体"/>
                    <w:b/>
                  </w:rPr>
                  <w:t>评分因素</w:t>
                </w:r>
              </w:p>
            </w:tc>
            <w:tc>
              <w:tcPr>
                <w:tcW w:w="6544" w:type="dxa"/>
                <w:vAlign w:val="center"/>
              </w:tcPr>
              <w:p>
                <w:pPr>
                  <w:adjustRightInd w:val="0"/>
                  <w:spacing w:line="276" w:lineRule="auto"/>
                  <w:jc w:val="center"/>
                  <w:textAlignment w:val="baseline"/>
                  <w:rPr>
                    <w:rFonts w:ascii="宋体" w:hAnsi="宋体"/>
                  </w:rPr>
                </w:pPr>
                <w:r>
                  <w:rPr>
                    <w:rFonts w:hint="eastAsia" w:ascii="宋体" w:hAnsi="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05" w:type="dxa"/>
                <w:vAlign w:val="center"/>
              </w:tcPr>
              <w:p>
                <w:pPr>
                  <w:adjustRightInd w:val="0"/>
                  <w:spacing w:line="276" w:lineRule="auto"/>
                  <w:jc w:val="center"/>
                  <w:textAlignment w:val="baseline"/>
                  <w:rPr>
                    <w:rFonts w:ascii="宋体" w:hAnsi="宋体"/>
                  </w:rPr>
                </w:pPr>
                <w:r>
                  <w:rPr>
                    <w:rFonts w:hint="eastAsia" w:ascii="宋体" w:hAnsi="宋体"/>
                  </w:rPr>
                  <w:t>1</w:t>
                </w:r>
              </w:p>
            </w:tc>
            <w:tc>
              <w:tcPr>
                <w:tcW w:w="1500" w:type="dxa"/>
                <w:vAlign w:val="center"/>
              </w:tcPr>
              <w:p>
                <w:pPr>
                  <w:adjustRightInd w:val="0"/>
                  <w:spacing w:line="276" w:lineRule="auto"/>
                  <w:jc w:val="center"/>
                  <w:textAlignment w:val="baseline"/>
                  <w:rPr>
                    <w:rFonts w:ascii="宋体" w:hAnsi="宋体"/>
                    <w:b/>
                    <w:bCs/>
                  </w:rPr>
                </w:pPr>
                <w:r>
                  <w:rPr>
                    <w:rFonts w:hint="eastAsia" w:ascii="宋体" w:hAnsi="宋体"/>
                    <w:b/>
                    <w:bCs/>
                  </w:rPr>
                  <w:t>价格分</w:t>
                </w:r>
              </w:p>
              <w:p>
                <w:pPr>
                  <w:adjustRightInd w:val="0"/>
                  <w:spacing w:line="276" w:lineRule="auto"/>
                  <w:jc w:val="center"/>
                  <w:textAlignment w:val="baseline"/>
                  <w:rPr>
                    <w:rFonts w:ascii="宋体" w:hAnsi="宋体"/>
                    <w:b/>
                    <w:bCs/>
                  </w:rPr>
                </w:pPr>
                <w:r>
                  <w:rPr>
                    <w:rFonts w:hint="eastAsia" w:ascii="宋体" w:hAnsi="宋体"/>
                    <w:b/>
                    <w:bCs/>
                  </w:rPr>
                  <w:t>（满分3</w:t>
                </w:r>
                <w:r>
                  <w:rPr>
                    <w:rFonts w:ascii="宋体" w:hAnsi="宋体"/>
                    <w:b/>
                    <w:bCs/>
                  </w:rPr>
                  <w:t>0</w:t>
                </w:r>
                <w:r>
                  <w:rPr>
                    <w:rFonts w:hint="eastAsia" w:ascii="宋体" w:hAnsi="宋体"/>
                    <w:b/>
                    <w:bCs/>
                  </w:rPr>
                  <w:t>分）</w:t>
                </w:r>
              </w:p>
            </w:tc>
            <w:tc>
              <w:tcPr>
                <w:tcW w:w="1523" w:type="dxa"/>
                <w:vAlign w:val="center"/>
              </w:tcPr>
              <w:p>
                <w:pPr>
                  <w:adjustRightInd w:val="0"/>
                  <w:spacing w:line="276" w:lineRule="auto"/>
                  <w:jc w:val="center"/>
                  <w:textAlignment w:val="baseline"/>
                  <w:rPr>
                    <w:rFonts w:ascii="宋体" w:hAnsi="宋体"/>
                  </w:rPr>
                </w:pPr>
                <w:r>
                  <w:rPr>
                    <w:rFonts w:hint="eastAsia" w:ascii="宋体" w:hAnsi="宋体"/>
                  </w:rPr>
                  <w:t>最后报价分</w:t>
                </w:r>
              </w:p>
              <w:p>
                <w:pPr>
                  <w:adjustRightInd w:val="0"/>
                  <w:spacing w:line="276" w:lineRule="auto"/>
                  <w:jc w:val="center"/>
                  <w:textAlignment w:val="baseline"/>
                  <w:rPr>
                    <w:rFonts w:ascii="宋体" w:hAnsi="宋体"/>
                  </w:rPr>
                </w:pPr>
                <w:r>
                  <w:rPr>
                    <w:rFonts w:hint="eastAsia" w:ascii="宋体" w:hAnsi="宋体"/>
                    <w:bCs/>
                  </w:rPr>
                  <w:t>（满分</w:t>
                </w:r>
                <w:r>
                  <w:rPr>
                    <w:rFonts w:ascii="宋体" w:hAnsi="宋体"/>
                    <w:bCs/>
                  </w:rPr>
                  <w:t>30</w:t>
                </w:r>
                <w:r>
                  <w:rPr>
                    <w:rFonts w:hint="eastAsia" w:ascii="宋体" w:hAnsi="宋体"/>
                    <w:bCs/>
                  </w:rPr>
                  <w:t>分）</w:t>
                </w:r>
              </w:p>
            </w:tc>
            <w:tc>
              <w:tcPr>
                <w:tcW w:w="6544" w:type="dxa"/>
                <w:vAlign w:val="center"/>
              </w:tcPr>
              <w:p>
                <w:pPr>
                  <w:rPr>
                    <w:rFonts w:ascii="宋体" w:hAnsi="宋体"/>
                    <w:bCs/>
                  </w:rPr>
                </w:pPr>
                <w:r>
                  <w:rPr>
                    <w:rFonts w:hint="eastAsia" w:ascii="宋体" w:hAnsi="宋体"/>
                    <w:bCs/>
                  </w:rPr>
                  <w:t>（1）以进入综合评分环节的最低的评审报价为基准价，基准价报价得分</w:t>
                </w:r>
                <w:r>
                  <w:rPr>
                    <w:rFonts w:ascii="宋体" w:hAnsi="宋体"/>
                    <w:bCs/>
                  </w:rPr>
                  <w:t>30</w:t>
                </w:r>
                <w:r>
                  <w:rPr>
                    <w:rFonts w:hint="eastAsia" w:ascii="宋体" w:hAnsi="宋体"/>
                    <w:bCs/>
                  </w:rPr>
                  <w:t>分。</w:t>
                </w:r>
              </w:p>
              <w:p>
                <w:pPr>
                  <w:rPr>
                    <w:rFonts w:ascii="宋体" w:hAnsi="宋体"/>
                    <w:bCs/>
                  </w:rPr>
                </w:pPr>
                <w:r>
                  <w:rPr>
                    <w:rFonts w:hint="eastAsia" w:ascii="宋体" w:hAnsi="宋体"/>
                    <w:bCs/>
                  </w:rPr>
                  <w:t>（2）价格分计算公式：某供应商价格分=基准价/某供应商评审报价金额×</w:t>
                </w:r>
                <w:r>
                  <w:rPr>
                    <w:rFonts w:ascii="宋体" w:hAnsi="宋体"/>
                    <w:bCs/>
                  </w:rPr>
                  <w:t>30</w:t>
                </w:r>
                <w:r>
                  <w:rPr>
                    <w:rFonts w:hint="eastAsia" w:ascii="宋体" w:hAnsi="宋体"/>
                    <w:bCs/>
                  </w:rPr>
                  <w:t>分。</w:t>
                </w:r>
              </w:p>
              <w:p>
                <w:pPr>
                  <w:rPr>
                    <w:rFonts w:ascii="宋体" w:hAnsi="宋体"/>
                    <w:b/>
                    <w:bCs/>
                  </w:rPr>
                </w:pPr>
                <w:r>
                  <w:rPr>
                    <w:rFonts w:hint="eastAsia" w:ascii="宋体" w:hAnsi="宋体"/>
                    <w:bCs/>
                  </w:rPr>
                  <w:t>（3）计算结果保留至小数点后两位。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5" w:type="dxa"/>
                <w:vMerge w:val="restart"/>
                <w:vAlign w:val="center"/>
              </w:tcPr>
              <w:p>
                <w:pPr>
                  <w:spacing w:line="276" w:lineRule="auto"/>
                  <w:ind w:firstLine="420"/>
                  <w:rPr>
                    <w:rFonts w:ascii="宋体" w:hAnsi="宋体"/>
                  </w:rPr>
                </w:pPr>
                <w:r>
                  <w:rPr>
                    <w:rFonts w:hint="eastAsia" w:ascii="宋体" w:hAnsi="宋体"/>
                  </w:rPr>
                  <w:t>22</w:t>
                </w:r>
              </w:p>
            </w:tc>
            <w:tc>
              <w:tcPr>
                <w:tcW w:w="1500" w:type="dxa"/>
                <w:vMerge w:val="restart"/>
                <w:vAlign w:val="center"/>
              </w:tcPr>
              <w:p>
                <w:pPr>
                  <w:spacing w:line="276" w:lineRule="auto"/>
                  <w:ind w:firstLine="211" w:firstLineChars="100"/>
                  <w:rPr>
                    <w:rFonts w:ascii="宋体" w:hAnsi="宋体"/>
                    <w:b/>
                  </w:rPr>
                </w:pPr>
                <w:r>
                  <w:rPr>
                    <w:rFonts w:ascii="宋体" w:hAnsi="宋体"/>
                    <w:b/>
                  </w:rPr>
                  <w:t>技术能力</w:t>
                </w:r>
              </w:p>
              <w:p>
                <w:pPr>
                  <w:spacing w:line="276" w:lineRule="auto"/>
                  <w:rPr>
                    <w:rFonts w:ascii="宋体" w:hAnsi="宋体"/>
                    <w:b/>
                  </w:rPr>
                </w:pPr>
                <w:r>
                  <w:rPr>
                    <w:rFonts w:hint="eastAsia" w:ascii="宋体" w:hAnsi="宋体"/>
                    <w:b/>
                  </w:rPr>
                  <w:t>（满分</w:t>
                </w:r>
                <w:r>
                  <w:rPr>
                    <w:rFonts w:ascii="宋体" w:hAnsi="宋体"/>
                    <w:b/>
                  </w:rPr>
                  <w:t>3</w:t>
                </w:r>
                <w:r>
                  <w:rPr>
                    <w:rFonts w:hint="eastAsia" w:ascii="宋体" w:hAnsi="宋体"/>
                    <w:b/>
                    <w:lang w:val="en-US" w:eastAsia="zh-CN"/>
                  </w:rPr>
                  <w:t>6</w:t>
                </w:r>
                <w:r>
                  <w:rPr>
                    <w:rFonts w:hint="eastAsia" w:ascii="宋体" w:hAnsi="宋体"/>
                    <w:b/>
                  </w:rPr>
                  <w:t>分）</w:t>
                </w:r>
              </w:p>
            </w:tc>
            <w:tc>
              <w:tcPr>
                <w:tcW w:w="1523" w:type="dxa"/>
                <w:vAlign w:val="center"/>
              </w:tcPr>
              <w:p>
                <w:pPr>
                  <w:adjustRightInd w:val="0"/>
                  <w:spacing w:line="276" w:lineRule="auto"/>
                  <w:jc w:val="center"/>
                  <w:textAlignment w:val="baseline"/>
                  <w:rPr>
                    <w:rFonts w:ascii="宋体" w:hAnsi="宋体"/>
                  </w:rPr>
                </w:pPr>
                <w:r>
                  <w:rPr>
                    <w:rFonts w:hint="eastAsia" w:ascii="宋体" w:hAnsi="宋体" w:cs="黑体"/>
                  </w:rPr>
                  <w:t>技术条款响应程度</w:t>
                </w:r>
                <w:r>
                  <w:rPr>
                    <w:rFonts w:hint="eastAsia" w:ascii="宋体" w:hAnsi="宋体"/>
                  </w:rPr>
                  <w:t>（满分</w:t>
                </w:r>
                <w:r>
                  <w:rPr>
                    <w:rFonts w:ascii="宋体" w:hAnsi="宋体"/>
                  </w:rPr>
                  <w:t>10</w:t>
                </w:r>
                <w:r>
                  <w:rPr>
                    <w:rFonts w:hint="eastAsia" w:ascii="宋体" w:hAnsi="宋体"/>
                  </w:rPr>
                  <w:t>分）</w:t>
                </w:r>
              </w:p>
            </w:tc>
            <w:tc>
              <w:tcPr>
                <w:tcW w:w="6544" w:type="dxa"/>
                <w:vAlign w:val="center"/>
              </w:tcPr>
              <w:p>
                <w:pPr>
                  <w:rPr>
                    <w:rFonts w:ascii="宋体" w:hAnsi="宋体" w:cs="宋体"/>
                    <w:bCs/>
                  </w:rPr>
                </w:pPr>
                <w:r>
                  <w:rPr>
                    <w:rFonts w:hint="eastAsia" w:ascii="宋体" w:hAnsi="宋体" w:cs="宋体"/>
                    <w:bCs/>
                  </w:rPr>
                  <w:t>根据供应商应标方案对本项目的目标、任务、内容、要求的理解；对安全等级保护政策的理解与解读进行评审：</w:t>
                </w:r>
              </w:p>
              <w:p>
                <w:pPr>
                  <w:rPr>
                    <w:rFonts w:ascii="宋体" w:hAnsi="宋体" w:cs="宋体"/>
                    <w:bCs/>
                  </w:rPr>
                </w:pPr>
                <w:r>
                  <w:rPr>
                    <w:rFonts w:hint="eastAsia" w:ascii="宋体" w:hAnsi="宋体" w:cs="宋体"/>
                    <w:bCs/>
                  </w:rPr>
                  <w:t>1、供应商对本项目的目标、任务、内容以及要求的理解；对安全等级保护政策的理解与解读透彻及认识清晰，完全满足并优于采购需求，得</w:t>
                </w:r>
                <w:r>
                  <w:rPr>
                    <w:rFonts w:ascii="宋体" w:hAnsi="宋体" w:cs="宋体"/>
                    <w:bCs/>
                  </w:rPr>
                  <w:t>10</w:t>
                </w:r>
                <w:r>
                  <w:rPr>
                    <w:rFonts w:hint="eastAsia" w:ascii="宋体" w:hAnsi="宋体" w:cs="宋体"/>
                    <w:bCs/>
                  </w:rPr>
                  <w:t>分；</w:t>
                </w:r>
              </w:p>
              <w:p>
                <w:pPr>
                  <w:rPr>
                    <w:rFonts w:ascii="宋体" w:hAnsi="宋体" w:cs="宋体"/>
                    <w:bCs/>
                  </w:rPr>
                </w:pPr>
                <w:r>
                  <w:rPr>
                    <w:rFonts w:hint="eastAsia" w:ascii="宋体" w:hAnsi="宋体" w:cs="宋体"/>
                    <w:bCs/>
                  </w:rPr>
                  <w:t>2、供应商对本项目的目标、任务、内容以及要求的理解；对安全等级保护政策的理解与解读较透彻，认识较清晰，基本满足采购需求，得</w:t>
                </w:r>
                <w:r>
                  <w:rPr>
                    <w:rFonts w:ascii="宋体" w:hAnsi="宋体" w:cs="宋体"/>
                    <w:bCs/>
                  </w:rPr>
                  <w:t>8</w:t>
                </w:r>
                <w:r>
                  <w:rPr>
                    <w:rFonts w:hint="eastAsia" w:ascii="宋体" w:hAnsi="宋体" w:cs="宋体"/>
                    <w:bCs/>
                  </w:rPr>
                  <w:t>分；</w:t>
                </w:r>
              </w:p>
              <w:p>
                <w:pPr>
                  <w:rPr>
                    <w:rFonts w:ascii="宋体" w:hAnsi="宋体" w:cs="宋体"/>
                    <w:bCs/>
                  </w:rPr>
                </w:pPr>
                <w:r>
                  <w:rPr>
                    <w:rFonts w:hint="eastAsia" w:ascii="宋体" w:hAnsi="宋体" w:cs="宋体"/>
                    <w:bCs/>
                  </w:rPr>
                  <w:t>3、供应商对本项目的目标、任务、内容以及要求的理解；对安全等级保护政策的理解与解读不太透彻，认识不够清晰，不能完全满足采购需求，得</w:t>
                </w:r>
                <w:r>
                  <w:rPr>
                    <w:rFonts w:ascii="宋体" w:hAnsi="宋体" w:cs="宋体"/>
                    <w:bCs/>
                  </w:rPr>
                  <w:t>3</w:t>
                </w:r>
                <w:r>
                  <w:rPr>
                    <w:rFonts w:hint="eastAsia" w:ascii="宋体" w:hAnsi="宋体" w:cs="宋体"/>
                    <w:bCs/>
                  </w:rPr>
                  <w:t>分；</w:t>
                </w:r>
              </w:p>
              <w:p>
                <w:pPr>
                  <w:spacing w:line="276" w:lineRule="auto"/>
                  <w:ind w:firstLine="420"/>
                </w:pPr>
                <w:r>
                  <w:rPr>
                    <w:rFonts w:hint="eastAsia" w:ascii="宋体" w:hAnsi="宋体" w:cs="宋体"/>
                    <w:bCs/>
                  </w:rPr>
                  <w:t>4、不提供或其他情形的，不得分。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05" w:type="dxa"/>
                <w:vMerge w:val="continue"/>
                <w:vAlign w:val="center"/>
              </w:tcPr>
              <w:p>
                <w:pPr>
                  <w:spacing w:line="276" w:lineRule="auto"/>
                  <w:ind w:firstLine="420"/>
                  <w:rPr>
                    <w:rFonts w:ascii="宋体" w:hAnsi="宋体"/>
                  </w:rPr>
                </w:pPr>
              </w:p>
            </w:tc>
            <w:tc>
              <w:tcPr>
                <w:tcW w:w="1500" w:type="dxa"/>
                <w:vMerge w:val="continue"/>
                <w:vAlign w:val="center"/>
              </w:tcPr>
              <w:p>
                <w:pPr>
                  <w:spacing w:line="276" w:lineRule="auto"/>
                  <w:rPr>
                    <w:rFonts w:ascii="宋体" w:hAnsi="宋体"/>
                    <w:b/>
                  </w:rPr>
                </w:pPr>
              </w:p>
            </w:tc>
            <w:tc>
              <w:tcPr>
                <w:tcW w:w="1523" w:type="dxa"/>
                <w:vAlign w:val="center"/>
              </w:tcPr>
              <w:p>
                <w:pPr>
                  <w:adjustRightInd w:val="0"/>
                  <w:spacing w:line="276" w:lineRule="auto"/>
                  <w:jc w:val="center"/>
                  <w:textAlignment w:val="baseline"/>
                  <w:rPr>
                    <w:b/>
                    <w:bCs/>
                  </w:rPr>
                </w:pPr>
                <w:r>
                  <w:rPr>
                    <w:rFonts w:hint="eastAsia" w:ascii="宋体" w:hAnsi="宋体" w:cs="黑体"/>
                    <w:lang w:val="zh-CN"/>
                  </w:rPr>
                  <w:t>技术服务方案</w:t>
                </w:r>
              </w:p>
              <w:p>
                <w:pPr>
                  <w:adjustRightInd w:val="0"/>
                  <w:spacing w:line="276" w:lineRule="auto"/>
                  <w:jc w:val="center"/>
                  <w:textAlignment w:val="baseline"/>
                  <w:rPr>
                    <w:rFonts w:ascii="宋体" w:hAnsi="宋体"/>
                  </w:rPr>
                </w:pPr>
                <w:r>
                  <w:rPr>
                    <w:rFonts w:hint="eastAsia"/>
                  </w:rPr>
                  <w:t>（满分</w:t>
                </w:r>
                <w:r>
                  <w:t>1</w:t>
                </w:r>
                <w:r>
                  <w:rPr>
                    <w:rFonts w:hint="eastAsia"/>
                    <w:lang w:val="en-US" w:eastAsia="zh-CN"/>
                  </w:rPr>
                  <w:t>6</w:t>
                </w:r>
                <w:r>
                  <w:rPr>
                    <w:rFonts w:hint="eastAsia"/>
                  </w:rPr>
                  <w:t>分）</w:t>
                </w:r>
              </w:p>
            </w:tc>
            <w:tc>
              <w:tcPr>
                <w:tcW w:w="6544" w:type="dxa"/>
                <w:vAlign w:val="center"/>
              </w:tcPr>
              <w:p>
                <w:pPr>
                  <w:rPr>
                    <w:rFonts w:ascii="宋体" w:hAnsi="宋体" w:cs="宋体"/>
                    <w:bCs/>
                  </w:rPr>
                </w:pPr>
                <w:r>
                  <w:rPr>
                    <w:rFonts w:hint="eastAsia" w:ascii="宋体" w:hAnsi="宋体" w:cs="宋体"/>
                    <w:bCs/>
                  </w:rPr>
                  <w:t xml:space="preserve">根据报价单位对网络安全等级保护测评实施方案中所包含的安全管理机构、安全管理人员、安全管理制度、安全管理中心、安全建设管理、安全区域边界、安全通信网络、安全物理环境、安全运维管理、移动互联安全扩展、云计算安全扩展等内容进行评审： </w:t>
                </w:r>
              </w:p>
              <w:p>
                <w:pPr>
                  <w:rPr>
                    <w:rFonts w:ascii="宋体" w:hAnsi="宋体" w:cs="宋体"/>
                    <w:bCs/>
                  </w:rPr>
                </w:pPr>
                <w:r>
                  <w:rPr>
                    <w:rFonts w:hint="eastAsia" w:ascii="宋体" w:hAnsi="宋体" w:cs="宋体"/>
                    <w:bCs/>
                  </w:rPr>
                  <w:t>（1）网络安全等级保护测评实施方案具体、详细、完善、有利于项目实施,完全满足或优于采购需求，可行性高，得</w:t>
                </w:r>
                <w:r>
                  <w:rPr>
                    <w:rFonts w:ascii="宋体" w:hAnsi="宋体" w:cs="宋体"/>
                    <w:bCs/>
                  </w:rPr>
                  <w:t>1</w:t>
                </w:r>
                <w:r>
                  <w:rPr>
                    <w:rFonts w:hint="eastAsia" w:ascii="宋体" w:hAnsi="宋体" w:cs="宋体"/>
                    <w:bCs/>
                    <w:lang w:val="en-US" w:eastAsia="zh-CN"/>
                  </w:rPr>
                  <w:t>6</w:t>
                </w:r>
                <w:r>
                  <w:rPr>
                    <w:rFonts w:hint="eastAsia" w:ascii="宋体" w:hAnsi="宋体" w:cs="宋体"/>
                    <w:bCs/>
                  </w:rPr>
                  <w:t>分；</w:t>
                </w:r>
              </w:p>
              <w:p>
                <w:pPr>
                  <w:rPr>
                    <w:rFonts w:ascii="宋体" w:hAnsi="宋体" w:cs="宋体"/>
                    <w:bCs/>
                  </w:rPr>
                </w:pPr>
                <w:r>
                  <w:rPr>
                    <w:rFonts w:hint="eastAsia" w:ascii="宋体" w:hAnsi="宋体" w:cs="宋体"/>
                    <w:bCs/>
                  </w:rPr>
                  <w:t>（2）网络安全等级保护测评实施方案较具体、详细、完善、有利于项目实施，基本满足采购需求，得</w:t>
                </w:r>
                <w:r>
                  <w:rPr>
                    <w:rFonts w:ascii="宋体" w:hAnsi="宋体" w:cs="宋体"/>
                    <w:bCs/>
                  </w:rPr>
                  <w:t>10</w:t>
                </w:r>
                <w:r>
                  <w:rPr>
                    <w:rFonts w:hint="eastAsia" w:ascii="宋体" w:hAnsi="宋体" w:cs="宋体"/>
                    <w:bCs/>
                  </w:rPr>
                  <w:t>分；</w:t>
                </w:r>
              </w:p>
              <w:p>
                <w:pPr>
                  <w:rPr>
                    <w:rFonts w:ascii="宋体" w:hAnsi="宋体" w:cs="宋体"/>
                    <w:bCs/>
                  </w:rPr>
                </w:pPr>
                <w:r>
                  <w:rPr>
                    <w:rFonts w:hint="eastAsia" w:ascii="宋体" w:hAnsi="宋体" w:cs="宋体"/>
                    <w:bCs/>
                  </w:rPr>
                  <w:t>（3）网络安全等级保护测评实施方案阐述模糊、缺乏一定的合理性和可行性的，得</w:t>
                </w:r>
                <w:r>
                  <w:rPr>
                    <w:rFonts w:ascii="宋体" w:hAnsi="宋体" w:cs="宋体"/>
                    <w:bCs/>
                  </w:rPr>
                  <w:t>5</w:t>
                </w:r>
                <w:r>
                  <w:rPr>
                    <w:rFonts w:hint="eastAsia" w:ascii="宋体" w:hAnsi="宋体" w:cs="宋体"/>
                    <w:bCs/>
                  </w:rPr>
                  <w:t>分；</w:t>
                </w:r>
              </w:p>
              <w:p>
                <w:pPr>
                  <w:adjustRightInd w:val="0"/>
                  <w:spacing w:line="276" w:lineRule="auto"/>
                  <w:ind w:firstLine="420"/>
                  <w:textAlignment w:val="baseline"/>
                </w:pPr>
                <w:r>
                  <w:rPr>
                    <w:rFonts w:hint="eastAsia" w:ascii="宋体" w:hAnsi="宋体" w:cs="宋体"/>
                    <w:bCs/>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405" w:type="dxa"/>
                <w:vMerge w:val="continue"/>
                <w:vAlign w:val="center"/>
              </w:tcPr>
              <w:p>
                <w:pPr>
                  <w:spacing w:line="276" w:lineRule="auto"/>
                  <w:ind w:firstLine="420"/>
                  <w:rPr>
                    <w:rFonts w:ascii="宋体" w:hAnsi="宋体"/>
                  </w:rPr>
                </w:pPr>
              </w:p>
            </w:tc>
            <w:tc>
              <w:tcPr>
                <w:tcW w:w="1500" w:type="dxa"/>
                <w:vMerge w:val="continue"/>
                <w:vAlign w:val="center"/>
              </w:tcPr>
              <w:p>
                <w:pPr>
                  <w:spacing w:line="276" w:lineRule="auto"/>
                  <w:rPr>
                    <w:rFonts w:ascii="宋体" w:hAnsi="宋体"/>
                    <w:b/>
                  </w:rPr>
                </w:pPr>
              </w:p>
            </w:tc>
            <w:tc>
              <w:tcPr>
                <w:tcW w:w="1523" w:type="dxa"/>
                <w:vAlign w:val="center"/>
              </w:tcPr>
              <w:p>
                <w:pPr>
                  <w:adjustRightInd w:val="0"/>
                  <w:spacing w:line="276" w:lineRule="auto"/>
                  <w:jc w:val="center"/>
                  <w:textAlignment w:val="baseline"/>
                  <w:rPr>
                    <w:rFonts w:ascii="宋体" w:hAnsi="宋体"/>
                  </w:rPr>
                </w:pPr>
                <w:r>
                  <w:rPr>
                    <w:rFonts w:hint="eastAsia" w:ascii="宋体" w:hAnsi="宋体" w:cs="宋体"/>
                  </w:rPr>
                  <w:t>服务行为管理</w:t>
                </w:r>
                <w:r>
                  <w:rPr>
                    <w:rFonts w:hint="eastAsia"/>
                  </w:rPr>
                  <w:t>（满分</w:t>
                </w:r>
                <w:r>
                  <w:t>10</w:t>
                </w:r>
                <w:r>
                  <w:rPr>
                    <w:rFonts w:hint="eastAsia"/>
                  </w:rPr>
                  <w:t>分）</w:t>
                </w:r>
              </w:p>
            </w:tc>
            <w:tc>
              <w:tcPr>
                <w:tcW w:w="6544" w:type="dxa"/>
                <w:vAlign w:val="center"/>
              </w:tcPr>
              <w:p>
                <w:pPr>
                  <w:rPr>
                    <w:rFonts w:ascii="宋体" w:hAnsi="宋体" w:cs="宋体"/>
                    <w:bCs/>
                  </w:rPr>
                </w:pPr>
                <w:r>
                  <w:rPr>
                    <w:rFonts w:hint="eastAsia" w:ascii="宋体" w:hAnsi="宋体" w:cs="宋体"/>
                    <w:bCs/>
                  </w:rPr>
                  <w:t>对各响应供应商的企业和人员的服务行为管理方案（包括内部安全管理机制、安全培训机制、保密安全责任机制等内容）进行评审：</w:t>
                </w:r>
              </w:p>
              <w:p>
                <w:pPr>
                  <w:rPr>
                    <w:rFonts w:ascii="宋体" w:hAnsi="宋体" w:cs="宋体"/>
                    <w:bCs/>
                  </w:rPr>
                </w:pPr>
                <w:r>
                  <w:rPr>
                    <w:rFonts w:hint="eastAsia" w:ascii="宋体" w:hAnsi="宋体" w:cs="宋体"/>
                    <w:bCs/>
                  </w:rPr>
                  <w:t>1、提供的管理方案最完善、详细，可行性最高，得</w:t>
                </w:r>
                <w:r>
                  <w:rPr>
                    <w:rFonts w:ascii="宋体" w:hAnsi="宋体" w:cs="宋体"/>
                    <w:bCs/>
                  </w:rPr>
                  <w:t>10</w:t>
                </w:r>
                <w:r>
                  <w:rPr>
                    <w:rFonts w:hint="eastAsia" w:ascii="宋体" w:hAnsi="宋体" w:cs="宋体"/>
                    <w:bCs/>
                  </w:rPr>
                  <w:t>分；</w:t>
                </w:r>
              </w:p>
              <w:p>
                <w:pPr>
                  <w:rPr>
                    <w:rFonts w:ascii="宋体" w:hAnsi="宋体" w:cs="宋体"/>
                    <w:bCs/>
                  </w:rPr>
                </w:pPr>
                <w:r>
                  <w:rPr>
                    <w:rFonts w:hint="eastAsia" w:ascii="宋体" w:hAnsi="宋体" w:cs="宋体"/>
                    <w:bCs/>
                  </w:rPr>
                  <w:t>2、提供的管理方案较为完善、详细，可行性较强，有一定针对性，得4分；</w:t>
                </w:r>
              </w:p>
              <w:p>
                <w:pPr>
                  <w:rPr>
                    <w:rFonts w:ascii="宋体" w:hAnsi="宋体" w:cs="宋体"/>
                    <w:bCs/>
                  </w:rPr>
                </w:pPr>
                <w:r>
                  <w:rPr>
                    <w:rFonts w:hint="eastAsia" w:ascii="宋体" w:hAnsi="宋体" w:cs="宋体"/>
                    <w:bCs/>
                  </w:rPr>
                  <w:t>3、提供的管理方案不够详细，不能完全体现内部安全管理机制、安全培训机制、保密安全责任机制，可行性一般，得</w:t>
                </w:r>
                <w:r>
                  <w:rPr>
                    <w:rFonts w:ascii="宋体" w:hAnsi="宋体" w:cs="宋体"/>
                    <w:bCs/>
                  </w:rPr>
                  <w:t>6</w:t>
                </w:r>
                <w:r>
                  <w:rPr>
                    <w:rFonts w:hint="eastAsia" w:ascii="宋体" w:hAnsi="宋体" w:cs="宋体"/>
                    <w:bCs/>
                  </w:rPr>
                  <w:t>分；</w:t>
                </w:r>
              </w:p>
              <w:p>
                <w:pPr>
                  <w:rPr>
                    <w:rFonts w:ascii="宋体" w:hAnsi="宋体" w:cs="宋体"/>
                    <w:bCs/>
                  </w:rPr>
                </w:pPr>
                <w:r>
                  <w:rPr>
                    <w:rFonts w:hint="eastAsia" w:ascii="宋体" w:hAnsi="宋体" w:cs="宋体"/>
                    <w:bCs/>
                  </w:rPr>
                  <w:t>4、管理方案简单，可行性低，得</w:t>
                </w:r>
                <w:r>
                  <w:rPr>
                    <w:rFonts w:ascii="宋体" w:hAnsi="宋体" w:cs="宋体"/>
                    <w:bCs/>
                  </w:rPr>
                  <w:t>2</w:t>
                </w:r>
                <w:r>
                  <w:rPr>
                    <w:rFonts w:hint="eastAsia" w:ascii="宋体" w:hAnsi="宋体" w:cs="宋体"/>
                    <w:bCs/>
                  </w:rPr>
                  <w:t>分；</w:t>
                </w:r>
              </w:p>
              <w:p>
                <w:pPr>
                  <w:pStyle w:val="4"/>
                  <w:spacing w:line="276" w:lineRule="auto"/>
                  <w:jc w:val="left"/>
                </w:pPr>
                <w:r>
                  <w:rPr>
                    <w:rFonts w:hint="eastAsia" w:hAnsi="宋体" w:cs="宋体"/>
                    <w:bCs/>
                  </w:rPr>
                  <w:t>5、不提供或其他情况，得0分。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405" w:type="dxa"/>
                <w:vMerge w:val="restart"/>
                <w:vAlign w:val="center"/>
              </w:tcPr>
              <w:p>
                <w:pPr>
                  <w:spacing w:line="276" w:lineRule="auto"/>
                  <w:jc w:val="center"/>
                  <w:rPr>
                    <w:rFonts w:ascii="宋体" w:hAnsi="宋体"/>
                  </w:rPr>
                </w:pPr>
                <w:r>
                  <w:rPr>
                    <w:rFonts w:hint="eastAsia" w:ascii="宋体" w:hAnsi="宋体"/>
                  </w:rPr>
                  <w:t>3</w:t>
                </w:r>
              </w:p>
            </w:tc>
            <w:tc>
              <w:tcPr>
                <w:tcW w:w="1500" w:type="dxa"/>
                <w:vMerge w:val="restart"/>
                <w:vAlign w:val="center"/>
              </w:tcPr>
              <w:p>
                <w:pPr>
                  <w:spacing w:line="276" w:lineRule="auto"/>
                  <w:rPr>
                    <w:rFonts w:ascii="宋体" w:hAnsi="宋体"/>
                  </w:rPr>
                </w:pPr>
                <w:r>
                  <w:rPr>
                    <w:rFonts w:hint="eastAsia" w:ascii="宋体" w:hAnsi="宋体"/>
                    <w:b/>
                    <w:bCs/>
                  </w:rPr>
                  <w:t>测评服务分（满分</w:t>
                </w:r>
                <w:r>
                  <w:rPr>
                    <w:rFonts w:ascii="宋体" w:hAnsi="宋体"/>
                    <w:b/>
                    <w:bCs/>
                  </w:rPr>
                  <w:t>28</w:t>
                </w:r>
                <w:r>
                  <w:rPr>
                    <w:rFonts w:hint="eastAsia" w:ascii="宋体" w:hAnsi="宋体"/>
                    <w:b/>
                    <w:bCs/>
                  </w:rPr>
                  <w:t>分）</w:t>
                </w:r>
              </w:p>
            </w:tc>
            <w:tc>
              <w:tcPr>
                <w:tcW w:w="1523" w:type="dxa"/>
                <w:tcMar>
                  <w:left w:w="57" w:type="dxa"/>
                  <w:right w:w="57" w:type="dxa"/>
                </w:tcMar>
                <w:vAlign w:val="center"/>
              </w:tcPr>
              <w:p>
                <w:pPr>
                  <w:adjustRightInd w:val="0"/>
                  <w:spacing w:line="276" w:lineRule="auto"/>
                  <w:jc w:val="center"/>
                  <w:textAlignment w:val="baseline"/>
                  <w:rPr>
                    <w:rFonts w:ascii="宋体" w:hAnsi="宋体"/>
                    <w:bCs/>
                  </w:rPr>
                </w:pPr>
                <w:r>
                  <w:rPr>
                    <w:rFonts w:hint="eastAsia" w:ascii="宋体" w:hAnsi="宋体"/>
                    <w:bCs/>
                  </w:rPr>
                  <w:t>测评能力证明</w:t>
                </w:r>
              </w:p>
              <w:p>
                <w:pPr>
                  <w:adjustRightInd w:val="0"/>
                  <w:spacing w:line="276" w:lineRule="auto"/>
                  <w:jc w:val="center"/>
                  <w:textAlignment w:val="baseline"/>
                  <w:rPr>
                    <w:rFonts w:ascii="宋体" w:hAnsi="宋体"/>
                    <w:bCs/>
                  </w:rPr>
                </w:pPr>
                <w:r>
                  <w:rPr>
                    <w:rFonts w:hint="eastAsia" w:ascii="宋体" w:hAnsi="宋体"/>
                    <w:bCs/>
                  </w:rPr>
                  <w:t>（满分</w:t>
                </w:r>
                <w:r>
                  <w:rPr>
                    <w:rFonts w:ascii="宋体" w:hAnsi="宋体"/>
                    <w:bCs/>
                  </w:rPr>
                  <w:t>16</w:t>
                </w:r>
                <w:r>
                  <w:rPr>
                    <w:rFonts w:hint="eastAsia" w:ascii="宋体" w:hAnsi="宋体"/>
                    <w:bCs/>
                  </w:rPr>
                  <w:t>分）</w:t>
                </w:r>
              </w:p>
            </w:tc>
            <w:tc>
              <w:tcPr>
                <w:tcW w:w="6544" w:type="dxa"/>
                <w:vAlign w:val="center"/>
              </w:tcPr>
              <w:p>
                <w:pPr>
                  <w:pStyle w:val="4"/>
                  <w:spacing w:line="276" w:lineRule="auto"/>
                </w:pPr>
                <w:r>
                  <w:rPr>
                    <w:rFonts w:hint="eastAsia"/>
                  </w:rPr>
                  <w:t xml:space="preserve">   1.提供竞价人与拟邀请测评机构的授权书等证明资料的，得</w:t>
                </w:r>
                <w:r>
                  <w:t>4</w:t>
                </w:r>
                <w:r>
                  <w:rPr>
                    <w:rFonts w:hint="eastAsia"/>
                  </w:rPr>
                  <w:t>分；</w:t>
                </w:r>
              </w:p>
              <w:p>
                <w:pPr>
                  <w:pStyle w:val="4"/>
                  <w:spacing w:line="276" w:lineRule="auto"/>
                  <w:ind w:firstLine="315" w:firstLineChars="150"/>
                </w:pPr>
                <w:r>
                  <w:rPr>
                    <w:rFonts w:hint="eastAsia"/>
                  </w:rPr>
                  <w:t>2.提供具有公安部第三研究所颁发的《网络安全等级测评与检测评估机构服务认证证书》复印件的，得4分；</w:t>
                </w:r>
              </w:p>
              <w:p>
                <w:pPr>
                  <w:pStyle w:val="4"/>
                  <w:spacing w:line="276" w:lineRule="auto"/>
                  <w:ind w:firstLine="315" w:firstLineChars="150"/>
                </w:pPr>
                <w:r>
                  <w:rPr>
                    <w:rFonts w:hint="eastAsia"/>
                  </w:rPr>
                  <w:t>3.提供测评机构</w:t>
                </w:r>
                <w:r>
                  <w:rPr>
                    <w:rFonts w:hint="eastAsia" w:hAnsi="宋体" w:cs="黑体"/>
                    <w:lang w:val="zh-CN"/>
                  </w:rPr>
                  <w:t>具有中国信息安全测评中心授权运营机构资质证书的，得</w:t>
                </w:r>
                <w:r>
                  <w:rPr>
                    <w:rFonts w:hAnsi="宋体" w:cs="黑体"/>
                  </w:rPr>
                  <w:t>4</w:t>
                </w:r>
                <w:r>
                  <w:rPr>
                    <w:rFonts w:hint="eastAsia" w:hAnsi="宋体" w:cs="黑体"/>
                    <w:lang w:val="zh-CN"/>
                  </w:rPr>
                  <w:t>分</w:t>
                </w:r>
              </w:p>
              <w:p>
                <w:pPr>
                  <w:pStyle w:val="4"/>
                  <w:spacing w:line="276" w:lineRule="auto"/>
                  <w:ind w:firstLine="315" w:firstLineChars="150"/>
                </w:pPr>
                <w:r>
                  <w:rPr>
                    <w:rFonts w:hint="eastAsia"/>
                  </w:rPr>
                  <w:t>4.提供测评机构具有与</w:t>
                </w:r>
                <w:r>
                  <w:rPr>
                    <w:rFonts w:hint="eastAsia" w:hAnsi="宋体" w:cs="黑体"/>
                    <w:lang w:val="zh-CN"/>
                  </w:rPr>
                  <w:t>市级及以上执法监督单位或警察院校共建网络安全相关联合实验室，得</w:t>
                </w:r>
                <w:r>
                  <w:rPr>
                    <w:rFonts w:hAnsi="宋体" w:cs="黑体"/>
                  </w:rPr>
                  <w:t>4</w:t>
                </w:r>
                <w:r>
                  <w:rPr>
                    <w:rFonts w:hint="eastAsia" w:hAnsi="宋体" w:cs="黑体"/>
                    <w:lang w:val="zh-CN"/>
                  </w:rPr>
                  <w:t>分</w:t>
                </w:r>
              </w:p>
              <w:p>
                <w:pPr>
                  <w:widowControl/>
                  <w:spacing w:line="276" w:lineRule="auto"/>
                  <w:ind w:firstLine="316" w:firstLineChars="150"/>
                  <w:jc w:val="left"/>
                  <w:rPr>
                    <w:rFonts w:hAnsi="宋体"/>
                    <w:b/>
                  </w:rPr>
                </w:pPr>
                <w:r>
                  <w:rPr>
                    <w:rFonts w:hint="eastAsia"/>
                    <w:b/>
                    <w:bCs/>
                  </w:rPr>
                  <w:t>注：以上证明材料要求同时加盖测评机构公章及竞价人公章，否则不予认可。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405" w:type="dxa"/>
                <w:vMerge w:val="continue"/>
                <w:vAlign w:val="center"/>
              </w:tcPr>
              <w:p>
                <w:pPr>
                  <w:spacing w:line="276" w:lineRule="auto"/>
                  <w:jc w:val="center"/>
                  <w:rPr>
                    <w:rFonts w:ascii="宋体" w:hAnsi="宋体"/>
                  </w:rPr>
                </w:pPr>
              </w:p>
            </w:tc>
            <w:tc>
              <w:tcPr>
                <w:tcW w:w="1500" w:type="dxa"/>
                <w:vMerge w:val="continue"/>
                <w:vAlign w:val="center"/>
              </w:tcPr>
              <w:p>
                <w:pPr>
                  <w:spacing w:line="276" w:lineRule="auto"/>
                  <w:rPr>
                    <w:rFonts w:ascii="宋体" w:hAnsi="宋体"/>
                  </w:rPr>
                </w:pPr>
              </w:p>
            </w:tc>
            <w:tc>
              <w:tcPr>
                <w:tcW w:w="1523" w:type="dxa"/>
                <w:tcMar>
                  <w:left w:w="57" w:type="dxa"/>
                  <w:right w:w="57" w:type="dxa"/>
                </w:tcMar>
                <w:vAlign w:val="center"/>
              </w:tcPr>
              <w:p>
                <w:pPr>
                  <w:pStyle w:val="4"/>
                  <w:spacing w:line="276" w:lineRule="auto"/>
                  <w:jc w:val="center"/>
                  <w:rPr>
                    <w:rFonts w:hAnsi="宋体"/>
                  </w:rPr>
                </w:pPr>
                <w:r>
                  <w:rPr>
                    <w:rFonts w:hint="eastAsia" w:hAnsi="宋体"/>
                  </w:rPr>
                  <w:t>测评机构团队能力分</w:t>
                </w:r>
              </w:p>
              <w:p>
                <w:pPr>
                  <w:pStyle w:val="4"/>
                  <w:spacing w:line="276" w:lineRule="auto"/>
                  <w:rPr>
                    <w:rFonts w:hAnsi="宋体"/>
                    <w:bCs/>
                  </w:rPr>
                </w:pPr>
                <w:r>
                  <w:rPr>
                    <w:rFonts w:hint="eastAsia" w:hAnsi="宋体"/>
                    <w:bCs/>
                  </w:rPr>
                  <w:t>（满分</w:t>
                </w:r>
                <w:r>
                  <w:rPr>
                    <w:rFonts w:hAnsi="宋体"/>
                    <w:bCs/>
                  </w:rPr>
                  <w:t>12</w:t>
                </w:r>
                <w:r>
                  <w:rPr>
                    <w:rFonts w:hint="eastAsia" w:hAnsi="宋体"/>
                    <w:bCs/>
                  </w:rPr>
                  <w:t>分）：</w:t>
                </w:r>
              </w:p>
              <w:p>
                <w:pPr>
                  <w:adjustRightInd w:val="0"/>
                  <w:spacing w:line="276" w:lineRule="auto"/>
                  <w:jc w:val="center"/>
                  <w:textAlignment w:val="baseline"/>
                  <w:rPr>
                    <w:rFonts w:ascii="宋体" w:hAnsi="宋体"/>
                    <w:bCs/>
                  </w:rPr>
                </w:pPr>
              </w:p>
            </w:tc>
            <w:tc>
              <w:tcPr>
                <w:tcW w:w="6544" w:type="dxa"/>
                <w:vAlign w:val="center"/>
              </w:tcPr>
              <w:p>
                <w:pPr>
                  <w:spacing w:line="276" w:lineRule="auto"/>
                  <w:rPr>
                    <w:rFonts w:ascii="宋体" w:hAnsi="宋体" w:cs="黑体"/>
                  </w:rPr>
                </w:pPr>
                <w:r>
                  <w:rPr>
                    <w:rFonts w:hint="eastAsia" w:ascii="宋体" w:hAnsi="宋体" w:cs="黑体"/>
                  </w:rPr>
                  <w:t>根据各响应供应商拟派本项目的测评机构团队成员资质进行评审：</w:t>
                </w:r>
              </w:p>
              <w:p>
                <w:pPr>
                  <w:rPr>
                    <w:rFonts w:ascii="宋体" w:hAnsi="宋体" w:cs="黑体"/>
                  </w:rPr>
                </w:pPr>
                <w:r>
                  <w:rPr>
                    <w:rFonts w:ascii="宋体" w:hAnsi="宋体" w:cs="黑体"/>
                  </w:rPr>
                  <w:t>1</w:t>
                </w:r>
                <w:r>
                  <w:rPr>
                    <w:rFonts w:hint="eastAsia" w:ascii="宋体" w:hAnsi="宋体" w:cs="黑体"/>
                  </w:rPr>
                  <w:t>、项目测评人员：中级或以上等保测评师证书，，具有渗透测试工程师的相关证书，每类证书得</w:t>
                </w:r>
                <w:r>
                  <w:rPr>
                    <w:rFonts w:ascii="宋体" w:hAnsi="宋体" w:cs="黑体"/>
                  </w:rPr>
                  <w:t>1</w:t>
                </w:r>
                <w:r>
                  <w:rPr>
                    <w:rFonts w:hint="eastAsia" w:ascii="宋体" w:hAnsi="宋体" w:cs="黑体"/>
                  </w:rPr>
                  <w:t>分，</w:t>
                </w:r>
                <w:r>
                  <w:rPr>
                    <w:rFonts w:ascii="宋体" w:hAnsi="宋体" w:cs="黑体"/>
                  </w:rPr>
                  <w:t>最高得2</w:t>
                </w:r>
                <w:r>
                  <w:rPr>
                    <w:rFonts w:hint="eastAsia" w:ascii="宋体" w:hAnsi="宋体" w:cs="黑体"/>
                  </w:rPr>
                  <w:t xml:space="preserve">分； </w:t>
                </w:r>
                <w:r>
                  <w:rPr>
                    <w:rFonts w:hint="eastAsia" w:ascii="宋体" w:hAnsi="宋体" w:cs="黑体"/>
                  </w:rPr>
                  <w:br w:type="textWrapping"/>
                </w:r>
                <w:r>
                  <w:rPr>
                    <w:rFonts w:hint="eastAsia" w:ascii="宋体" w:hAnsi="宋体" w:cs="黑体"/>
                  </w:rPr>
                  <w:t>2、项目质量监督人员：中级或以上等保测评师证书，注册信息系统审计师（CISA）证书，每类证书得</w:t>
                </w:r>
                <w:r>
                  <w:rPr>
                    <w:rFonts w:ascii="宋体" w:hAnsi="宋体" w:cs="黑体"/>
                  </w:rPr>
                  <w:t>2</w:t>
                </w:r>
                <w:r>
                  <w:rPr>
                    <w:rFonts w:hint="eastAsia" w:ascii="宋体" w:hAnsi="宋体" w:cs="黑体"/>
                  </w:rPr>
                  <w:t>分，最高</w:t>
                </w:r>
                <w:r>
                  <w:rPr>
                    <w:rFonts w:ascii="宋体" w:hAnsi="宋体" w:cs="黑体"/>
                  </w:rPr>
                  <w:t>4</w:t>
                </w:r>
                <w:r>
                  <w:rPr>
                    <w:rFonts w:hint="eastAsia" w:ascii="宋体" w:hAnsi="宋体" w:cs="黑体"/>
                  </w:rPr>
                  <w:t>分；</w:t>
                </w:r>
              </w:p>
              <w:p>
                <w:pPr>
                  <w:rPr>
                    <w:rFonts w:ascii="宋体" w:hAnsi="宋体" w:cs="黑体"/>
                  </w:rPr>
                </w:pPr>
                <w:r>
                  <w:rPr>
                    <w:rFonts w:hint="eastAsia" w:ascii="宋体" w:hAnsi="宋体" w:cs="黑体"/>
                  </w:rPr>
                  <w:t>3、项目审核人员：初级或以上等保测评师证书，具有华为认证</w:t>
                </w:r>
                <w:r>
                  <w:rPr>
                    <w:rFonts w:hint="eastAsia" w:ascii="宋体" w:hAnsi="宋体" w:cs="宋体"/>
                    <w:sz w:val="24"/>
                    <w:szCs w:val="24"/>
                  </w:rPr>
                  <w:t>HCIE</w:t>
                </w:r>
                <w:r>
                  <w:rPr>
                    <w:rFonts w:hint="eastAsia" w:ascii="宋体" w:hAnsi="宋体" w:cs="黑体"/>
                  </w:rPr>
                  <w:t>工程师证书，每类证书得</w:t>
                </w:r>
                <w:r>
                  <w:rPr>
                    <w:rFonts w:ascii="宋体" w:hAnsi="宋体" w:cs="黑体"/>
                  </w:rPr>
                  <w:t>1</w:t>
                </w:r>
                <w:r>
                  <w:rPr>
                    <w:rFonts w:hint="eastAsia" w:ascii="宋体" w:hAnsi="宋体" w:cs="黑体"/>
                  </w:rPr>
                  <w:t>分，最高</w:t>
                </w:r>
                <w:r>
                  <w:rPr>
                    <w:rFonts w:ascii="宋体" w:hAnsi="宋体" w:cs="黑体"/>
                  </w:rPr>
                  <w:t>2</w:t>
                </w:r>
                <w:r>
                  <w:rPr>
                    <w:rFonts w:hint="eastAsia" w:ascii="宋体" w:hAnsi="宋体" w:cs="黑体"/>
                  </w:rPr>
                  <w:t>分；</w:t>
                </w:r>
              </w:p>
              <w:p>
                <w:pPr>
                  <w:rPr>
                    <w:rFonts w:ascii="宋体" w:hAnsi="宋体" w:cs="黑体"/>
                  </w:rPr>
                </w:pPr>
                <w:r>
                  <w:rPr>
                    <w:rFonts w:ascii="宋体" w:hAnsi="宋体" w:cs="黑体"/>
                  </w:rPr>
                  <w:t>4</w:t>
                </w:r>
                <w:r>
                  <w:rPr>
                    <w:rFonts w:hint="eastAsia" w:ascii="宋体" w:hAnsi="宋体" w:cs="黑体"/>
                  </w:rPr>
                  <w:t>、项目管理人员：初级或以上等保测评师证书，中级或以上信息系统项目管理师，每类证书得</w:t>
                </w:r>
                <w:r>
                  <w:rPr>
                    <w:rFonts w:ascii="宋体" w:hAnsi="宋体" w:cs="黑体"/>
                  </w:rPr>
                  <w:t>2</w:t>
                </w:r>
                <w:r>
                  <w:rPr>
                    <w:rFonts w:hint="eastAsia" w:ascii="宋体" w:hAnsi="宋体" w:cs="黑体"/>
                  </w:rPr>
                  <w:t>分，最高</w:t>
                </w:r>
                <w:r>
                  <w:rPr>
                    <w:rFonts w:ascii="宋体" w:hAnsi="宋体" w:cs="黑体"/>
                  </w:rPr>
                  <w:t>4</w:t>
                </w:r>
                <w:r>
                  <w:rPr>
                    <w:rFonts w:hint="eastAsia" w:ascii="宋体" w:hAnsi="宋体" w:cs="黑体"/>
                  </w:rPr>
                  <w:t>分。</w:t>
                </w:r>
              </w:p>
              <w:p>
                <w:pPr>
                  <w:pStyle w:val="4"/>
                  <w:spacing w:line="276" w:lineRule="auto"/>
                  <w:jc w:val="left"/>
                  <w:rPr>
                    <w:b/>
                  </w:rPr>
                </w:pPr>
                <w:r>
                  <w:rPr>
                    <w:rFonts w:hint="eastAsia" w:hAnsi="宋体" w:cs="黑体"/>
                  </w:rPr>
                  <w:t>注</w:t>
                </w:r>
                <w:r>
                  <w:rPr>
                    <w:rFonts w:hAnsi="宋体" w:cs="黑体"/>
                  </w:rPr>
                  <w:t>：</w:t>
                </w:r>
                <w:r>
                  <w:rPr>
                    <w:rFonts w:hint="eastAsia" w:hAnsi="宋体" w:cs="黑体"/>
                  </w:rPr>
                  <w:t>须提供相关人员证书复印件，同一</w:t>
                </w:r>
                <w:r>
                  <w:rPr>
                    <w:rFonts w:hAnsi="宋体" w:cs="黑体"/>
                  </w:rPr>
                  <w:t>人员证书不可重复计分</w:t>
                </w:r>
                <w:r>
                  <w:rPr>
                    <w:rFonts w:hint="eastAsia" w:hAnsi="宋体" w:cs="黑体"/>
                  </w:rPr>
                  <w:t>；所在单位任职佐证材料或所在单位缴纳近半年内（扣除发布采购公告当月往前顺推6个月）的任意一个月社保凭证等材料，不提供不得分。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05" w:type="dxa"/>
                <w:vAlign w:val="center"/>
              </w:tcPr>
              <w:p>
                <w:pPr>
                  <w:spacing w:line="276" w:lineRule="auto"/>
                  <w:jc w:val="center"/>
                  <w:rPr>
                    <w:rFonts w:ascii="宋体" w:hAnsi="宋体"/>
                  </w:rPr>
                </w:pPr>
                <w:r>
                  <w:rPr>
                    <w:rFonts w:hint="eastAsia" w:ascii="宋体" w:hAnsi="宋体"/>
                  </w:rPr>
                  <w:t>4</w:t>
                </w:r>
              </w:p>
            </w:tc>
            <w:tc>
              <w:tcPr>
                <w:tcW w:w="1500" w:type="dxa"/>
                <w:vAlign w:val="center"/>
              </w:tcPr>
              <w:p>
                <w:pPr>
                  <w:spacing w:line="276" w:lineRule="auto"/>
                  <w:jc w:val="center"/>
                  <w:rPr>
                    <w:rFonts w:ascii="宋体" w:hAnsi="宋体"/>
                    <w:b/>
                    <w:bCs/>
                  </w:rPr>
                </w:pPr>
                <w:r>
                  <w:rPr>
                    <w:rFonts w:hint="eastAsia" w:ascii="宋体" w:hAnsi="宋体"/>
                    <w:b/>
                    <w:bCs/>
                  </w:rPr>
                  <w:t>业绩分</w:t>
                </w:r>
              </w:p>
              <w:p>
                <w:pPr>
                  <w:spacing w:line="276" w:lineRule="auto"/>
                  <w:jc w:val="center"/>
                  <w:rPr>
                    <w:rFonts w:ascii="宋体" w:hAnsi="宋体"/>
                  </w:rPr>
                </w:pPr>
                <w:r>
                  <w:rPr>
                    <w:rFonts w:hint="eastAsia" w:ascii="宋体" w:hAnsi="宋体"/>
                    <w:b/>
                    <w:bCs/>
                  </w:rPr>
                  <w:t>（满分</w:t>
                </w:r>
                <w:r>
                  <w:rPr>
                    <w:rFonts w:hint="eastAsia" w:ascii="宋体" w:hAnsi="宋体"/>
                    <w:b/>
                    <w:bCs/>
                    <w:lang w:val="en-US" w:eastAsia="zh-CN"/>
                  </w:rPr>
                  <w:t>6</w:t>
                </w:r>
                <w:r>
                  <w:rPr>
                    <w:rFonts w:hint="eastAsia" w:ascii="宋体" w:hAnsi="宋体"/>
                    <w:b/>
                    <w:bCs/>
                  </w:rPr>
                  <w:t>分）</w:t>
                </w:r>
              </w:p>
            </w:tc>
            <w:tc>
              <w:tcPr>
                <w:tcW w:w="1523" w:type="dxa"/>
                <w:tcMar>
                  <w:left w:w="57" w:type="dxa"/>
                  <w:right w:w="57" w:type="dxa"/>
                </w:tcMar>
                <w:vAlign w:val="center"/>
              </w:tcPr>
              <w:p>
                <w:pPr>
                  <w:adjustRightInd w:val="0"/>
                  <w:spacing w:line="276" w:lineRule="auto"/>
                  <w:jc w:val="center"/>
                  <w:textAlignment w:val="baseline"/>
                  <w:rPr>
                    <w:rFonts w:ascii="宋体" w:hAnsi="宋体"/>
                    <w:bCs/>
                  </w:rPr>
                </w:pPr>
                <w:r>
                  <w:rPr>
                    <w:rFonts w:hint="eastAsia" w:ascii="宋体" w:hAnsi="宋体"/>
                    <w:bCs/>
                  </w:rPr>
                  <w:t>业绩分</w:t>
                </w:r>
              </w:p>
              <w:p>
                <w:pPr>
                  <w:adjustRightInd w:val="0"/>
                  <w:spacing w:line="276" w:lineRule="auto"/>
                  <w:jc w:val="center"/>
                  <w:textAlignment w:val="baseline"/>
                  <w:rPr>
                    <w:rFonts w:ascii="宋体" w:hAnsi="宋体"/>
                    <w:bCs/>
                  </w:rPr>
                </w:pPr>
                <w:r>
                  <w:rPr>
                    <w:rFonts w:ascii="宋体" w:hAnsi="宋体"/>
                    <w:bCs/>
                  </w:rPr>
                  <w:t>（</w:t>
                </w:r>
                <w:r>
                  <w:rPr>
                    <w:rFonts w:hint="eastAsia" w:ascii="宋体" w:hAnsi="宋体"/>
                    <w:bCs/>
                  </w:rPr>
                  <w:t>满分</w:t>
                </w:r>
                <w:r>
                  <w:rPr>
                    <w:rFonts w:hint="eastAsia" w:ascii="宋体" w:hAnsi="宋体"/>
                    <w:bCs/>
                    <w:lang w:val="en-US" w:eastAsia="zh-CN"/>
                  </w:rPr>
                  <w:t>6</w:t>
                </w:r>
                <w:r>
                  <w:rPr>
                    <w:rFonts w:hint="eastAsia" w:ascii="宋体" w:hAnsi="宋体"/>
                    <w:bCs/>
                  </w:rPr>
                  <w:t>分</w:t>
                </w:r>
                <w:r>
                  <w:rPr>
                    <w:rFonts w:ascii="宋体" w:hAnsi="宋体"/>
                    <w:bCs/>
                  </w:rPr>
                  <w:t>）</w:t>
                </w:r>
              </w:p>
            </w:tc>
            <w:tc>
              <w:tcPr>
                <w:tcW w:w="6544" w:type="dxa"/>
                <w:vAlign w:val="center"/>
              </w:tcPr>
              <w:p>
                <w:pPr>
                  <w:pStyle w:val="4"/>
                  <w:spacing w:line="276" w:lineRule="auto"/>
                  <w:ind w:firstLine="420"/>
                  <w:jc w:val="left"/>
                  <w:rPr>
                    <w:rFonts w:hAnsi="宋体"/>
                    <w:bCs/>
                  </w:rPr>
                </w:pPr>
                <w:r>
                  <w:rPr>
                    <w:rFonts w:hint="eastAsia" w:hAnsi="宋体"/>
                    <w:bCs/>
                  </w:rPr>
                  <w:t>竞价人自202</w:t>
                </w:r>
                <w:r>
                  <w:rPr>
                    <w:rFonts w:hAnsi="宋体"/>
                    <w:bCs/>
                  </w:rPr>
                  <w:t>1</w:t>
                </w:r>
                <w:r>
                  <w:rPr>
                    <w:rFonts w:hint="eastAsia" w:hAnsi="宋体"/>
                    <w:bCs/>
                  </w:rPr>
                  <w:t>年1月1日以来等保测评项目业绩证明(以项目合同复印件为准，要求加盖公章，如不提供资料或不按要求提供的不予加分)每提供一项得</w:t>
                </w:r>
                <w:r>
                  <w:rPr>
                    <w:rFonts w:hint="eastAsia" w:hAnsi="宋体"/>
                    <w:bCs/>
                    <w:lang w:val="en-US" w:eastAsia="zh-CN"/>
                  </w:rPr>
                  <w:t>2</w:t>
                </w:r>
                <w:r>
                  <w:rPr>
                    <w:rFonts w:hint="eastAsia" w:hAnsi="宋体"/>
                    <w:bCs/>
                  </w:rPr>
                  <w:t>分，最高</w:t>
                </w:r>
                <w:r>
                  <w:rPr>
                    <w:rFonts w:hint="eastAsia" w:hAnsi="宋体"/>
                    <w:bCs/>
                    <w:lang w:val="en-US" w:eastAsia="zh-CN"/>
                  </w:rPr>
                  <w:t>6</w:t>
                </w:r>
                <w:r>
                  <w:rPr>
                    <w:rFonts w:hint="eastAsia" w:hAnsi="宋体"/>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972" w:type="dxa"/>
                <w:gridSpan w:val="4"/>
                <w:vAlign w:val="center"/>
              </w:tcPr>
              <w:p>
                <w:pPr>
                  <w:pStyle w:val="4"/>
                  <w:spacing w:line="276" w:lineRule="auto"/>
                  <w:jc w:val="left"/>
                </w:pPr>
                <w:r>
                  <w:rPr>
                    <w:rFonts w:hint="eastAsia" w:hAnsi="宋体"/>
                    <w:b/>
                    <w:bCs/>
                  </w:rPr>
                  <w:t>总得分=1+2+3</w:t>
                </w:r>
                <w:r>
                  <w:rPr>
                    <w:rFonts w:hAnsi="宋体"/>
                    <w:b/>
                    <w:bCs/>
                  </w:rPr>
                  <w:t>+4</w:t>
                </w:r>
                <w:r>
                  <w:rPr>
                    <w:rFonts w:hint="eastAsia" w:hAnsi="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972" w:type="dxa"/>
                <w:gridSpan w:val="4"/>
                <w:vAlign w:val="center"/>
              </w:tcPr>
              <w:p>
                <w:pPr>
                  <w:pStyle w:val="4"/>
                  <w:spacing w:line="276" w:lineRule="auto"/>
                  <w:rPr>
                    <w:rFonts w:hAnsi="宋体"/>
                    <w:bCs/>
                  </w:rPr>
                </w:pPr>
              </w:p>
            </w:tc>
          </w:tr>
        </w:tbl>
      </w:sdtContent>
    </w:sdt>
    <w:p>
      <w:pPr>
        <w:pStyle w:val="13"/>
      </w:pPr>
    </w:p>
    <w:sectPr>
      <w:pgSz w:w="11906" w:h="16838"/>
      <w:pgMar w:top="1440" w:right="1800"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1E95"/>
    <w:rsid w:val="00095D83"/>
    <w:rsid w:val="000A6C18"/>
    <w:rsid w:val="000B7E2D"/>
    <w:rsid w:val="000E1AA6"/>
    <w:rsid w:val="000E6D35"/>
    <w:rsid w:val="001A3AE8"/>
    <w:rsid w:val="001B11B1"/>
    <w:rsid w:val="00204183"/>
    <w:rsid w:val="00241CD6"/>
    <w:rsid w:val="00247B82"/>
    <w:rsid w:val="002972B8"/>
    <w:rsid w:val="002C7944"/>
    <w:rsid w:val="003C3AB5"/>
    <w:rsid w:val="003E7DC1"/>
    <w:rsid w:val="00474079"/>
    <w:rsid w:val="004C7EB2"/>
    <w:rsid w:val="004D08F5"/>
    <w:rsid w:val="004D2825"/>
    <w:rsid w:val="004F5A76"/>
    <w:rsid w:val="005007DD"/>
    <w:rsid w:val="00513998"/>
    <w:rsid w:val="005D491D"/>
    <w:rsid w:val="00610CBC"/>
    <w:rsid w:val="00654BC6"/>
    <w:rsid w:val="00684BD7"/>
    <w:rsid w:val="006E5543"/>
    <w:rsid w:val="00707A97"/>
    <w:rsid w:val="00715B43"/>
    <w:rsid w:val="007774A7"/>
    <w:rsid w:val="007814EA"/>
    <w:rsid w:val="007A5910"/>
    <w:rsid w:val="007F6F70"/>
    <w:rsid w:val="008072B4"/>
    <w:rsid w:val="00825B15"/>
    <w:rsid w:val="008553F8"/>
    <w:rsid w:val="008A5DC5"/>
    <w:rsid w:val="008A69AC"/>
    <w:rsid w:val="008D3A6F"/>
    <w:rsid w:val="009530DC"/>
    <w:rsid w:val="00A11907"/>
    <w:rsid w:val="00A2105C"/>
    <w:rsid w:val="00A44D5C"/>
    <w:rsid w:val="00A829A6"/>
    <w:rsid w:val="00A83F43"/>
    <w:rsid w:val="00AC0EA5"/>
    <w:rsid w:val="00B8409A"/>
    <w:rsid w:val="00BA3521"/>
    <w:rsid w:val="00C33384"/>
    <w:rsid w:val="00C762C8"/>
    <w:rsid w:val="00C97AD7"/>
    <w:rsid w:val="00CC2DEE"/>
    <w:rsid w:val="00CD27A2"/>
    <w:rsid w:val="00D24130"/>
    <w:rsid w:val="00D2685D"/>
    <w:rsid w:val="00D41CB5"/>
    <w:rsid w:val="00D57065"/>
    <w:rsid w:val="00D92EA8"/>
    <w:rsid w:val="00DB5864"/>
    <w:rsid w:val="00DE4D51"/>
    <w:rsid w:val="00E14108"/>
    <w:rsid w:val="00E72BBE"/>
    <w:rsid w:val="00EB1C9B"/>
    <w:rsid w:val="00ED5546"/>
    <w:rsid w:val="03993E90"/>
    <w:rsid w:val="041316FB"/>
    <w:rsid w:val="0AB53355"/>
    <w:rsid w:val="0C8B0CD1"/>
    <w:rsid w:val="0C8B6EFD"/>
    <w:rsid w:val="0CAE1C2D"/>
    <w:rsid w:val="0CC05EEA"/>
    <w:rsid w:val="0CF62067"/>
    <w:rsid w:val="10C97A40"/>
    <w:rsid w:val="122B15C9"/>
    <w:rsid w:val="12CF692A"/>
    <w:rsid w:val="15D90028"/>
    <w:rsid w:val="17375337"/>
    <w:rsid w:val="197E5C0A"/>
    <w:rsid w:val="1AB14119"/>
    <w:rsid w:val="1F0C2535"/>
    <w:rsid w:val="1FF5205A"/>
    <w:rsid w:val="20407BC3"/>
    <w:rsid w:val="21FF1879"/>
    <w:rsid w:val="2218153E"/>
    <w:rsid w:val="238241FC"/>
    <w:rsid w:val="24B1410B"/>
    <w:rsid w:val="24EC650D"/>
    <w:rsid w:val="2546593C"/>
    <w:rsid w:val="25D6720D"/>
    <w:rsid w:val="260D7B7B"/>
    <w:rsid w:val="26431704"/>
    <w:rsid w:val="266C365A"/>
    <w:rsid w:val="29194E0D"/>
    <w:rsid w:val="2A251F29"/>
    <w:rsid w:val="2C7D5EC4"/>
    <w:rsid w:val="2E44559E"/>
    <w:rsid w:val="3194337D"/>
    <w:rsid w:val="34C447B5"/>
    <w:rsid w:val="36F866E1"/>
    <w:rsid w:val="3737378F"/>
    <w:rsid w:val="3806606D"/>
    <w:rsid w:val="397701BE"/>
    <w:rsid w:val="3A46288C"/>
    <w:rsid w:val="3C794178"/>
    <w:rsid w:val="3F8769CB"/>
    <w:rsid w:val="405728EC"/>
    <w:rsid w:val="41366ED0"/>
    <w:rsid w:val="41BF166E"/>
    <w:rsid w:val="42B40617"/>
    <w:rsid w:val="45191030"/>
    <w:rsid w:val="45A83EF3"/>
    <w:rsid w:val="4A504A9B"/>
    <w:rsid w:val="4EAF0F12"/>
    <w:rsid w:val="4F7F146C"/>
    <w:rsid w:val="4F9D5343"/>
    <w:rsid w:val="50DD1D25"/>
    <w:rsid w:val="52730525"/>
    <w:rsid w:val="54FD4788"/>
    <w:rsid w:val="565D1B35"/>
    <w:rsid w:val="56D91548"/>
    <w:rsid w:val="57D93A6B"/>
    <w:rsid w:val="5C8450CB"/>
    <w:rsid w:val="5C9C3F1C"/>
    <w:rsid w:val="5CFB672C"/>
    <w:rsid w:val="609415B5"/>
    <w:rsid w:val="615D53B0"/>
    <w:rsid w:val="617E74A3"/>
    <w:rsid w:val="62565A43"/>
    <w:rsid w:val="632D110E"/>
    <w:rsid w:val="63955374"/>
    <w:rsid w:val="64FB6417"/>
    <w:rsid w:val="650D23B7"/>
    <w:rsid w:val="677F6F32"/>
    <w:rsid w:val="67E4014C"/>
    <w:rsid w:val="6A513DD5"/>
    <w:rsid w:val="6A843074"/>
    <w:rsid w:val="6BE45FF6"/>
    <w:rsid w:val="6D313433"/>
    <w:rsid w:val="6DD0797D"/>
    <w:rsid w:val="71754026"/>
    <w:rsid w:val="72FD52CD"/>
    <w:rsid w:val="74B5471E"/>
    <w:rsid w:val="77E41C8F"/>
    <w:rsid w:val="77E80D46"/>
    <w:rsid w:val="77F76AF8"/>
    <w:rsid w:val="7C5A1D85"/>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Calibri" w:eastAsia="Calibri"/>
      <w:b/>
      <w:spacing w:val="-8"/>
      <w:sz w:val="44"/>
    </w:rPr>
  </w:style>
  <w:style w:type="paragraph" w:styleId="3">
    <w:name w:val="annotation text"/>
    <w:basedOn w:val="1"/>
    <w:link w:val="15"/>
    <w:qFormat/>
    <w:uiPriority w:val="99"/>
    <w:pPr>
      <w:jc w:val="left"/>
    </w:pPr>
  </w:style>
  <w:style w:type="paragraph" w:styleId="4">
    <w:name w:val="Plain Text"/>
    <w:basedOn w:val="1"/>
    <w:next w:val="1"/>
    <w:link w:val="17"/>
    <w:qFormat/>
    <w:uiPriority w:val="99"/>
    <w:rPr>
      <w:rFonts w:ascii="宋体" w:hAnsi="Courier New"/>
    </w:rPr>
  </w:style>
  <w:style w:type="paragraph" w:styleId="5">
    <w:name w:val="Date"/>
    <w:basedOn w:val="1"/>
    <w:next w:val="1"/>
    <w:qFormat/>
    <w:uiPriority w:val="0"/>
    <w:pPr>
      <w:ind w:left="100" w:leftChars="2500"/>
    </w:pPr>
    <w:rPr>
      <w:rFonts w:ascii="宋体" w:hAnsi="Courier New"/>
      <w:bCs/>
      <w:kern w:val="0"/>
      <w:sz w:val="24"/>
      <w:szCs w:val="20"/>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8"/>
    <w:semiHidden/>
    <w:qFormat/>
    <w:uiPriority w:val="99"/>
    <w:rPr>
      <w:rFonts w:ascii="Times New Roman" w:hAnsi="Times New Roman" w:eastAsia="宋体" w:cs="Times New Roman"/>
      <w:b/>
      <w:bCs/>
      <w:szCs w:val="21"/>
    </w:rPr>
  </w:style>
  <w:style w:type="character" w:customStyle="1" w:styleId="17">
    <w:name w:val="纯文本 Char"/>
    <w:basedOn w:val="11"/>
    <w:link w:val="4"/>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1"/>
    <w:link w:val="7"/>
    <w:qFormat/>
    <w:uiPriority w:val="99"/>
    <w:rPr>
      <w:rFonts w:ascii="Times New Roman" w:hAnsi="Times New Roman" w:eastAsia="宋体" w:cs="Times New Roman"/>
      <w:sz w:val="18"/>
      <w:szCs w:val="18"/>
    </w:rPr>
  </w:style>
  <w:style w:type="character" w:customStyle="1" w:styleId="21">
    <w:name w:val="页脚 Char"/>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11d388e6-f781-4c57-b58f-1cb3a84d6211}"/>
        <w:style w:val=""/>
        <w:category>
          <w:name w:val="常规"/>
          <w:gallery w:val="placeholder"/>
        </w:category>
        <w:types>
          <w:type w:val="bbPlcHdr"/>
        </w:types>
        <w:behaviors>
          <w:behavior w:val="content"/>
        </w:behaviors>
        <w:description w:val=""/>
        <w:guid w:val="{11D388E6-F781-4C57-B58F-1CB3A84D6211}"/>
      </w:docPartPr>
      <w:docPartBody>
        <w:p>
          <w:pPr>
            <w:pStyle w:val="7"/>
          </w:pPr>
          <w:r>
            <w:rPr>
              <w:rStyle w:val="4"/>
            </w:rPr>
            <w:t>单击或点击此处输入文字。</w:t>
          </w:r>
        </w:p>
      </w:docPartBody>
    </w:docPart>
    <w:docPart>
      <w:docPartPr>
        <w:name w:val="{e727d622-7e63-46b5-9dd5-09d1b4432eb8}"/>
        <w:style w:val=""/>
        <w:category>
          <w:name w:val="常规"/>
          <w:gallery w:val="placeholder"/>
        </w:category>
        <w:types>
          <w:type w:val="bbPlcHdr"/>
        </w:types>
        <w:behaviors>
          <w:behavior w:val="content"/>
        </w:behaviors>
        <w:description w:val=""/>
        <w:guid w:val="{e727d622-7e63-46b5-9dd5-09d1b4432eb8}"/>
      </w:docPartPr>
      <w:docPartBody>
        <w:p>
          <w:r>
            <w:rPr>
              <w:rStyle w:val="4"/>
            </w:rPr>
            <w:t>单击或点击此处输入文字。</w:t>
          </w:r>
        </w:p>
      </w:docPartBody>
    </w:docPart>
    <w:docPart>
      <w:docPartPr>
        <w:name w:val="{fc7e0f34-a7f8-4f89-ae17-f6529107140f}"/>
        <w:style w:val=""/>
        <w:category>
          <w:name w:val="常规"/>
          <w:gallery w:val="placeholder"/>
        </w:category>
        <w:types>
          <w:type w:val="bbPlcHdr"/>
        </w:types>
        <w:behaviors>
          <w:behavior w:val="content"/>
        </w:behaviors>
        <w:description w:val=""/>
        <w:guid w:val="{fc7e0f34-a7f8-4f89-ae17-f6529107140f}"/>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12938"/>
    <w:rsid w:val="001B2DBA"/>
    <w:rsid w:val="00473A59"/>
    <w:rsid w:val="0048475D"/>
    <w:rsid w:val="00486599"/>
    <w:rsid w:val="004A1262"/>
    <w:rsid w:val="005E4667"/>
    <w:rsid w:val="006125E7"/>
    <w:rsid w:val="007311C2"/>
    <w:rsid w:val="0080285A"/>
    <w:rsid w:val="008C6A66"/>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E099-66CE-4EA4-9BE2-B328C5923F7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860</Words>
  <Characters>4905</Characters>
  <Lines>40</Lines>
  <Paragraphs>11</Paragraphs>
  <TotalTime>0</TotalTime>
  <ScaleCrop>false</ScaleCrop>
  <LinksUpToDate>false</LinksUpToDate>
  <CharactersWithSpaces>5754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2023-08-24T06:32:00Z</dcterms:created>
  <dc:creator>c k</dc:creator>
  <cp:lastModifiedBy>日月星辰</cp:lastModifiedBy>
  <cp:lastPrinted>2021-01-18T07:59:00Z</cp:lastPrinted>
  <dcterms:modified xsi:type="dcterms:W3CDTF">2023-09-14T02:36:21Z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C2A2C921DB0A43EE84D20BA66015209A</vt:lpwstr>
  </property>
</Properties>
</file>