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3"/>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13"/>
        <w:ind w:left="-500" w:leftChars="-238" w:firstLine="420" w:firstLineChars="199"/>
        <w:rPr>
          <w:color w:val="FF0000"/>
          <w:sz w:val="21"/>
          <w:szCs w:val="21"/>
        </w:rPr>
      </w:pPr>
      <w:r>
        <w:rPr>
          <w:rFonts w:hint="eastAsia"/>
          <w:b/>
          <w:bCs/>
          <w:color w:val="FF0000"/>
          <w:sz w:val="21"/>
          <w:szCs w:val="21"/>
        </w:rPr>
        <w:t>＃部分为重要指标</w:t>
      </w:r>
      <w:r>
        <w:rPr>
          <w:rFonts w:hint="eastAsia"/>
          <w:color w:val="FF0000"/>
          <w:sz w:val="21"/>
          <w:szCs w:val="21"/>
        </w:rPr>
        <w:t>：优于（正偏离）该条件则评审时加分；</w:t>
      </w:r>
    </w:p>
    <w:p>
      <w:pPr>
        <w:pStyle w:val="13"/>
        <w:keepNext w:val="0"/>
        <w:keepLines w:val="0"/>
        <w:pageBreakBefore w:val="0"/>
        <w:kinsoku/>
        <w:wordWrap/>
        <w:overflowPunct/>
        <w:topLinePunct w:val="0"/>
        <w:bidi w:val="0"/>
        <w:snapToGrid/>
        <w:ind w:left="0" w:leftChars="0"/>
        <w:textAlignment w:val="auto"/>
        <w:rPr>
          <w:rFonts w:cs="宋体"/>
          <w:b/>
          <w:bCs/>
          <w:sz w:val="28"/>
          <w:szCs w:val="28"/>
        </w:rPr>
      </w:pPr>
      <w:r>
        <w:rPr>
          <w:rFonts w:hint="eastAsia" w:cs="宋体"/>
          <w:b/>
          <w:bCs/>
          <w:sz w:val="28"/>
          <w:szCs w:val="28"/>
        </w:rPr>
        <w:t>一、采购清单、技术规格参数、质量标准和要求</w:t>
      </w:r>
    </w:p>
    <w:p>
      <w:pPr>
        <w:pStyle w:val="13"/>
        <w:keepNext w:val="0"/>
        <w:keepLines w:val="0"/>
        <w:pageBreakBefore w:val="0"/>
        <w:kinsoku/>
        <w:wordWrap/>
        <w:overflowPunct/>
        <w:topLinePunct w:val="0"/>
        <w:bidi w:val="0"/>
        <w:snapToGrid/>
        <w:ind w:left="0" w:leftChars="0"/>
        <w:textAlignment w:val="auto"/>
        <w:rPr>
          <w:rFonts w:hint="default" w:eastAsia="宋体"/>
          <w:b/>
          <w:bCs/>
          <w:lang w:val="en-US" w:eastAsia="zh-CN"/>
        </w:rPr>
      </w:pPr>
      <w:r>
        <w:rPr>
          <w:rFonts w:hint="eastAsia" w:cs="宋体"/>
          <w:b/>
          <w:bCs/>
        </w:rPr>
        <w:t>（一）采购清单</w:t>
      </w:r>
      <w:r>
        <w:rPr>
          <w:b/>
          <w:bCs/>
        </w:rPr>
        <w:t> </w:t>
      </w:r>
      <w:r>
        <w:rPr>
          <w:rFonts w:hint="eastAsia"/>
          <w:b/>
          <w:bCs/>
          <w:color w:val="FF0000"/>
          <w:sz w:val="21"/>
          <w:szCs w:val="21"/>
        </w:rPr>
        <w:t>★</w:t>
      </w:r>
    </w:p>
    <w:tbl>
      <w:tblPr>
        <w:tblStyle w:val="9"/>
        <w:tblW w:w="9255" w:type="dxa"/>
        <w:jc w:val="center"/>
        <w:tblLayout w:type="fixed"/>
        <w:tblCellMar>
          <w:top w:w="0" w:type="dxa"/>
          <w:left w:w="108" w:type="dxa"/>
          <w:bottom w:w="0" w:type="dxa"/>
          <w:right w:w="108" w:type="dxa"/>
        </w:tblCellMar>
      </w:tblPr>
      <w:tblGrid>
        <w:gridCol w:w="630"/>
        <w:gridCol w:w="2955"/>
        <w:gridCol w:w="915"/>
        <w:gridCol w:w="1110"/>
        <w:gridCol w:w="1320"/>
        <w:gridCol w:w="1785"/>
        <w:gridCol w:w="540"/>
      </w:tblGrid>
      <w:tr>
        <w:tblPrEx>
          <w:tblCellMar>
            <w:top w:w="0" w:type="dxa"/>
            <w:left w:w="108" w:type="dxa"/>
            <w:bottom w:w="0" w:type="dxa"/>
            <w:right w:w="108" w:type="dxa"/>
          </w:tblCellMar>
        </w:tblPrEx>
        <w:trPr>
          <w:trHeight w:val="480" w:hRule="atLeast"/>
          <w:jc w:val="center"/>
        </w:trPr>
        <w:tc>
          <w:tcPr>
            <w:tcW w:w="9255" w:type="dxa"/>
            <w:gridSpan w:val="7"/>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Tahoma" w:hAnsi="Tahoma" w:eastAsia="Tahoma" w:cs="Tahoma"/>
                <w:color w:val="000000"/>
                <w:sz w:val="24"/>
                <w:szCs w:val="24"/>
              </w:rPr>
            </w:pPr>
            <w:r>
              <w:rPr>
                <w:rFonts w:hint="eastAsia" w:ascii="宋体" w:hAnsi="宋体" w:cs="宋体"/>
                <w:color w:val="000000"/>
                <w:kern w:val="0"/>
                <w:sz w:val="24"/>
                <w:szCs w:val="24"/>
                <w:lang w:bidi="ar"/>
              </w:rPr>
              <w:t>项目名称：2023年度医院建筑消防设施维保服务项目（外科楼、后勤楼、内科楼）</w:t>
            </w:r>
          </w:p>
        </w:tc>
      </w:tr>
      <w:tr>
        <w:tblPrEx>
          <w:tblCellMar>
            <w:top w:w="0" w:type="dxa"/>
            <w:left w:w="108" w:type="dxa"/>
            <w:bottom w:w="0" w:type="dxa"/>
            <w:right w:w="108" w:type="dxa"/>
          </w:tblCellMar>
        </w:tblPrEx>
        <w:trPr>
          <w:trHeight w:val="480" w:hRule="atLeast"/>
          <w:jc w:val="center"/>
        </w:trPr>
        <w:tc>
          <w:tcPr>
            <w:tcW w:w="56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建筑概况：门诊外科综合大楼，地下一层地上23层</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建筑面积/㎡：</w:t>
            </w:r>
            <w:r>
              <w:rPr>
                <w:rFonts w:ascii="Tahoma" w:hAnsi="Tahoma" w:eastAsia="Tahoma" w:cs="Tahoma"/>
                <w:color w:val="000000"/>
                <w:kern w:val="0"/>
                <w:sz w:val="24"/>
                <w:szCs w:val="24"/>
                <w:lang w:bidi="ar"/>
              </w:rPr>
              <w:t>44890.82</w:t>
            </w:r>
          </w:p>
        </w:tc>
      </w:tr>
      <w:tr>
        <w:tblPrEx>
          <w:tblCellMar>
            <w:top w:w="0" w:type="dxa"/>
            <w:left w:w="108" w:type="dxa"/>
            <w:bottom w:w="0" w:type="dxa"/>
            <w:right w:w="108" w:type="dxa"/>
          </w:tblCellMar>
        </w:tblPrEx>
        <w:trPr>
          <w:trHeight w:val="142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系统名称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工程量</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单方费用</w:t>
            </w:r>
          </w:p>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小计费用</w:t>
            </w:r>
          </w:p>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（元/㎡，建筑面积*单方费用*工程量）</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消防供配电</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消防供水设施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火灾自动报警系统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室内外消火栓系统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灭火器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自动喷淋系统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气体灭火系统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0.02</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应急照明及疏散指示标志</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应急广播系统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消防通讯</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消防电梯</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消防分隔设施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机械送风系统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机械排烟系统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年度测试费用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467" w:hRule="atLeast"/>
          <w:jc w:val="center"/>
        </w:trPr>
        <w:tc>
          <w:tcPr>
            <w:tcW w:w="56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建筑概况：内科楼，地上11层。</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建筑面积/㎡：</w:t>
            </w:r>
            <w:r>
              <w:rPr>
                <w:rFonts w:hint="eastAsia" w:ascii="Tahoma" w:hAnsi="Tahoma" w:eastAsia="Tahoma" w:cs="Tahoma"/>
                <w:color w:val="000000"/>
                <w:kern w:val="0"/>
                <w:sz w:val="24"/>
                <w:szCs w:val="24"/>
                <w:lang w:bidi="ar"/>
              </w:rPr>
              <w:t>10280.10</w:t>
            </w: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序号</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系统名称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工程量</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单方费用</w:t>
            </w:r>
          </w:p>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（元/㎡）</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小计费用</w:t>
            </w:r>
          </w:p>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（元/㎡，建筑面积*单方费用*工程量）</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消防供配电</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18</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消防供水设施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火灾自动报警系统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室内外消火栓系统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灭火器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应急照明及疏散指示标志</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应急广播系统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自动喷淋系统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消防分隔设施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26</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机械排烟系统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年度测试费用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rPr>
                <w:rFonts w:ascii="宋体" w:hAnsi="宋体" w:cs="宋体"/>
                <w:color w:val="000000"/>
                <w:sz w:val="24"/>
                <w:szCs w:val="24"/>
              </w:rPr>
            </w:pPr>
          </w:p>
        </w:tc>
      </w:tr>
      <w:tr>
        <w:tblPrEx>
          <w:tblCellMar>
            <w:top w:w="0" w:type="dxa"/>
            <w:left w:w="108" w:type="dxa"/>
            <w:bottom w:w="0" w:type="dxa"/>
            <w:right w:w="108" w:type="dxa"/>
          </w:tblCellMar>
        </w:tblPrEx>
        <w:trPr>
          <w:trHeight w:val="542" w:hRule="atLeast"/>
          <w:jc w:val="center"/>
        </w:trPr>
        <w:tc>
          <w:tcPr>
            <w:tcW w:w="5610" w:type="dxa"/>
            <w:gridSpan w:val="4"/>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建筑概况：后勤综合楼，地上9层，</w:t>
            </w:r>
          </w:p>
        </w:tc>
        <w:tc>
          <w:tcPr>
            <w:tcW w:w="3645"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建筑面积/㎡：</w:t>
            </w:r>
            <w:r>
              <w:rPr>
                <w:rFonts w:hint="eastAsia" w:ascii="Tahoma" w:hAnsi="Tahoma" w:eastAsia="Tahoma" w:cs="Tahoma"/>
                <w:color w:val="000000"/>
                <w:kern w:val="0"/>
                <w:sz w:val="24"/>
                <w:szCs w:val="24"/>
                <w:lang w:bidi="ar"/>
              </w:rPr>
              <w:t>1756</w:t>
            </w: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序号</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系统名称</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工程量</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单方费用</w:t>
            </w:r>
          </w:p>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（元/㎡）</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bidi="ar"/>
              </w:rPr>
              <w:t>小计费用</w:t>
            </w:r>
          </w:p>
          <w:p>
            <w:pPr>
              <w:widowControl/>
              <w:spacing w:line="280" w:lineRule="exact"/>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（元/㎡，建筑面积*单方费用*工程量）</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2"/>
                <w:szCs w:val="22"/>
                <w:lang w:bidi="ar"/>
              </w:rPr>
            </w:pPr>
            <w:r>
              <w:rPr>
                <w:rFonts w:hint="eastAsia" w:ascii="宋体" w:hAnsi="宋体" w:cs="宋体"/>
                <w:color w:val="000000"/>
                <w:kern w:val="0"/>
                <w:sz w:val="24"/>
                <w:szCs w:val="24"/>
                <w:lang w:bidi="ar"/>
              </w:rPr>
              <w:t>消防供配电</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30</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消防供水设施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31</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火灾自动报警系统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32</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室内外消火栓系统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灭火器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34</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自动喷淋系统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35</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气体灭火系统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0.33</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应急照明及疏散指示标志</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应急广播系统</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消防分隔设施</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r>
        <w:tblPrEx>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39</w:t>
            </w:r>
          </w:p>
        </w:tc>
        <w:tc>
          <w:tcPr>
            <w:tcW w:w="295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sz w:val="24"/>
                <w:szCs w:val="24"/>
              </w:rPr>
            </w:pPr>
            <w:r>
              <w:rPr>
                <w:rFonts w:hint="eastAsia" w:ascii="宋体" w:hAnsi="宋体" w:cs="宋体"/>
                <w:color w:val="000000"/>
                <w:kern w:val="0"/>
                <w:sz w:val="24"/>
                <w:szCs w:val="24"/>
                <w:lang w:bidi="ar"/>
              </w:rPr>
              <w:t>年度测试费用</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1</w:t>
            </w:r>
          </w:p>
        </w:tc>
        <w:tc>
          <w:tcPr>
            <w:tcW w:w="132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1785"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0.00</w:t>
            </w:r>
          </w:p>
        </w:tc>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ascii="宋体" w:hAnsi="宋体" w:cs="宋体"/>
                <w:color w:val="000000"/>
                <w:kern w:val="0"/>
                <w:sz w:val="24"/>
                <w:szCs w:val="24"/>
                <w:lang w:bidi="ar"/>
              </w:rPr>
            </w:pPr>
          </w:p>
        </w:tc>
      </w:tr>
    </w:tbl>
    <w:p>
      <w:pPr>
        <w:pStyle w:val="13"/>
        <w:keepNext w:val="0"/>
        <w:keepLines w:val="0"/>
        <w:pageBreakBefore w:val="0"/>
        <w:kinsoku/>
        <w:wordWrap/>
        <w:overflowPunct/>
        <w:topLinePunct w:val="0"/>
        <w:bidi w:val="0"/>
        <w:snapToGrid/>
        <w:ind w:left="0" w:leftChars="0"/>
        <w:textAlignment w:val="auto"/>
        <w:rPr>
          <w:rFonts w:hint="default" w:eastAsia="宋体"/>
          <w:b/>
          <w:bCs/>
          <w:lang w:val="en-US" w:eastAsia="zh-CN"/>
        </w:rPr>
      </w:pPr>
    </w:p>
    <w:p>
      <w:pPr>
        <w:pStyle w:val="13"/>
        <w:keepNext w:val="0"/>
        <w:keepLines w:val="0"/>
        <w:pageBreakBefore w:val="0"/>
        <w:kinsoku/>
        <w:wordWrap/>
        <w:overflowPunct/>
        <w:topLinePunct w:val="0"/>
        <w:bidi w:val="0"/>
        <w:snapToGrid/>
        <w:ind w:left="0" w:leftChars="0"/>
        <w:textAlignment w:val="auto"/>
        <w:rPr>
          <w:rFonts w:cs="宋体"/>
          <w:b/>
          <w:bCs/>
        </w:rPr>
      </w:pPr>
      <w:r>
        <w:rPr>
          <w:rFonts w:hint="eastAsia" w:cs="宋体"/>
          <w:b/>
          <w:bCs/>
          <w:lang w:eastAsia="zh-CN"/>
        </w:rPr>
        <w:t>（二）</w:t>
      </w:r>
      <w:r>
        <w:rPr>
          <w:rFonts w:hint="eastAsia" w:cs="宋体"/>
          <w:b/>
          <w:bCs/>
        </w:rPr>
        <w:t>维保服务内容</w:t>
      </w:r>
      <w:r>
        <w:rPr>
          <w:rFonts w:hint="eastAsia"/>
          <w:b/>
          <w:bCs/>
          <w:color w:val="FF0000"/>
          <w:sz w:val="21"/>
          <w:szCs w:val="21"/>
          <w:u w:val="single"/>
        </w:rPr>
        <w:t>★</w:t>
      </w:r>
    </w:p>
    <w:p>
      <w:pPr>
        <w:spacing w:line="276" w:lineRule="auto"/>
        <w:ind w:firstLine="482" w:firstLineChars="200"/>
        <w:outlineLvl w:val="0"/>
        <w:rPr>
          <w:rFonts w:ascii="宋体" w:hAnsi="宋体"/>
          <w:color w:val="000000"/>
          <w:kern w:val="0"/>
          <w:sz w:val="24"/>
          <w:szCs w:val="24"/>
        </w:rPr>
      </w:pPr>
      <w:r>
        <w:rPr>
          <w:rFonts w:hint="eastAsia" w:ascii="宋体" w:hAnsi="宋体"/>
          <w:b/>
          <w:bCs/>
          <w:color w:val="000000"/>
          <w:kern w:val="0"/>
          <w:sz w:val="24"/>
          <w:szCs w:val="24"/>
          <w:u w:val="single"/>
        </w:rPr>
        <w:t>医院建筑消防设施维保服务项目内容及要求包含但不限于下列内容且属于核心参数</w:t>
      </w:r>
      <w:r>
        <w:rPr>
          <w:rFonts w:hint="eastAsia"/>
          <w:b/>
          <w:bCs/>
          <w:color w:val="FF0000"/>
          <w:u w:val="single"/>
        </w:rPr>
        <w:t>★</w:t>
      </w:r>
      <w:r>
        <w:rPr>
          <w:rFonts w:hint="eastAsia" w:ascii="宋体" w:hAnsi="宋体"/>
          <w:color w:val="000000"/>
          <w:kern w:val="0"/>
          <w:sz w:val="24"/>
          <w:szCs w:val="24"/>
        </w:rPr>
        <w:t>，必须符合《GB》《广西建筑消防设施维护保养操作规程》等消防技术标准规定相关条款要求</w:t>
      </w:r>
    </w:p>
    <w:p>
      <w:pPr>
        <w:spacing w:line="276" w:lineRule="auto"/>
        <w:outlineLvl w:val="0"/>
        <w:rPr>
          <w:rFonts w:ascii="宋体" w:hAnsi="宋体"/>
          <w:b/>
          <w:color w:val="000000"/>
          <w:kern w:val="0"/>
          <w:sz w:val="24"/>
          <w:szCs w:val="24"/>
        </w:rPr>
      </w:pPr>
      <w:r>
        <w:rPr>
          <w:rFonts w:hint="eastAsia" w:ascii="宋体" w:hAnsi="宋体"/>
          <w:b/>
          <w:color w:val="000000"/>
          <w:kern w:val="0"/>
          <w:sz w:val="24"/>
          <w:szCs w:val="24"/>
        </w:rPr>
        <w:t>第一节  消防控制室及火灾报警控制器</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每月对消防控制室值班人员进行控制器操作培训，如：开机、关机与自检、出现火警信息时、隔离与取消隔离操作、手自动转换设置、打印设置、复位操作、常见故障原因及处理内容如下：</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开机、关机与自检</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用户使用本系统时应按以下顺序进行开机操作：</w:t>
      </w:r>
    </w:p>
    <w:p>
      <w:pPr>
        <w:numPr>
          <w:ilvl w:val="0"/>
          <w:numId w:val="1"/>
        </w:numPr>
        <w:spacing w:line="276" w:lineRule="auto"/>
        <w:ind w:firstLine="240" w:firstLineChars="100"/>
        <w:outlineLvl w:val="0"/>
        <w:rPr>
          <w:rFonts w:hint="eastAsia" w:ascii="宋体" w:hAnsi="宋体" w:eastAsia="宋体" w:cs="宋体"/>
          <w:color w:val="000000"/>
          <w:kern w:val="0"/>
          <w:sz w:val="24"/>
          <w:szCs w:val="24"/>
        </w:rPr>
      </w:pPr>
      <w:bookmarkStart w:id="0" w:name="_Toc418150091"/>
      <w:bookmarkStart w:id="1" w:name="_Toc418150461"/>
      <w:r>
        <w:rPr>
          <w:rFonts w:hint="eastAsia" w:ascii="宋体" w:hAnsi="宋体" w:eastAsia="宋体" w:cs="宋体"/>
          <w:color w:val="000000"/>
          <w:kern w:val="0"/>
          <w:sz w:val="24"/>
          <w:szCs w:val="24"/>
        </w:rPr>
        <w:t>打开联动电源和火灾显示盘电源的主备电开关</w:t>
      </w:r>
      <w:bookmarkEnd w:id="0"/>
      <w:bookmarkEnd w:id="1"/>
      <w:r>
        <w:rPr>
          <w:rFonts w:hint="eastAsia" w:ascii="宋体" w:hAnsi="宋体" w:eastAsia="宋体" w:cs="宋体"/>
          <w:color w:val="000000"/>
          <w:kern w:val="0"/>
          <w:sz w:val="24"/>
          <w:szCs w:val="24"/>
        </w:rPr>
        <w:t>。</w:t>
      </w:r>
    </w:p>
    <w:p>
      <w:pPr>
        <w:numPr>
          <w:ilvl w:val="0"/>
          <w:numId w:val="1"/>
        </w:numPr>
        <w:spacing w:line="276" w:lineRule="auto"/>
        <w:ind w:firstLine="240" w:firstLineChars="100"/>
        <w:outlineLvl w:val="0"/>
        <w:rPr>
          <w:rFonts w:hint="eastAsia" w:ascii="宋体" w:hAnsi="宋体" w:eastAsia="宋体" w:cs="宋体"/>
          <w:color w:val="000000"/>
          <w:kern w:val="0"/>
          <w:sz w:val="24"/>
          <w:szCs w:val="24"/>
        </w:rPr>
      </w:pPr>
      <w:bookmarkStart w:id="2" w:name="_Toc418150092"/>
      <w:bookmarkStart w:id="3" w:name="_Toc418150462"/>
      <w:r>
        <w:rPr>
          <w:rFonts w:hint="eastAsia" w:ascii="宋体" w:hAnsi="宋体" w:eastAsia="宋体" w:cs="宋体"/>
          <w:color w:val="000000"/>
          <w:kern w:val="0"/>
          <w:sz w:val="24"/>
          <w:szCs w:val="24"/>
        </w:rPr>
        <w:t>打开控制盘的主备电开关</w:t>
      </w:r>
      <w:bookmarkEnd w:id="2"/>
      <w:bookmarkEnd w:id="3"/>
      <w:r>
        <w:rPr>
          <w:rFonts w:hint="eastAsia" w:ascii="宋体" w:hAnsi="宋体" w:eastAsia="宋体" w:cs="宋体"/>
          <w:color w:val="000000"/>
          <w:kern w:val="0"/>
          <w:sz w:val="24"/>
          <w:szCs w:val="24"/>
        </w:rPr>
        <w:t>。</w:t>
      </w:r>
    </w:p>
    <w:p>
      <w:pPr>
        <w:numPr>
          <w:ilvl w:val="0"/>
          <w:numId w:val="1"/>
        </w:numPr>
        <w:spacing w:line="276" w:lineRule="auto"/>
        <w:ind w:firstLine="240" w:firstLineChars="100"/>
        <w:outlineLvl w:val="0"/>
        <w:rPr>
          <w:rFonts w:hint="eastAsia" w:ascii="宋体" w:hAnsi="宋体" w:eastAsia="宋体" w:cs="宋体"/>
          <w:color w:val="000000"/>
          <w:kern w:val="0"/>
          <w:sz w:val="24"/>
          <w:szCs w:val="24"/>
        </w:rPr>
      </w:pPr>
      <w:bookmarkStart w:id="4" w:name="_Toc418150463"/>
      <w:bookmarkStart w:id="5" w:name="_Toc418150093"/>
      <w:r>
        <w:rPr>
          <w:rFonts w:hint="eastAsia" w:ascii="宋体" w:hAnsi="宋体" w:eastAsia="宋体" w:cs="宋体"/>
          <w:color w:val="000000"/>
          <w:kern w:val="0"/>
          <w:sz w:val="24"/>
          <w:szCs w:val="24"/>
        </w:rPr>
        <w:t>打开控制盘的工作开关</w:t>
      </w:r>
      <w:bookmarkEnd w:id="4"/>
      <w:bookmarkEnd w:id="5"/>
      <w:r>
        <w:rPr>
          <w:rFonts w:hint="eastAsia" w:ascii="宋体" w:hAnsi="宋体" w:eastAsia="宋体" w:cs="宋体"/>
          <w:color w:val="000000"/>
          <w:kern w:val="0"/>
          <w:sz w:val="24"/>
          <w:szCs w:val="24"/>
        </w:rPr>
        <w:t>。</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完成以上操作后，系统上电进入自动检查状态：</w:t>
      </w:r>
    </w:p>
    <w:p>
      <w:pPr>
        <w:numPr>
          <w:ilvl w:val="0"/>
          <w:numId w:val="2"/>
        </w:numPr>
        <w:spacing w:line="276" w:lineRule="auto"/>
        <w:ind w:firstLine="240" w:firstLineChars="100"/>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控制盘提示系统处于自检状态。</w:t>
      </w:r>
    </w:p>
    <w:p>
      <w:pPr>
        <w:numPr>
          <w:ilvl w:val="0"/>
          <w:numId w:val="2"/>
        </w:numPr>
        <w:spacing w:line="276" w:lineRule="auto"/>
        <w:ind w:firstLine="240" w:firstLineChars="100"/>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提示授权状态。</w:t>
      </w:r>
    </w:p>
    <w:p>
      <w:pPr>
        <w:numPr>
          <w:ilvl w:val="0"/>
          <w:numId w:val="2"/>
        </w:numPr>
        <w:spacing w:line="276" w:lineRule="auto"/>
        <w:ind w:firstLine="240" w:firstLineChars="100"/>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显示打印机信息。</w:t>
      </w:r>
    </w:p>
    <w:p>
      <w:pPr>
        <w:numPr>
          <w:ilvl w:val="0"/>
          <w:numId w:val="2"/>
        </w:numPr>
        <w:spacing w:line="276" w:lineRule="auto"/>
        <w:ind w:firstLine="240" w:firstLineChars="100"/>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自动检测键盘、指示灯、数码管、液晶屏幕及声音。</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自检完毕后，开机过程结束，系统进入正常监控状态。主机键盘上设有“自检”键，按下此键后系统将进行和开机时相同的声光检查。</w:t>
      </w:r>
    </w:p>
    <w:p>
      <w:pPr>
        <w:spacing w:line="276" w:lineRule="auto"/>
        <w:outlineLvl w:val="0"/>
        <w:rPr>
          <w:rFonts w:hint="eastAsia" w:ascii="宋体" w:hAnsi="宋体" w:eastAsia="宋体" w:cs="宋体"/>
          <w:color w:val="000000"/>
          <w:kern w:val="0"/>
          <w:sz w:val="24"/>
          <w:szCs w:val="24"/>
        </w:rPr>
      </w:pPr>
      <w:bookmarkStart w:id="6" w:name="_Toc418150095"/>
      <w:bookmarkStart w:id="7" w:name="_Toc418150465"/>
      <w:r>
        <w:rPr>
          <w:rFonts w:hint="eastAsia" w:ascii="宋体" w:hAnsi="宋体" w:eastAsia="宋体" w:cs="宋体"/>
          <w:color w:val="000000"/>
          <w:kern w:val="0"/>
          <w:sz w:val="24"/>
          <w:szCs w:val="24"/>
        </w:rPr>
        <w:t>关机过程按照与开机时相反的顺序关掉各开关即可。要注意各个备电开关一定要关掉，否则，将有损坏电池的可能。</w:t>
      </w:r>
      <w:bookmarkEnd w:id="6"/>
      <w:bookmarkEnd w:id="7"/>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出现火警信息时</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按“消音”键，然后确认现场是否有火情，如有火情按预定方案灭火，如无火情确认误报原因并记录。如不能独立处理，可暂时隔离设备，并及时与我公司联系。</w:t>
      </w:r>
      <w:bookmarkStart w:id="8" w:name="_Toc429392833"/>
      <w:bookmarkStart w:id="9" w:name="_Toc455900990"/>
      <w:bookmarkStart w:id="10" w:name="_Toc430149989"/>
      <w:bookmarkStart w:id="11" w:name="_Toc429812069"/>
      <w:bookmarkStart w:id="12" w:name="_Toc35238712"/>
      <w:bookmarkStart w:id="13" w:name="_Toc432308312"/>
      <w:bookmarkStart w:id="14" w:name="_Toc418154122"/>
      <w:bookmarkStart w:id="15" w:name="_Toc455900421"/>
      <w:bookmarkStart w:id="16" w:name="_Toc431713953"/>
      <w:bookmarkStart w:id="17" w:name="_Toc502378854"/>
      <w:bookmarkStart w:id="18" w:name="_Toc427998078"/>
    </w:p>
    <w:p>
      <w:pPr>
        <w:spacing w:line="276" w:lineRule="auto"/>
        <w:outlineLvl w:val="0"/>
        <w:rPr>
          <w:rFonts w:hint="eastAsia" w:ascii="宋体" w:hAnsi="宋体" w:eastAsia="宋体" w:cs="宋体"/>
          <w:color w:val="000000"/>
          <w:kern w:val="0"/>
          <w:sz w:val="24"/>
          <w:szCs w:val="24"/>
        </w:rPr>
      </w:pPr>
      <w:bookmarkStart w:id="19" w:name="_Toc399603288"/>
      <w:bookmarkStart w:id="20" w:name="_Toc399600335"/>
      <w:bookmarkStart w:id="21" w:name="_Toc399674234"/>
      <w:bookmarkStart w:id="22" w:name="_Toc399674389"/>
      <w:bookmarkStart w:id="23" w:name="_Toc399603162"/>
      <w:bookmarkStart w:id="24" w:name="_Toc399602871"/>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培训与取消隔离操作</w:t>
      </w:r>
      <w:bookmarkEnd w:id="19"/>
      <w:bookmarkEnd w:id="20"/>
      <w:bookmarkEnd w:id="21"/>
      <w:bookmarkEnd w:id="22"/>
      <w:bookmarkEnd w:id="23"/>
      <w:bookmarkEnd w:id="24"/>
      <w:r>
        <w:rPr>
          <w:rFonts w:hint="eastAsia" w:ascii="宋体" w:hAnsi="宋体" w:eastAsia="宋体" w:cs="宋体"/>
          <w:color w:val="000000"/>
          <w:kern w:val="0"/>
          <w:sz w:val="24"/>
          <w:szCs w:val="24"/>
        </w:rPr>
        <w:t>、转换设置</w:t>
      </w:r>
      <w:bookmarkEnd w:id="8"/>
      <w:bookmarkEnd w:id="9"/>
      <w:bookmarkEnd w:id="10"/>
      <w:bookmarkEnd w:id="11"/>
      <w:bookmarkEnd w:id="12"/>
      <w:bookmarkEnd w:id="13"/>
      <w:bookmarkEnd w:id="14"/>
      <w:bookmarkEnd w:id="15"/>
      <w:bookmarkEnd w:id="16"/>
      <w:bookmarkEnd w:id="17"/>
      <w:bookmarkEnd w:id="18"/>
      <w:bookmarkStart w:id="25" w:name="_Toc418150501"/>
      <w:bookmarkStart w:id="26" w:name="_Toc418150147"/>
      <w:r>
        <w:rPr>
          <w:rFonts w:hint="eastAsia" w:ascii="宋体" w:hAnsi="宋体" w:eastAsia="宋体" w:cs="宋体"/>
          <w:color w:val="000000"/>
          <w:kern w:val="0"/>
          <w:sz w:val="24"/>
          <w:szCs w:val="24"/>
        </w:rPr>
        <w:t>、设置、修改时间、复位操作。</w:t>
      </w:r>
    </w:p>
    <w:bookmarkEnd w:id="25"/>
    <w:bookmarkEnd w:id="26"/>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常见故障原因及处理</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故障一般可分为两类，一类为主控系统故障，如主备电故障、总线故障等；另一类是现场设备故障，如探测器故障、模块故障等。故障发生时，可按“消音”键中止故障警报声。若主电掉电，采用备电供电，应注意供电时间不应超过八小时，若超过八小时应切断控制器的电源开关（包括备电开关），以防蓄电池损坏。若系统发生故障，应及时检修，若需关机应做好详细记录。</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若为现场设备故障，应及时维修，若因特殊原因不能及时排除的故障，应利用系统提供的设备隔离功能将设备暂时从系统中隔离，待故障排除后再利用释放功能将设备恢复。</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每月对火灾自动报警主机进行保养:</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使用除锈润滑剂对消防主机与消防广播、电梯迫降等消防联动设备的联动接口进行保养；</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使用机械万用表检查电源主板的供电运行情况，并进行测试，且记录存档；</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使用机械万用表测试每块回路卡的运行电压、运行性能，且记录存档；</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测试手动面板和消防联动柜的各种按键的执行功能及反馈指示灯的运行情况，且记录存档；</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每月一次通过按下手动报警按钮模拟火灾对消防报警按钮、消防层显进行检查测试。</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每月一次通过消防电话、电话插孔与消防控制室通话对消防电话、消防插孔电话进行检查测试。</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每月一次测试消防报警主机的主备电切换功能。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每季对火灾报警控制器的备用电源进行放电测试，并做好有关信息数据备份。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每月使用清洁刷、酒精、棉花对报警控制器主板、回路板、通信板、总线盘、多线盘、电源板、扇热器、各板连接口、控制柜内部各个角落、死角进行清除粉尘。</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使用专用螺丝刀对回路总线接、5V电源线、24V电源线、220V电源线、多线控制线、消防电话线、消防广播线、控制模块线接线口端子进行加固、加紧；使用扳手、老虎钳对控制报警控制器，机柜架连接螺帽、地线进行加固、加紧。</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每月打开消防控制室内部电缆槽、消防控制线线槽进行清理杂物；检查发现有“四害”迹象的，立即使用防火泥线槽进行封闭处理、加紧线槽螺丝钉。</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第二节  火灾自动报警和联动控制系统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通过使用数字温湿仪检查消防控制室或消防值班工作环境以及通过现场模拟火灾测试火灾自动报警控制、联动控制盘、层显（或区域控制器）、手动报警按钮等设备的外观和使用功能，是否处于正常完好状态。</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每月我公司巡检人员将使用专业火灾探测器检测工具（发烟器及发热器等模拟火灾检测仪器）测试消防报警探测器的工作状态，远距离及现场测试启停受控设备的运行情况，发现异常设备后应及时组织人员进行确认、维护异常设备。</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每季度检查下列功能：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采用检查设备分期分批使用探测器检测器测试探测器的工作情况及拆分报警探测器对报警探测器进行除尘保养维护。</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按下手动报警按钮模拟火灾试验手动报警按钮报警功能及其联动设备的正常启停。</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通过模拟火灾报警控制器主电故障时，测试备用电源的正常转换，并同时满足联动消防灭火设备启停所需的电源。</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通过自动和手动试验消防送风排烟风机、消防电梯、消防广播、消防防火卷帘门等相关消防联动控制设备的运行状态和显示功能，通过对消防控制模块箱内模块的清洗进行检查和除尘。</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分区模拟火灾，使用声级计对消防报警警铃进行检查试验，并记录存档。</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通过配合甲方一年二次的消防演练和每年的消防系统全面检测进行全面的消防联动测试。</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第三节  消防供水设施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每月通过使用数字温湿仪检查消防泵房工作环境，使用照度测量仪检查泵房应急照明和疏散指示标志亮度；检查急照明和疏散指示标志供电电压是否正常；加固灯座、摆正灯式。</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每月对消防泵、稳压设备电源控制柜、储水设备等设备的外观和使用功能进行检查；用万用表对电源三相电电压、水泵电机接地阻值进行测量</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每月对消防泵、稳压设备电源控制柜内部元器件进行维护：</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关闭供电源用螺丝刀、扳手对控制柜内接线端子、机柜连接螺帽进行加固、加紧；用清洁刷把控制柜内元器件、各个角落进行清除粉尘。</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每月启动消防泵，当消防泵为自动控制启动时，模拟自动控制的条件进行启动；启动水泵后，同时试验主、备泵的切换功能、检查控制柜各元器件运行情况。</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每月使用扳手 对水泵房内各个消防阀门、固定架、消防泵进行加固；</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每季度使用黄油、润滑油、除锈防腐剂对，控制柜内接线端子；消防泵上的螺帽和转动轴承；节流阀、止回阀、泄压阀、管网连接处上螺帽进行维护保养。</w:t>
      </w:r>
    </w:p>
    <w:p>
      <w:pPr>
        <w:pStyle w:val="13"/>
        <w:rPr>
          <w:rFonts w:hint="eastAsia" w:ascii="宋体" w:hAnsi="宋体" w:eastAsia="宋体" w:cs="宋体"/>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w:t>
      </w:r>
      <w:r>
        <w:rPr>
          <w:rFonts w:hint="eastAsia" w:ascii="宋体" w:hAnsi="宋体" w:eastAsia="宋体" w:cs="宋体"/>
        </w:rPr>
        <w:t>每季度核对顶层消防水箱、负一层消防水池储水量</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第四节  自动喷淋灭火系统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每月对湿式报警阀组、管网阀门、水泵接合器、储水设备、消防管网设备、喷淋触发器等设备的外观和使用功能维护保养；</w:t>
      </w:r>
    </w:p>
    <w:p>
      <w:pPr>
        <w:pStyle w:val="13"/>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每月对检查末端试水装置，试验末端放水、工作压力及核对水流指示器反馈信号；</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每季度使用润滑油、黄油、除锈防腐剂对湿式报警阀组、水泵接合器上的螺帽进行维护保养；</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每季度对水泵接合器露天部分涂上防锈油漆。</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第五节  室内外消火栓灭火系统</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1、室内消火栓系统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每月检查管网阀门、水泵接合器、室内外消火栓、储水设备等设备的外观和使用功能，确保处于正常完好状态，并进行设备维护。</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每月在消防泵处于自动状态下，通过按下消火栓直接启泵按钮试验远距离启动消防泵功能。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每月开打屋顶试验消火栓和底层室内消火栓进行射水试验，使用试压装置进行压力测试，确保消火栓管网供水能力和系统水源使用情况。</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每月对每个室内消火栓内的：水带、水带卷盘、消火栓头、水枪头、玻璃门，室外消火栓；数量、设置位置、外观进行检查。</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2、室外消火栓系统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检查出水口闷盖是否密封，有无缺损。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检查栓体外表油漆有无剥落，有无锈蚀，如有应及时修补。</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每季度使用室外消防扳手对所有室外消防栓进行射水试验，使用试压装置进行压力测试。</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每季度用清洁刷对室内消火栓内部各个角落进行清理粉尘、把水带、水带卷盘、消火栓头、水枪头重新摆放整齐。</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每季度对室外消防栓、水泵接合器露天部分涂上防锈油漆。</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第六节  机械送风、排烟系统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每月通过使用数字温湿仪检查送风、排烟机房工作环境以及通过目测检查送风机、排烟机、电源控制箱等设备的外观和测试使用功能的正常运行情况，确保所有设备均能处于正常完好状态。</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每月在防排烟风机正常运行的状态下，通过数字微压仪对送风、排烟风管、风井进行气密性测试，确保送风、排烟风机的送风、排风量满足送风排烟要求，同时测试了风管、风井的气密性。</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每月通过使用防火防腐防锈涂料对风管进行维护保养，保持风管的完好，提高风管的使用寿命和气密性能，确保风管的正常完好。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每半年检查和维护下列功能：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在模拟火灾的情况下，联动送风、排烟系统的所有设备，检查送风、排烟风口（阀）、防排烟风机的运行情况，确保所有设备的使用功能均正常运行，并记录存档。</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在模拟火灾的情况下，通过系统联动功能及时关闭空调系统、通风系统。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通过上黄油和除锈防腐润滑剂对防火阀、板式风口和防排烟风机的传动机构进行防锈润滑保养等维护。</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通过使用防锈防腐清洁剂和防火防腐涂料对防排烟风机表面、吊杆、风管连接阀进行防火除锈、翻新处理，确保其使用功能的正常运行。</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第七节  消防通讯</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每月通过现场测试插孔电话、重要场所的对讲电话、播音设备、扬声器等设备的外观和使用功能，确保处于正常完好状态。</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每月通过使用防腐防氧化清洁剂对所有消防通讯设施进行防腐氧化和清洁保养处理，确保其使用功能的正常运行。</w:t>
      </w:r>
    </w:p>
    <w:p>
      <w:pPr>
        <w:spacing w:line="276" w:lineRule="auto"/>
        <w:jc w:val="left"/>
        <w:outlineLvl w:val="0"/>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每季度检查下列功能：</w:t>
      </w:r>
    </w:p>
    <w:p>
      <w:pPr>
        <w:spacing w:line="276" w:lineRule="auto"/>
        <w:jc w:val="left"/>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使用消防电话与消防控制室通话试验电话插孔和对讲电话的通话质量。</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通过模拟火灾测试选层广播功能的紧急切换功能。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通过模拟火灾试验从背景音乐状态下强切至事故应急广播状态的功能。使用声级计对各分区的背景音乐、消防报警语音进行检查测试。</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第八节  消防供配电设施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每月通过检查消防电源紧急切换设备的外观和工作运行情况，确保其均处于正常完好状态。</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每月通过对消防电源紧急切换装置进行防腐除锈和防氧化处理，保持所有切换部件的使用正常，确保其联动切换功能的正常运行。</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每季度检查下列功能：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通过模拟火灾试验消防电源的末端双电源切换功能；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通过模拟火灾试验切断非消防电源功能。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每季度关闭供电源用螺丝刀、扳手对控制柜内接线端子、机柜连接螺帽进行加固、加紧；用清洁刷把内元器件、各个角落进行清除粉尘；</w:t>
      </w:r>
    </w:p>
    <w:p>
      <w:pPr>
        <w:pStyle w:val="13"/>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每季度试验启动发电机组，检查储油设施储油量。</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第九节  消防重点部位</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1、每月使用温度测量仪、湿度测量仪对动力配电间、楼层强电配电间、楼层弱电间、发电机房、安全通道以及空调机房测量，并检查其消防配备设施是否完好、是否堆积杂物阻挡设备操作空间。</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2、每季度使用温度测量仪、湿度测量仪对陈列室、杂物房、管道间、电缆槽工作环境检查；使用钳形电流表测试电缆线间工作电流，确保设备设施处于正常完好的运行状态。</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第十节</w:t>
      </w:r>
      <w:bookmarkStart w:id="27" w:name="_Toc248807439"/>
      <w:bookmarkStart w:id="28" w:name="_Toc245668357"/>
      <w:r>
        <w:rPr>
          <w:rFonts w:hint="eastAsia" w:ascii="宋体" w:hAnsi="宋体" w:eastAsia="宋体" w:cs="宋体"/>
          <w:b/>
          <w:color w:val="000000"/>
          <w:kern w:val="0"/>
          <w:sz w:val="24"/>
          <w:szCs w:val="24"/>
        </w:rPr>
        <w:t xml:space="preserve"> 气体灭火</w:t>
      </w:r>
      <w:bookmarkEnd w:id="27"/>
      <w:bookmarkEnd w:id="28"/>
      <w:r>
        <w:rPr>
          <w:rFonts w:hint="eastAsia" w:ascii="宋体" w:hAnsi="宋体" w:eastAsia="宋体" w:cs="宋体"/>
          <w:b/>
          <w:color w:val="000000"/>
          <w:kern w:val="0"/>
          <w:sz w:val="24"/>
          <w:szCs w:val="24"/>
        </w:rPr>
        <w:t>系统</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1、</w:t>
      </w:r>
      <w:r>
        <w:rPr>
          <w:rFonts w:hint="eastAsia" w:ascii="宋体" w:hAnsi="宋体" w:eastAsia="宋体" w:cs="宋体"/>
          <w:b/>
          <w:color w:val="000000"/>
          <w:kern w:val="0"/>
          <w:sz w:val="24"/>
          <w:szCs w:val="24"/>
        </w:rPr>
        <w:t>对防护分区环境的检查：</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每月检查保护区必要的出入通道应通畅无阻；各种报警信号和安全标志应清洁、齐全并醒目易见；采光照明和事故照明应完好。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每月检查烟感、温感探测器外表面应清洁、无灰尘和环境污染(例如轻质粉尘、漆等)，以保证其灵敏度；检查喷嘴孔口应无堵塞。</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2、</w:t>
      </w:r>
      <w:r>
        <w:rPr>
          <w:rFonts w:hint="eastAsia" w:ascii="宋体" w:hAnsi="宋体" w:eastAsia="宋体" w:cs="宋体"/>
          <w:b/>
          <w:color w:val="000000"/>
          <w:kern w:val="0"/>
          <w:sz w:val="24"/>
          <w:szCs w:val="24"/>
        </w:rPr>
        <w:t>对灭火剂贮存容器的检查：</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每年对灭火剂贮存容器进行称重或检查贮存压力，若低于允许值极限位置以下，必须予以重新灌装或替换。</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3、</w:t>
      </w:r>
      <w:r>
        <w:rPr>
          <w:rFonts w:hint="eastAsia" w:ascii="宋体" w:hAnsi="宋体" w:eastAsia="宋体" w:cs="宋体"/>
          <w:b/>
          <w:color w:val="000000"/>
          <w:kern w:val="0"/>
          <w:sz w:val="24"/>
          <w:szCs w:val="24"/>
        </w:rPr>
        <w:t>对灭火控制盘的检查：</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每月对电源、指示灯的可靠程度检查；</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每月检查灭火控制盘的启动试验的工作情况是否正常。</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4、</w:t>
      </w:r>
      <w:r>
        <w:rPr>
          <w:rFonts w:hint="eastAsia" w:ascii="宋体" w:hAnsi="宋体" w:eastAsia="宋体" w:cs="宋体"/>
          <w:b/>
          <w:color w:val="000000"/>
          <w:kern w:val="0"/>
          <w:sz w:val="24"/>
          <w:szCs w:val="24"/>
        </w:rPr>
        <w:t>对系统的检查：</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每月检查电磁阀与控制阀的连接导线是否完好，端子有否松动或脱落；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每季从启动钢瓶上卸下电磁阀，检查其动作是否灵活；</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每季卸下报警及控制系统与执行机构的连接装置，用模拟试验方法，检查自动控制、报警及延时功能的灵敏度和动作可靠性；</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每季检查贮存容器开启机构灵活可靠性；每季检查灭火剂贮存容器阀和启动容器阀的安全装置和管路安全阀放气口；</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每季检查所有钢瓶外表有无腐蚀和镀层脱落现象；</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每月对对系统中所有软管进行外观检查，若发现有任何缺陷，更换或对软管进行耐压试验；</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7</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每季将止回阀从系统上卸下，检查其密封情况和开启动作灵活程度；</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每季用气动和手动方式，检查所有选择阀的开启动作是否灵活可靠。</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每半年对每一个防护区进行一次模拟自动启动试验,如有问题,则应对相关的防护区进行一次模拟喷气试验.</w:t>
      </w:r>
    </w:p>
    <w:p>
      <w:pPr>
        <w:spacing w:line="276" w:lineRule="auto"/>
        <w:outlineLvl w:val="0"/>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第十一节  防火分隔系统</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每月通过检查防火门、防火卷帘门的手动/自动启闭功能，确保所有防火分隔设备处于正常启闭状态及其下方和周围无影响其正常启闭的障碍物，同时通过检查其附件外观，确保所有附件的正常完好，</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每月通过测试防火卷帘门启闭功能，同时确保所有防火卷帘门的限位功能正常运行，同时限位满足防火分隔密度要求。</w:t>
      </w:r>
    </w:p>
    <w:p>
      <w:pPr>
        <w:pStyle w:val="13"/>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每月检查防火门数量不少于总数量的25%。</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每季度检查和维护下列部件：</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试验自动方式启动防火卷帘门的运行情况。</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用手动按钮启动防火卷帘门的运行情况。</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通过上黄油和除锈防腐剂对防火卷帘门传动齿轮、链条等进行润滑等检查维护。</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通过模拟启停对防火卷帘门电机、吊绳、制动机构、挂件的安全等进行定期检查维护。</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每月通过使用防腐润滑剂和清洁氧化剂对防火卷帘门的卷叶、传动装置、手动控制按钮、控制箱等设备进行专业的维护和清洁保养，保持所有部件的完好、不受腐蚀生锈和控制板不受氧化，确保所有防火卷帘门在准工作状态下均能保持完好和正常运行。</w:t>
      </w:r>
    </w:p>
    <w:p>
      <w:pPr>
        <w:spacing w:line="276" w:lineRule="auto"/>
        <w:outlineLvl w:val="0"/>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第十二节 应急照明及疏散指示标志</w:t>
      </w:r>
    </w:p>
    <w:p>
      <w:pPr>
        <w:pStyle w:val="13"/>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每月检查应急灯外观、应急灯工作状态、疏散指示标志外观、疏散指示标志工作状态。</w:t>
      </w:r>
    </w:p>
    <w:p>
      <w:pPr>
        <w:pStyle w:val="13"/>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每月应急照明及疏散指示标志检查数量不少于总数量的25%。</w:t>
      </w:r>
    </w:p>
    <w:p>
      <w:pPr>
        <w:spacing w:line="276" w:lineRule="auto"/>
        <w:outlineLvl w:val="0"/>
        <w:rPr>
          <w:rFonts w:ascii="宋体" w:hAnsi="宋体"/>
          <w:b/>
          <w:color w:val="000000"/>
          <w:kern w:val="0"/>
          <w:sz w:val="24"/>
          <w:szCs w:val="24"/>
        </w:rPr>
      </w:pPr>
      <w:r>
        <w:rPr>
          <w:rFonts w:hint="eastAsia" w:ascii="宋体" w:hAnsi="宋体"/>
          <w:b/>
          <w:color w:val="000000"/>
          <w:kern w:val="0"/>
          <w:sz w:val="24"/>
          <w:szCs w:val="24"/>
        </w:rPr>
        <w:t>第十三节 灭火器</w:t>
      </w:r>
    </w:p>
    <w:p>
      <w:pPr>
        <w:pStyle w:val="13"/>
        <w:rPr>
          <w:b/>
          <w:bCs/>
          <w:color w:val="0000FF"/>
          <w:sz w:val="18"/>
          <w:szCs w:val="18"/>
        </w:rPr>
      </w:pPr>
      <w:r>
        <w:rPr>
          <w:rFonts w:hint="eastAsia"/>
        </w:rPr>
        <w:t>每月</w:t>
      </w:r>
      <w:r>
        <w:t>检查灭火器型号、压力值和维修期限。检查数量不少于总数量的25%。</w:t>
      </w:r>
    </w:p>
    <w:p>
      <w:pPr>
        <w:spacing w:line="276" w:lineRule="auto"/>
        <w:outlineLvl w:val="0"/>
        <w:rPr>
          <w:rFonts w:cs="宋体"/>
          <w:b/>
          <w:bCs/>
        </w:rPr>
      </w:pPr>
      <w:r>
        <w:rPr>
          <w:rFonts w:hint="eastAsia" w:cs="宋体"/>
          <w:b/>
          <w:bCs/>
          <w:color w:val="000000"/>
          <w:kern w:val="0"/>
          <w:sz w:val="24"/>
          <w:szCs w:val="24"/>
        </w:rPr>
        <w:t>（三）维保服务要求</w:t>
      </w:r>
      <w:r>
        <w:rPr>
          <w:rFonts w:hint="eastAsia"/>
          <w:b/>
          <w:bCs/>
          <w:color w:val="FF0000"/>
          <w:sz w:val="24"/>
          <w:szCs w:val="24"/>
        </w:rPr>
        <w:t>＃</w:t>
      </w:r>
    </w:p>
    <w:p>
      <w:pPr>
        <w:pStyle w:val="13"/>
      </w:pPr>
      <w:r>
        <w:rPr>
          <w:rFonts w:hint="eastAsia"/>
        </w:rPr>
        <w:t>1、保证医院外科楼、后勤楼、内科楼消防设施的正常运行；</w:t>
      </w:r>
    </w:p>
    <w:p>
      <w:pPr>
        <w:pStyle w:val="13"/>
      </w:pPr>
      <w:r>
        <w:rPr>
          <w:rFonts w:hint="eastAsia"/>
        </w:rPr>
        <w:t>2、保证招标人通过年检（检测费用由招标人承担，中标人承办年检手续）；</w:t>
      </w:r>
    </w:p>
    <w:p>
      <w:pPr>
        <w:pStyle w:val="13"/>
      </w:pPr>
      <w:r>
        <w:rPr>
          <w:rFonts w:hint="eastAsia"/>
        </w:rPr>
        <w:t>3、项目时限为12个月；</w:t>
      </w:r>
    </w:p>
    <w:p>
      <w:pPr>
        <w:pStyle w:val="13"/>
      </w:pPr>
      <w:r>
        <w:rPr>
          <w:rFonts w:hint="eastAsia"/>
        </w:rPr>
        <w:t>4、每月定期对外科楼、后勤楼、内科楼消防设施进行一次检查保养，保养须符合行业安全运行标准；保养完毕后，将保养单交招标方有关部门签字认可。保养任务的完成与否，以保养单为准；</w:t>
      </w:r>
    </w:p>
    <w:p>
      <w:pPr>
        <w:pStyle w:val="13"/>
      </w:pPr>
      <w:r>
        <w:rPr>
          <w:rFonts w:hint="eastAsia"/>
        </w:rPr>
        <w:t>5、每月定期来院检查必须先和医院保卫科联系相关事宜，由保卫科派出和相关人员配合检查，并注意留存工作记录相片。</w:t>
      </w:r>
    </w:p>
    <w:p>
      <w:pPr>
        <w:pStyle w:val="13"/>
      </w:pPr>
      <w:r>
        <w:rPr>
          <w:rFonts w:hint="eastAsia"/>
        </w:rPr>
        <w:t>6、投标人应在投标文件中提供项目人员清单，包括项目负责人、技术负责人、工作人员等，项目负责人具备二级注册消防工程师或以上资格，技术负责人具备四级/中级消防设施操作员（消防设施检测维修保养职业方向）或以上资格；</w:t>
      </w:r>
    </w:p>
    <w:p>
      <w:pPr>
        <w:pStyle w:val="13"/>
      </w:pPr>
      <w:r>
        <w:t>7</w:t>
      </w:r>
      <w:r>
        <w:rPr>
          <w:rFonts w:hint="eastAsia"/>
        </w:rPr>
        <w:t>、投标人应在投标文件中提供项目专用工具单和工具检验报告，保证工具在检验有效期内；</w:t>
      </w:r>
    </w:p>
    <w:p>
      <w:pPr>
        <w:pStyle w:val="13"/>
      </w:pPr>
      <w:r>
        <w:t>8</w:t>
      </w:r>
      <w:r>
        <w:rPr>
          <w:rFonts w:hint="eastAsia"/>
        </w:rPr>
        <w:t>、投标人自行配备工作所需要的工具及设备，保养时设置现场安全警示标志。</w:t>
      </w:r>
    </w:p>
    <w:p>
      <w:pPr>
        <w:pStyle w:val="13"/>
      </w:pPr>
      <w:r>
        <w:t>9</w:t>
      </w:r>
      <w:r>
        <w:rPr>
          <w:rFonts w:hint="eastAsia"/>
        </w:rPr>
        <w:t>、投标人免费提供保养所需的润滑油、润滑脂和清洁材料。</w:t>
      </w:r>
    </w:p>
    <w:p>
      <w:pPr>
        <w:pStyle w:val="13"/>
      </w:pPr>
      <w:r>
        <w:rPr>
          <w:rFonts w:hint="eastAsia"/>
        </w:rPr>
        <w:t>1</w:t>
      </w:r>
      <w:r>
        <w:t>0</w:t>
      </w:r>
      <w:r>
        <w:rPr>
          <w:rFonts w:hint="eastAsia"/>
        </w:rPr>
        <w:t>、招标人发生火灾事故时，投标人必须在30分钟内赶到现场，协助保卫科值班人员操作消防设备。</w:t>
      </w:r>
    </w:p>
    <w:p>
      <w:pPr>
        <w:pStyle w:val="13"/>
      </w:pPr>
      <w:r>
        <w:rPr>
          <w:rFonts w:hint="eastAsia"/>
        </w:rPr>
        <w:t>1</w:t>
      </w:r>
      <w:r>
        <w:t>1</w:t>
      </w:r>
      <w:r>
        <w:rPr>
          <w:rFonts w:hint="eastAsia"/>
        </w:rPr>
        <w:t>、若发生下列情况之一的，则在结算时按每次扣除维保费用的10%至100%：</w:t>
      </w:r>
    </w:p>
    <w:p>
      <w:pPr>
        <w:pStyle w:val="13"/>
      </w:pPr>
      <w:r>
        <w:rPr>
          <w:rFonts w:hint="eastAsia"/>
        </w:rPr>
        <w:t>（1）未完成保养任务；</w:t>
      </w:r>
    </w:p>
    <w:p>
      <w:pPr>
        <w:pStyle w:val="13"/>
      </w:pPr>
      <w:r>
        <w:rPr>
          <w:rFonts w:hint="eastAsia"/>
        </w:rPr>
        <w:t>（2）消防设施非正常运行或因故障连续停止运行五天以上（特殊情况除外）。</w:t>
      </w:r>
    </w:p>
    <w:p>
      <w:pPr>
        <w:pStyle w:val="13"/>
      </w:pPr>
      <w:r>
        <w:rPr>
          <w:rFonts w:hint="eastAsia"/>
        </w:rPr>
        <w:t>1</w:t>
      </w:r>
      <w:r>
        <w:t>2</w:t>
      </w:r>
      <w:r>
        <w:rPr>
          <w:rFonts w:hint="eastAsia"/>
        </w:rPr>
        <w:t>、招标人有重大活动、重要检查时，投标方需派专门的维修技术人员到达现场，免费提供全程监护服务。</w:t>
      </w:r>
    </w:p>
    <w:p>
      <w:pPr>
        <w:pStyle w:val="13"/>
      </w:pPr>
      <w:r>
        <w:rPr>
          <w:rFonts w:hint="eastAsia"/>
        </w:rPr>
        <w:t>1</w:t>
      </w:r>
      <w:r>
        <w:t>3</w:t>
      </w:r>
      <w:r>
        <w:rPr>
          <w:rFonts w:hint="eastAsia"/>
        </w:rPr>
        <w:t>、根据招标人实际需要提供消防设施操作的系统培训。</w:t>
      </w:r>
    </w:p>
    <w:p>
      <w:pPr>
        <w:pStyle w:val="13"/>
      </w:pPr>
      <w:r>
        <w:rPr>
          <w:rFonts w:hint="eastAsia"/>
        </w:rPr>
        <w:t>1</w:t>
      </w:r>
      <w:r>
        <w:t>4</w:t>
      </w:r>
      <w:r>
        <w:rPr>
          <w:rFonts w:hint="eastAsia"/>
        </w:rPr>
        <w:t>、在维保过程中发生的事故由中标人负责，招标人不承担责任。</w:t>
      </w:r>
    </w:p>
    <w:p>
      <w:pPr>
        <w:pStyle w:val="13"/>
      </w:pPr>
      <w:r>
        <w:rPr>
          <w:rFonts w:hint="eastAsia"/>
        </w:rPr>
        <w:t>1</w:t>
      </w:r>
      <w:r>
        <w:t>5</w:t>
      </w:r>
      <w:r>
        <w:rPr>
          <w:rFonts w:hint="eastAsia"/>
        </w:rPr>
        <w:t xml:space="preserve">、项目地点为：广西壮族自治区桂东人民医院   </w:t>
      </w:r>
    </w:p>
    <w:p>
      <w:pPr>
        <w:pStyle w:val="13"/>
        <w:keepNext w:val="0"/>
        <w:keepLines w:val="0"/>
        <w:pageBreakBefore w:val="0"/>
        <w:kinsoku/>
        <w:wordWrap/>
        <w:overflowPunct/>
        <w:topLinePunct w:val="0"/>
        <w:bidi w:val="0"/>
        <w:snapToGrid/>
        <w:ind w:left="0" w:leftChars="0"/>
        <w:textAlignment w:val="auto"/>
        <w:rPr>
          <w:rFonts w:hint="eastAsia" w:cs="宋体"/>
          <w:b/>
          <w:bCs/>
        </w:rPr>
      </w:pPr>
      <w:r>
        <w:rPr>
          <w:rFonts w:hint="eastAsia" w:cs="宋体"/>
          <w:b/>
          <w:bCs/>
        </w:rPr>
        <w:t>（四）商务要求</w:t>
      </w:r>
    </w:p>
    <w:p>
      <w:pPr>
        <w:spacing w:line="276" w:lineRule="auto"/>
        <w:outlineLvl w:val="0"/>
        <w:rPr>
          <w:rFonts w:cs="宋体"/>
          <w:b/>
          <w:bCs/>
          <w:sz w:val="24"/>
          <w:szCs w:val="24"/>
        </w:rPr>
      </w:pPr>
      <w:r>
        <w:rPr>
          <w:rFonts w:hint="eastAsia" w:cs="宋体"/>
          <w:b/>
          <w:bCs/>
          <w:sz w:val="24"/>
          <w:szCs w:val="24"/>
        </w:rPr>
        <w:t>1、投标人资格要求</w:t>
      </w:r>
    </w:p>
    <w:p>
      <w:pPr>
        <w:pStyle w:val="13"/>
      </w:pPr>
      <w:r>
        <w:rPr>
          <w:rFonts w:hint="eastAsia"/>
        </w:rPr>
        <w:t>（1）投标人为独立法人，并具备统一社会信用代码。</w:t>
      </w:r>
    </w:p>
    <w:p>
      <w:pPr>
        <w:pStyle w:val="13"/>
      </w:pPr>
      <w:r>
        <w:rPr>
          <w:rFonts w:hint="eastAsia"/>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3"/>
      </w:pPr>
      <w:r>
        <w:rPr>
          <w:rFonts w:hint="eastAsia"/>
        </w:rPr>
        <w:t>（3）被列入我院投标人黑名单（在我院招投标活动中存在2次违规行为）未满3年的投标人将被拒绝其参与本次招投标活动。</w:t>
      </w:r>
    </w:p>
    <w:p>
      <w:pPr>
        <w:pStyle w:val="13"/>
      </w:pPr>
      <w:r>
        <w:rPr>
          <w:rFonts w:hint="eastAsia"/>
        </w:rPr>
        <w:t>（4）本项目不接收联合体投标。</w:t>
      </w:r>
    </w:p>
    <w:p>
      <w:pPr>
        <w:pStyle w:val="13"/>
      </w:pPr>
      <w:r>
        <w:rPr>
          <w:rFonts w:hint="eastAsia"/>
        </w:rPr>
        <w:t>（5）营业执照的经营范围必须包含消防工程安装或消防设施维保服务内容；</w:t>
      </w:r>
    </w:p>
    <w:p>
      <w:pPr>
        <w:pStyle w:val="13"/>
      </w:pPr>
    </w:p>
    <w:p>
      <w:pPr>
        <w:spacing w:line="276" w:lineRule="auto"/>
        <w:outlineLvl w:val="0"/>
        <w:rPr>
          <w:rFonts w:cs="宋体"/>
          <w:b/>
          <w:bCs/>
          <w:sz w:val="24"/>
          <w:szCs w:val="24"/>
        </w:rPr>
      </w:pPr>
      <w:r>
        <w:rPr>
          <w:rFonts w:hint="eastAsia" w:cs="宋体"/>
          <w:b/>
          <w:bCs/>
          <w:sz w:val="24"/>
          <w:szCs w:val="24"/>
        </w:rPr>
        <w:t>2、商务条款要求：</w:t>
      </w:r>
    </w:p>
    <w:p>
      <w:pPr>
        <w:pStyle w:val="13"/>
      </w:pPr>
      <w:r>
        <w:rPr>
          <w:rFonts w:hint="eastAsia"/>
        </w:rPr>
        <w:t>（1）投标人的投标总报价高于财政控制金额为无效投标；</w:t>
      </w:r>
    </w:p>
    <w:p>
      <w:pPr>
        <w:pStyle w:val="13"/>
      </w:pPr>
      <w:r>
        <w:rPr>
          <w:rFonts w:hint="eastAsia"/>
        </w:rPr>
        <w:t>（2）以人民币为结算单位，投标报价包含完成项目所需的一切费用。即：设备费、软件费、税费、运输费、装卸费、安装费、调试费、培训费、计量及技术服务费等一切费用。</w:t>
      </w:r>
    </w:p>
    <w:p>
      <w:pPr>
        <w:pStyle w:val="13"/>
        <w:rPr>
          <w:rFonts w:cs="宋体"/>
          <w:b/>
          <w:bCs/>
        </w:rPr>
      </w:pPr>
      <w:r>
        <w:rPr>
          <w:rFonts w:hint="eastAsia" w:cs="宋体"/>
          <w:b/>
          <w:bCs/>
        </w:rPr>
        <w:t>3、付款条件（进度和方式）：</w:t>
      </w:r>
    </w:p>
    <w:p>
      <w:pPr>
        <w:pStyle w:val="13"/>
      </w:pPr>
      <w:r>
        <w:rPr>
          <w:rFonts w:hint="eastAsia"/>
        </w:rPr>
        <w:t>（1）.维保费用分二次结算（每半年一次），每次结算合同总金额的</w:t>
      </w:r>
      <w:r>
        <w:rPr>
          <w:rFonts w:hint="eastAsia"/>
          <w:b/>
          <w:bCs/>
          <w:u w:val="single"/>
          <w:lang w:val="en-US" w:eastAsia="zh-CN"/>
        </w:rPr>
        <w:t>50%</w:t>
      </w:r>
      <w:r>
        <w:rPr>
          <w:rFonts w:hint="eastAsia"/>
        </w:rPr>
        <w:t>，合同履约期满后一个月内付清余款（无息）。付款需凭支付期内每月的建筑消防设施维护保养报告和月度《广西壮族自治区桂东人民医院视消防系统维护保养评分表》，无考核表不予支付维保费用，考核不合格的待整改完成后才予支付维保费用。</w:t>
      </w:r>
    </w:p>
    <w:p>
      <w:pPr>
        <w:pStyle w:val="13"/>
      </w:pPr>
      <w:r>
        <w:rPr>
          <w:rFonts w:hint="eastAsia"/>
        </w:rPr>
        <w:t>（2）如维保服务不合格以及发现伪劣产品等，招标人将视情形采取拒付款、终止合同、索赔等措施，直至通过有关部门，依法维权。</w:t>
      </w:r>
    </w:p>
    <w:p>
      <w:pPr>
        <w:keepNext w:val="0"/>
        <w:keepLines w:val="0"/>
        <w:pageBreakBefore w:val="0"/>
        <w:widowControl/>
        <w:kinsoku/>
        <w:wordWrap/>
        <w:overflowPunct/>
        <w:topLinePunct w:val="0"/>
        <w:bidi w:val="0"/>
        <w:snapToGrid/>
        <w:spacing w:line="400" w:lineRule="exact"/>
        <w:ind w:left="0" w:leftChars="0" w:firstLine="480" w:firstLineChars="200"/>
        <w:jc w:val="left"/>
        <w:textAlignment w:val="auto"/>
        <w:rPr>
          <w:rFonts w:cs="宋体"/>
          <w:kern w:val="0"/>
          <w:sz w:val="24"/>
          <w:szCs w:val="24"/>
        </w:rPr>
      </w:pPr>
    </w:p>
    <w:p>
      <w:pPr>
        <w:keepNext w:val="0"/>
        <w:keepLines w:val="0"/>
        <w:pageBreakBefore w:val="0"/>
        <w:widowControl/>
        <w:kinsoku/>
        <w:wordWrap/>
        <w:overflowPunct/>
        <w:topLinePunct w:val="0"/>
        <w:bidi w:val="0"/>
        <w:snapToGrid/>
        <w:spacing w:line="360" w:lineRule="auto"/>
        <w:ind w:left="0" w:leftChars="0" w:hanging="2"/>
        <w:jc w:val="left"/>
        <w:textAlignment w:val="auto"/>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pStyle w:val="13"/>
      </w:pPr>
      <w:r>
        <w:rPr>
          <w:rFonts w:hint="eastAsia"/>
        </w:rPr>
        <w:t>（一）招标人和中标人应当自公示结束后</w:t>
      </w:r>
      <w:sdt>
        <w:sdtPr>
          <w:rPr>
            <w:rFonts w:hint="eastAsia"/>
          </w:rPr>
          <w:alias w:val="无特殊情况不建议修改"/>
          <w:tag w:val="无特殊情况不建议修改"/>
          <w:id w:val="-183904816"/>
          <w:placeholder>
            <w:docPart w:val="{d75fe81b-2758-49d3-a15b-e82cadc65691}"/>
          </w:placeholder>
          <w15:color w:val="FF0000"/>
        </w:sdtPr>
        <w:sdtEndPr>
          <w:rPr>
            <w:rFonts w:hint="eastAsia"/>
          </w:rPr>
        </w:sdtEndPr>
        <w:sdtContent>
          <w:r>
            <w:rPr>
              <w:rFonts w:hint="eastAsia"/>
            </w:rPr>
            <w:t>7个</w:t>
          </w:r>
        </w:sdtContent>
      </w:sdt>
      <w:r>
        <w:rPr>
          <w:rFonts w:hint="eastAsia"/>
        </w:rPr>
        <w:t>工作日内签订采购合同。</w:t>
      </w:r>
    </w:p>
    <w:p>
      <w:pPr>
        <w:pStyle w:val="13"/>
      </w:pPr>
      <w:r>
        <w:rPr>
          <w:rFonts w:hint="eastAsia"/>
        </w:rPr>
        <w:t>（二）招标人按照《消防系统维护保养工作质量考核标准》每季度对中标人进行考评，如中标人连续3次考核低于60分，招标方可单方面终止合同，重新招标。</w:t>
      </w:r>
    </w:p>
    <w:p>
      <w:pPr>
        <w:keepNext w:val="0"/>
        <w:keepLines w:val="0"/>
        <w:pageBreakBefore w:val="0"/>
        <w:widowControl/>
        <w:kinsoku/>
        <w:wordWrap/>
        <w:overflowPunct/>
        <w:topLinePunct w:val="0"/>
        <w:bidi w:val="0"/>
        <w:snapToGrid/>
        <w:spacing w:line="360" w:lineRule="auto"/>
        <w:ind w:left="0" w:leftChars="0" w:hanging="2"/>
        <w:jc w:val="left"/>
        <w:textAlignment w:val="auto"/>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snapToGrid w:val="0"/>
        <w:spacing w:line="440" w:lineRule="exact"/>
        <w:rPr>
          <w:rFonts w:ascii="宋体" w:hAnsi="Calibri"/>
          <w:bCs/>
          <w:color w:val="000000"/>
          <w:sz w:val="24"/>
          <w:szCs w:val="24"/>
        </w:rPr>
      </w:pPr>
      <w:r>
        <w:rPr>
          <w:rFonts w:hint="eastAsia" w:cs="宋体"/>
          <w:kern w:val="0"/>
          <w:sz w:val="24"/>
          <w:szCs w:val="24"/>
        </w:rPr>
        <w:t>附件</w:t>
      </w:r>
      <w:r>
        <w:rPr>
          <w:rFonts w:ascii="宋体" w:hAnsi="Calibri"/>
          <w:bCs/>
          <w:color w:val="000000"/>
          <w:sz w:val="24"/>
          <w:szCs w:val="24"/>
        </w:rPr>
        <w:t xml:space="preserve">   </w:t>
      </w:r>
      <w:r>
        <w:rPr>
          <w:rFonts w:hint="eastAsia" w:ascii="宋体" w:hAnsi="Calibri"/>
          <w:bCs/>
          <w:color w:val="000000"/>
          <w:sz w:val="24"/>
          <w:szCs w:val="24"/>
        </w:rPr>
        <w:t xml:space="preserve">           </w:t>
      </w:r>
      <w:r>
        <w:rPr>
          <w:rFonts w:hint="eastAsia" w:ascii="宋体" w:hAnsi="Calibri"/>
          <w:b/>
          <w:bCs/>
          <w:color w:val="000000"/>
          <w:sz w:val="30"/>
          <w:szCs w:val="30"/>
        </w:rPr>
        <w:t>广西壮族自治区桂东人民医院</w:t>
      </w:r>
    </w:p>
    <w:p>
      <w:pPr>
        <w:snapToGrid w:val="0"/>
        <w:spacing w:line="440" w:lineRule="exact"/>
        <w:jc w:val="center"/>
        <w:rPr>
          <w:rFonts w:ascii="宋体" w:hAnsi="Calibri"/>
          <w:b/>
          <w:bCs/>
          <w:color w:val="000000"/>
          <w:sz w:val="30"/>
          <w:szCs w:val="30"/>
        </w:rPr>
      </w:pPr>
      <w:r>
        <w:rPr>
          <w:rFonts w:hint="eastAsia" w:ascii="宋体" w:hAnsi="Calibri"/>
          <w:b/>
          <w:bCs/>
          <w:color w:val="000000"/>
          <w:sz w:val="30"/>
          <w:szCs w:val="30"/>
        </w:rPr>
        <w:t>消防系统维护保养工作质量考核标准</w:t>
      </w:r>
    </w:p>
    <w:p>
      <w:pPr>
        <w:ind w:left="-210" w:leftChars="-100" w:firstLine="420" w:firstLineChars="200"/>
        <w:rPr>
          <w:rFonts w:ascii="Calibri" w:hAnsi="Calibri"/>
        </w:rPr>
      </w:pPr>
      <w:r>
        <w:rPr>
          <w:rFonts w:hint="eastAsia" w:ascii="Calibri" w:hAnsi="Calibri"/>
        </w:rPr>
        <w:t>每月度根据维护保养计划按《消防系统维护保养评分表》评定工作质量，采用100分制，如乙方的分数为85分以上（含本数），整改完毕经甲方确认后，甲方向其支付全额保养费；分数为75分以上（含本数）—85分以下的，整改完毕经甲方确认后，甲方向其支付当期的保养费的90%；分数在75分以下（不含本数）—65分以上（含本数）的，整改完毕经甲方确认后，甲方向其支付当期的保养费的85%，甲方有权对乙方进行书面警告；分数在65分以下（不含本数）的，甲方有权扣除乙方一个月维保费。</w:t>
      </w:r>
    </w:p>
    <w:p>
      <w:pPr>
        <w:ind w:firstLine="904" w:firstLineChars="300"/>
        <w:rPr>
          <w:rFonts w:ascii="Calibri" w:hAnsi="Calibri"/>
          <w:b/>
          <w:sz w:val="30"/>
          <w:szCs w:val="30"/>
        </w:rPr>
      </w:pPr>
      <w:r>
        <w:rPr>
          <w:rFonts w:hint="eastAsia" w:ascii="Calibri" w:hAnsi="Calibri"/>
          <w:b/>
          <w:sz w:val="30"/>
          <w:szCs w:val="30"/>
        </w:rPr>
        <w:t>广西壮族自治区桂东人民医院</w:t>
      </w:r>
      <w:r>
        <w:rPr>
          <w:rFonts w:hint="eastAsia" w:ascii="Calibri" w:hAnsi="Calibri"/>
          <w:b/>
          <w:sz w:val="30"/>
          <w:szCs w:val="30"/>
          <w:u w:val="single"/>
        </w:rPr>
        <w:t xml:space="preserve">       </w:t>
      </w:r>
      <w:r>
        <w:rPr>
          <w:rFonts w:hint="eastAsia" w:ascii="Calibri" w:hAnsi="Calibri"/>
          <w:b/>
          <w:sz w:val="30"/>
          <w:szCs w:val="30"/>
        </w:rPr>
        <w:t>年</w:t>
      </w:r>
      <w:r>
        <w:rPr>
          <w:rFonts w:hint="eastAsia" w:ascii="Calibri" w:hAnsi="Calibri"/>
          <w:b/>
          <w:sz w:val="30"/>
          <w:szCs w:val="30"/>
          <w:u w:val="single"/>
        </w:rPr>
        <w:t xml:space="preserve">    </w:t>
      </w:r>
      <w:r>
        <w:rPr>
          <w:rFonts w:hint="eastAsia" w:ascii="Calibri" w:hAnsi="Calibri"/>
          <w:b/>
          <w:sz w:val="30"/>
          <w:szCs w:val="30"/>
        </w:rPr>
        <w:t>月</w:t>
      </w:r>
    </w:p>
    <w:p>
      <w:pPr>
        <w:spacing w:line="440" w:lineRule="exact"/>
        <w:jc w:val="center"/>
        <w:rPr>
          <w:rFonts w:ascii="Calibri" w:hAnsi="Calibri"/>
          <w:b/>
          <w:sz w:val="30"/>
          <w:szCs w:val="30"/>
        </w:rPr>
      </w:pPr>
      <w:r>
        <w:rPr>
          <w:rFonts w:hint="eastAsia" w:ascii="Calibri" w:hAnsi="Calibri"/>
          <w:b/>
          <w:sz w:val="30"/>
          <w:szCs w:val="30"/>
        </w:rPr>
        <w:t>消防系统维护保养评分表</w:t>
      </w:r>
    </w:p>
    <w:tbl>
      <w:tblPr>
        <w:tblStyle w:val="9"/>
        <w:tblW w:w="9633" w:type="dxa"/>
        <w:jc w:val="center"/>
        <w:tblLayout w:type="fixed"/>
        <w:tblCellMar>
          <w:top w:w="0" w:type="dxa"/>
          <w:left w:w="108" w:type="dxa"/>
          <w:bottom w:w="0" w:type="dxa"/>
          <w:right w:w="108" w:type="dxa"/>
        </w:tblCellMar>
      </w:tblPr>
      <w:tblGrid>
        <w:gridCol w:w="822"/>
        <w:gridCol w:w="487"/>
        <w:gridCol w:w="1309"/>
        <w:gridCol w:w="738"/>
        <w:gridCol w:w="3841"/>
        <w:gridCol w:w="659"/>
        <w:gridCol w:w="640"/>
        <w:gridCol w:w="1137"/>
      </w:tblGrid>
      <w:tr>
        <w:tblPrEx>
          <w:tblCellMar>
            <w:top w:w="0" w:type="dxa"/>
            <w:left w:w="108" w:type="dxa"/>
            <w:bottom w:w="0" w:type="dxa"/>
            <w:right w:w="108" w:type="dxa"/>
          </w:tblCellMar>
        </w:tblPrEx>
        <w:trPr>
          <w:trHeight w:val="480" w:hRule="atLeast"/>
          <w:jc w:val="center"/>
        </w:trPr>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设备</w:t>
            </w:r>
          </w:p>
        </w:tc>
        <w:tc>
          <w:tcPr>
            <w:tcW w:w="1796"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工作内容</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序号</w:t>
            </w:r>
          </w:p>
        </w:tc>
        <w:tc>
          <w:tcPr>
            <w:tcW w:w="3841"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工作要求</w:t>
            </w:r>
          </w:p>
        </w:tc>
        <w:tc>
          <w:tcPr>
            <w:tcW w:w="659"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占分</w:t>
            </w:r>
          </w:p>
        </w:tc>
        <w:tc>
          <w:tcPr>
            <w:tcW w:w="640"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扣分情况</w:t>
            </w:r>
          </w:p>
        </w:tc>
        <w:tc>
          <w:tcPr>
            <w:tcW w:w="1137"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备注</w:t>
            </w:r>
          </w:p>
        </w:tc>
      </w:tr>
      <w:tr>
        <w:tblPrEx>
          <w:tblCellMar>
            <w:top w:w="0" w:type="dxa"/>
            <w:left w:w="108" w:type="dxa"/>
            <w:bottom w:w="0" w:type="dxa"/>
            <w:right w:w="108" w:type="dxa"/>
          </w:tblCellMar>
        </w:tblPrEx>
        <w:trPr>
          <w:trHeight w:val="408" w:hRule="atLeast"/>
          <w:jc w:val="center"/>
        </w:trPr>
        <w:tc>
          <w:tcPr>
            <w:tcW w:w="822" w:type="dxa"/>
            <w:vMerge w:val="restart"/>
            <w:tcBorders>
              <w:top w:val="nil"/>
              <w:left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消防供电配电</w:t>
            </w: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消防配电</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w:t>
            </w:r>
          </w:p>
        </w:tc>
        <w:tc>
          <w:tcPr>
            <w:tcW w:w="3841" w:type="dxa"/>
            <w:tcBorders>
              <w:top w:val="nil"/>
              <w:left w:val="nil"/>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试验主、备电切换功能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自备发电机</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3841" w:type="dxa"/>
            <w:tcBorders>
              <w:top w:val="nil"/>
              <w:left w:val="nil"/>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试验启动发电机组</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bottom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储油设施</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3841" w:type="dxa"/>
            <w:tcBorders>
              <w:top w:val="nil"/>
              <w:left w:val="nil"/>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核对储油量</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restart"/>
            <w:tcBorders>
              <w:top w:val="nil"/>
              <w:left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火灾自</w:t>
            </w:r>
          </w:p>
          <w:p>
            <w:pPr>
              <w:spacing w:line="240" w:lineRule="exact"/>
              <w:rPr>
                <w:rFonts w:ascii="宋体" w:hAnsi="宋体" w:cs="宋体"/>
                <w:sz w:val="20"/>
                <w:szCs w:val="22"/>
              </w:rPr>
            </w:pPr>
            <w:r>
              <w:rPr>
                <w:rFonts w:hint="eastAsia" w:ascii="宋体" w:hAnsi="宋体" w:cs="宋体"/>
                <w:sz w:val="20"/>
                <w:szCs w:val="22"/>
              </w:rPr>
              <w:t>动报警</w:t>
            </w:r>
          </w:p>
          <w:p>
            <w:pPr>
              <w:spacing w:line="240" w:lineRule="exact"/>
              <w:rPr>
                <w:rFonts w:ascii="宋体" w:hAnsi="宋体" w:cs="宋体"/>
                <w:sz w:val="20"/>
                <w:szCs w:val="22"/>
              </w:rPr>
            </w:pPr>
            <w:r>
              <w:rPr>
                <w:rFonts w:hint="eastAsia" w:ascii="宋体" w:hAnsi="宋体" w:cs="宋体"/>
                <w:sz w:val="20"/>
                <w:szCs w:val="22"/>
              </w:rPr>
              <w:t>系  统</w:t>
            </w: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火灾报警探测器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4</w:t>
            </w:r>
          </w:p>
        </w:tc>
        <w:tc>
          <w:tcPr>
            <w:tcW w:w="3841" w:type="dxa"/>
            <w:tcBorders>
              <w:top w:val="nil"/>
              <w:left w:val="nil"/>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试验报警功能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spacing w:line="240" w:lineRule="exact"/>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手动报警按钮</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5</w:t>
            </w:r>
          </w:p>
        </w:tc>
        <w:tc>
          <w:tcPr>
            <w:tcW w:w="3841" w:type="dxa"/>
            <w:tcBorders>
              <w:top w:val="nil"/>
              <w:left w:val="nil"/>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试验报警功能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spacing w:line="240" w:lineRule="exact"/>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警报装置</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6</w:t>
            </w:r>
          </w:p>
        </w:tc>
        <w:tc>
          <w:tcPr>
            <w:tcW w:w="3841" w:type="dxa"/>
            <w:tcBorders>
              <w:top w:val="nil"/>
              <w:left w:val="nil"/>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试验警报功能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spacing w:line="240" w:lineRule="exact"/>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报警控制器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7</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试验报警功能、故障报警功能、火灾优先功能、打印机打印功能、火灾显示盘和CRT显示器的显示功能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消防联动控制器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8</w:t>
            </w:r>
          </w:p>
        </w:tc>
        <w:tc>
          <w:tcPr>
            <w:tcW w:w="3841" w:type="dxa"/>
            <w:tcBorders>
              <w:top w:val="nil"/>
              <w:left w:val="nil"/>
              <w:bottom w:val="single" w:color="auto" w:sz="4" w:space="0"/>
              <w:right w:val="single" w:color="auto" w:sz="4" w:space="0"/>
            </w:tcBorders>
            <w:vAlign w:val="center"/>
          </w:tcPr>
          <w:p>
            <w:pPr>
              <w:rPr>
                <w:rFonts w:ascii="宋体" w:hAnsi="宋体" w:cs="宋体"/>
                <w:sz w:val="20"/>
                <w:szCs w:val="22"/>
              </w:rPr>
            </w:pPr>
            <w:r>
              <w:rPr>
                <w:rFonts w:hint="eastAsia" w:ascii="宋体" w:hAnsi="宋体" w:cs="宋体"/>
                <w:sz w:val="20"/>
                <w:szCs w:val="22"/>
              </w:rPr>
              <w:t>试验联动控制和显示功能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restart"/>
            <w:tcBorders>
              <w:top w:val="nil"/>
              <w:left w:val="single" w:color="auto" w:sz="4" w:space="0"/>
              <w:right w:val="single" w:color="auto" w:sz="4" w:space="0"/>
            </w:tcBorders>
            <w:vAlign w:val="center"/>
          </w:tcPr>
          <w:p>
            <w:pPr>
              <w:spacing w:line="240" w:lineRule="exact"/>
              <w:rPr>
                <w:rFonts w:ascii="宋体" w:hAnsi="宋体" w:cs="宋体"/>
                <w:sz w:val="20"/>
                <w:szCs w:val="22"/>
              </w:rPr>
            </w:pPr>
          </w:p>
          <w:p>
            <w:pPr>
              <w:spacing w:line="240" w:lineRule="exact"/>
              <w:rPr>
                <w:rFonts w:ascii="宋体" w:hAnsi="宋体" w:cs="宋体"/>
                <w:sz w:val="20"/>
                <w:szCs w:val="22"/>
              </w:rPr>
            </w:pPr>
            <w:r>
              <w:rPr>
                <w:rFonts w:hint="eastAsia" w:ascii="宋体" w:hAnsi="宋体" w:cs="宋体"/>
                <w:sz w:val="20"/>
                <w:szCs w:val="22"/>
              </w:rPr>
              <w:t>消防供</w:t>
            </w:r>
          </w:p>
          <w:p>
            <w:pPr>
              <w:spacing w:line="240" w:lineRule="exact"/>
              <w:rPr>
                <w:rFonts w:ascii="宋体" w:hAnsi="宋体" w:cs="宋体"/>
                <w:sz w:val="20"/>
                <w:szCs w:val="22"/>
              </w:rPr>
            </w:pPr>
            <w:r>
              <w:rPr>
                <w:rFonts w:hint="eastAsia" w:ascii="宋体" w:hAnsi="宋体" w:cs="宋体"/>
                <w:sz w:val="20"/>
                <w:szCs w:val="22"/>
              </w:rPr>
              <w:t>水设施</w:t>
            </w: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消防水池</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9</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核对储水量</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消防水箱</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10</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核对储水量</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喷淋水泵</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11</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试验启泵和主、备泵切换功能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消火栓水泵</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12</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试验启泵和主、备泵切换功能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bottom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管网阀门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13</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试验管道阀门启闭功能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消火栓</w:t>
            </w:r>
          </w:p>
          <w:p>
            <w:pPr>
              <w:spacing w:line="240" w:lineRule="exact"/>
              <w:rPr>
                <w:rFonts w:ascii="宋体" w:hAnsi="宋体" w:cs="宋体"/>
                <w:sz w:val="20"/>
                <w:szCs w:val="22"/>
              </w:rPr>
            </w:pPr>
            <w:r>
              <w:rPr>
                <w:rFonts w:hint="eastAsia" w:ascii="宋体" w:hAnsi="宋体" w:cs="宋体"/>
                <w:sz w:val="20"/>
                <w:szCs w:val="22"/>
              </w:rPr>
              <w:t>灭火系统</w:t>
            </w: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室内消火栓</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14</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试验屋顶消火栓出水和静压</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室外消火栓</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15</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试验室外消火栓出水和静压</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启泵按钮</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16</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试验远距离启泵功能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restart"/>
            <w:tcBorders>
              <w:top w:val="single" w:color="auto" w:sz="4" w:space="0"/>
              <w:left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自动喷</w:t>
            </w:r>
          </w:p>
          <w:p>
            <w:pPr>
              <w:spacing w:line="240" w:lineRule="exact"/>
              <w:rPr>
                <w:rFonts w:ascii="宋体" w:hAnsi="宋体" w:cs="宋体"/>
                <w:sz w:val="20"/>
                <w:szCs w:val="22"/>
              </w:rPr>
            </w:pPr>
            <w:r>
              <w:rPr>
                <w:rFonts w:hint="eastAsia" w:ascii="宋体" w:hAnsi="宋体" w:cs="宋体"/>
                <w:sz w:val="20"/>
                <w:szCs w:val="22"/>
              </w:rPr>
              <w:t>淋灭火</w:t>
            </w:r>
          </w:p>
          <w:p>
            <w:pPr>
              <w:spacing w:line="240" w:lineRule="exact"/>
              <w:rPr>
                <w:rFonts w:ascii="宋体" w:hAnsi="宋体" w:cs="宋体"/>
                <w:sz w:val="20"/>
                <w:szCs w:val="22"/>
              </w:rPr>
            </w:pPr>
            <w:r>
              <w:rPr>
                <w:rFonts w:hint="eastAsia" w:ascii="宋体" w:hAnsi="宋体" w:cs="宋体"/>
                <w:sz w:val="20"/>
                <w:szCs w:val="22"/>
              </w:rPr>
              <w:t>系  统</w:t>
            </w: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报警阀组</w:t>
            </w:r>
          </w:p>
        </w:tc>
        <w:tc>
          <w:tcPr>
            <w:tcW w:w="738" w:type="dxa"/>
            <w:tcBorders>
              <w:top w:val="nil"/>
              <w:left w:val="nil"/>
              <w:bottom w:val="single" w:color="auto" w:sz="4" w:space="0"/>
              <w:right w:val="single" w:color="auto" w:sz="4" w:space="0"/>
            </w:tcBorders>
            <w:vAlign w:val="center"/>
          </w:tcPr>
          <w:p>
            <w:pPr>
              <w:rPr>
                <w:sz w:val="18"/>
              </w:rPr>
            </w:pPr>
            <w:r>
              <w:rPr>
                <w:rFonts w:hint="eastAsia"/>
                <w:sz w:val="18"/>
              </w:rPr>
              <w:t>17</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试验放水阀放水及压力开关动作信号</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末端试水装置</w:t>
            </w:r>
          </w:p>
        </w:tc>
        <w:tc>
          <w:tcPr>
            <w:tcW w:w="738" w:type="dxa"/>
            <w:tcBorders>
              <w:top w:val="nil"/>
              <w:left w:val="nil"/>
              <w:bottom w:val="single" w:color="auto" w:sz="4" w:space="0"/>
              <w:right w:val="single" w:color="auto" w:sz="4" w:space="0"/>
            </w:tcBorders>
            <w:vAlign w:val="center"/>
          </w:tcPr>
          <w:p>
            <w:pPr>
              <w:rPr>
                <w:sz w:val="18"/>
              </w:rPr>
            </w:pPr>
            <w:r>
              <w:rPr>
                <w:rFonts w:hint="eastAsia"/>
                <w:sz w:val="18"/>
              </w:rPr>
              <w:t>18</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试验末端放水、工作压力及压力开关动作信号</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bottom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水流指示器</w:t>
            </w:r>
          </w:p>
        </w:tc>
        <w:tc>
          <w:tcPr>
            <w:tcW w:w="738" w:type="dxa"/>
            <w:tcBorders>
              <w:top w:val="nil"/>
              <w:left w:val="nil"/>
              <w:bottom w:val="single" w:color="auto" w:sz="4" w:space="0"/>
              <w:right w:val="single" w:color="auto" w:sz="4" w:space="0"/>
            </w:tcBorders>
            <w:vAlign w:val="center"/>
          </w:tcPr>
          <w:p>
            <w:pPr>
              <w:rPr>
                <w:sz w:val="18"/>
              </w:rPr>
            </w:pPr>
            <w:r>
              <w:rPr>
                <w:rFonts w:hint="eastAsia"/>
                <w:sz w:val="18"/>
              </w:rPr>
              <w:t>19</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核对反馈信号</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restart"/>
            <w:tcBorders>
              <w:top w:val="single" w:color="auto" w:sz="4" w:space="0"/>
              <w:left w:val="single" w:color="auto" w:sz="4" w:space="0"/>
              <w:right w:val="single" w:color="auto" w:sz="4" w:space="0"/>
            </w:tcBorders>
            <w:vAlign w:val="center"/>
          </w:tcPr>
          <w:p>
            <w:pPr>
              <w:jc w:val="center"/>
              <w:rPr>
                <w:sz w:val="18"/>
              </w:rPr>
            </w:pPr>
            <w:r>
              <w:rPr>
                <w:rFonts w:hint="eastAsia"/>
                <w:sz w:val="18"/>
              </w:rPr>
              <w:t>气体灭</w:t>
            </w:r>
          </w:p>
          <w:p>
            <w:pPr>
              <w:rPr>
                <w:rFonts w:ascii="宋体" w:hAnsi="宋体" w:cs="宋体"/>
                <w:sz w:val="20"/>
                <w:szCs w:val="22"/>
              </w:rPr>
            </w:pPr>
            <w:r>
              <w:rPr>
                <w:rFonts w:hint="eastAsia"/>
                <w:sz w:val="18"/>
              </w:rPr>
              <w:t>火系统</w:t>
            </w: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灭火剂储罐</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20</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核对灭火剂储存量</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bottom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气体灭火控制设备</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21</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模拟自动启动，试验切断空调等相关联动</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restart"/>
            <w:tcBorders>
              <w:top w:val="single" w:color="auto" w:sz="4" w:space="0"/>
              <w:left w:val="single" w:color="auto" w:sz="4" w:space="0"/>
              <w:right w:val="single" w:color="auto" w:sz="4" w:space="0"/>
            </w:tcBorders>
            <w:vAlign w:val="center"/>
          </w:tcPr>
          <w:p>
            <w:pPr>
              <w:rPr>
                <w:rFonts w:ascii="宋体" w:hAnsi="宋体" w:cs="宋体"/>
                <w:sz w:val="20"/>
                <w:szCs w:val="22"/>
              </w:rPr>
            </w:pPr>
            <w:r>
              <w:rPr>
                <w:rFonts w:hint="eastAsia"/>
                <w:sz w:val="18"/>
              </w:rPr>
              <w:t>机械加压送风系  统</w:t>
            </w: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送风风机</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22</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试验联动启动风机</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送风口</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23</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核对送风口风速</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排烟风机</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24</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试验联动启动风机</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continue"/>
            <w:tcBorders>
              <w:left w:val="single" w:color="auto" w:sz="4" w:space="0"/>
              <w:bottom w:val="single" w:color="auto" w:sz="4" w:space="0"/>
              <w:right w:val="single" w:color="auto" w:sz="4" w:space="0"/>
            </w:tcBorders>
            <w:vAlign w:val="center"/>
          </w:tcPr>
          <w:p>
            <w:pPr>
              <w:rPr>
                <w:rFonts w:ascii="宋体" w:hAnsi="宋体" w:cs="宋体"/>
                <w:sz w:val="20"/>
                <w:szCs w:val="22"/>
              </w:rPr>
            </w:pPr>
          </w:p>
        </w:tc>
        <w:tc>
          <w:tcPr>
            <w:tcW w:w="1796" w:type="dxa"/>
            <w:gridSpan w:val="2"/>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排烟阀</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25</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试验联动启动排烟阀，核对排烟口风速</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设备</w:t>
            </w:r>
          </w:p>
        </w:tc>
        <w:tc>
          <w:tcPr>
            <w:tcW w:w="17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工作内容</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序号</w:t>
            </w:r>
          </w:p>
        </w:tc>
        <w:tc>
          <w:tcPr>
            <w:tcW w:w="3841"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工作要求</w:t>
            </w:r>
          </w:p>
        </w:tc>
        <w:tc>
          <w:tcPr>
            <w:tcW w:w="659"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占分</w:t>
            </w:r>
          </w:p>
        </w:tc>
        <w:tc>
          <w:tcPr>
            <w:tcW w:w="640"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2"/>
              </w:rPr>
            </w:pPr>
            <w:r>
              <w:rPr>
                <w:rFonts w:hint="eastAsia" w:ascii="宋体" w:hAnsi="宋体" w:cs="宋体"/>
                <w:sz w:val="20"/>
                <w:szCs w:val="22"/>
              </w:rPr>
              <w:t>扣分情况</w:t>
            </w:r>
          </w:p>
        </w:tc>
        <w:tc>
          <w:tcPr>
            <w:tcW w:w="1137"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szCs w:val="22"/>
              </w:rPr>
            </w:pPr>
            <w:r>
              <w:rPr>
                <w:rFonts w:hint="eastAsia" w:ascii="宋体" w:hAnsi="宋体" w:cs="宋体"/>
                <w:sz w:val="20"/>
                <w:szCs w:val="22"/>
              </w:rPr>
              <w:t>备注</w:t>
            </w:r>
          </w:p>
        </w:tc>
      </w:tr>
      <w:tr>
        <w:tblPrEx>
          <w:tblCellMar>
            <w:top w:w="0" w:type="dxa"/>
            <w:left w:w="108" w:type="dxa"/>
            <w:bottom w:w="0" w:type="dxa"/>
            <w:right w:w="108" w:type="dxa"/>
          </w:tblCellMar>
        </w:tblPrEx>
        <w:trPr>
          <w:trHeight w:val="408" w:hRule="atLeast"/>
          <w:jc w:val="center"/>
        </w:trPr>
        <w:tc>
          <w:tcPr>
            <w:tcW w:w="261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应急照明</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26</w:t>
            </w:r>
          </w:p>
        </w:tc>
        <w:tc>
          <w:tcPr>
            <w:tcW w:w="3841" w:type="dxa"/>
            <w:tcBorders>
              <w:top w:val="single" w:color="auto" w:sz="4" w:space="0"/>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试验切断正常供电，测量断电工作时间</w:t>
            </w:r>
          </w:p>
        </w:tc>
        <w:tc>
          <w:tcPr>
            <w:tcW w:w="659"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single" w:color="auto" w:sz="4" w:space="0"/>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single" w:color="auto" w:sz="4" w:space="0"/>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2618" w:type="dxa"/>
            <w:gridSpan w:val="3"/>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疏散指示标志</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27</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试验切断正常供电，测量断电工作时间</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1309" w:type="dxa"/>
            <w:gridSpan w:val="2"/>
            <w:vMerge w:val="restart"/>
            <w:tcBorders>
              <w:left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 xml:space="preserve"> 消防通讯系统</w:t>
            </w:r>
          </w:p>
        </w:tc>
        <w:tc>
          <w:tcPr>
            <w:tcW w:w="1309" w:type="dxa"/>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扩音器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28</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试验联动启动和强制切换功能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1309" w:type="dxa"/>
            <w:gridSpan w:val="2"/>
            <w:vMerge w:val="continue"/>
            <w:tcBorders>
              <w:left w:val="single" w:color="auto" w:sz="4" w:space="0"/>
              <w:right w:val="single" w:color="auto" w:sz="4" w:space="0"/>
            </w:tcBorders>
            <w:vAlign w:val="center"/>
          </w:tcPr>
          <w:p>
            <w:pPr>
              <w:jc w:val="center"/>
              <w:rPr>
                <w:rFonts w:ascii="宋体" w:hAnsi="宋体" w:cs="宋体"/>
                <w:sz w:val="20"/>
                <w:szCs w:val="22"/>
              </w:rPr>
            </w:pPr>
          </w:p>
        </w:tc>
        <w:tc>
          <w:tcPr>
            <w:tcW w:w="1309" w:type="dxa"/>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扬声器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29</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测试音量、音质</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1309"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cs="宋体"/>
                <w:sz w:val="20"/>
                <w:szCs w:val="22"/>
              </w:rPr>
            </w:pPr>
          </w:p>
        </w:tc>
        <w:tc>
          <w:tcPr>
            <w:tcW w:w="1309" w:type="dxa"/>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消防专用电话</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30</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试验通话质量</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1309" w:type="dxa"/>
            <w:gridSpan w:val="2"/>
            <w:vMerge w:val="restart"/>
            <w:tcBorders>
              <w:left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防火</w:t>
            </w:r>
          </w:p>
          <w:p>
            <w:pPr>
              <w:jc w:val="center"/>
              <w:rPr>
                <w:rFonts w:ascii="宋体" w:hAnsi="宋体" w:cs="宋体"/>
                <w:sz w:val="20"/>
                <w:szCs w:val="22"/>
              </w:rPr>
            </w:pPr>
            <w:r>
              <w:rPr>
                <w:rFonts w:hint="eastAsia" w:ascii="宋体" w:hAnsi="宋体" w:cs="宋体"/>
                <w:sz w:val="20"/>
                <w:szCs w:val="22"/>
              </w:rPr>
              <w:t>分隔</w:t>
            </w:r>
          </w:p>
        </w:tc>
        <w:tc>
          <w:tcPr>
            <w:tcW w:w="1309" w:type="dxa"/>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防火门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31</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试验启闭功能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1309"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cs="宋体"/>
                <w:sz w:val="20"/>
                <w:szCs w:val="22"/>
              </w:rPr>
            </w:pPr>
          </w:p>
        </w:tc>
        <w:tc>
          <w:tcPr>
            <w:tcW w:w="1309" w:type="dxa"/>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防火卷帘</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32</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试验手动、机械应急和自动控制功能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1309" w:type="dxa"/>
            <w:gridSpan w:val="2"/>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p>
        </w:tc>
        <w:tc>
          <w:tcPr>
            <w:tcW w:w="1309" w:type="dxa"/>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消防电梯</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33</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试验按钮迫降和联动控制功能</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1309" w:type="dxa"/>
            <w:gridSpan w:val="2"/>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p>
        </w:tc>
        <w:tc>
          <w:tcPr>
            <w:tcW w:w="1309" w:type="dxa"/>
            <w:tcBorders>
              <w:left w:val="single" w:color="auto" w:sz="4" w:space="0"/>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灭火器</w:t>
            </w:r>
          </w:p>
        </w:tc>
        <w:tc>
          <w:tcPr>
            <w:tcW w:w="738"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34</w:t>
            </w:r>
          </w:p>
        </w:tc>
        <w:tc>
          <w:tcPr>
            <w:tcW w:w="3841" w:type="dxa"/>
            <w:tcBorders>
              <w:top w:val="nil"/>
              <w:left w:val="nil"/>
              <w:bottom w:val="single" w:color="auto" w:sz="4" w:space="0"/>
              <w:right w:val="single" w:color="auto" w:sz="4" w:space="0"/>
            </w:tcBorders>
            <w:vAlign w:val="center"/>
          </w:tcPr>
          <w:p>
            <w:pPr>
              <w:spacing w:line="240" w:lineRule="exact"/>
              <w:rPr>
                <w:rFonts w:ascii="宋体" w:hAnsi="宋体" w:cs="宋体"/>
                <w:sz w:val="20"/>
                <w:szCs w:val="22"/>
              </w:rPr>
            </w:pPr>
            <w:r>
              <w:rPr>
                <w:rFonts w:hint="eastAsia" w:ascii="宋体" w:hAnsi="宋体" w:cs="宋体"/>
                <w:sz w:val="20"/>
                <w:szCs w:val="22"/>
              </w:rPr>
              <w:t>核对选型、压力和有效期</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p>
        </w:tc>
      </w:tr>
      <w:tr>
        <w:tblPrEx>
          <w:tblCellMar>
            <w:top w:w="0" w:type="dxa"/>
            <w:left w:w="108" w:type="dxa"/>
            <w:bottom w:w="0" w:type="dxa"/>
            <w:right w:w="108" w:type="dxa"/>
          </w:tblCellMar>
        </w:tblPrEx>
        <w:trPr>
          <w:trHeight w:val="408" w:hRule="atLeast"/>
          <w:jc w:val="center"/>
        </w:trPr>
        <w:tc>
          <w:tcPr>
            <w:tcW w:w="82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合同执行情况</w:t>
            </w:r>
          </w:p>
        </w:tc>
        <w:tc>
          <w:tcPr>
            <w:tcW w:w="6375"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未按合同执行维修保养导致系统不能正常使用</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2"/>
              </w:rPr>
            </w:pPr>
          </w:p>
        </w:tc>
        <w:tc>
          <w:tcPr>
            <w:tcW w:w="6375"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维护质量不合格或达不到维护标准</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3</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2"/>
              </w:rPr>
            </w:pPr>
          </w:p>
        </w:tc>
        <w:tc>
          <w:tcPr>
            <w:tcW w:w="6375"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乙方接维修通知3天内未到场</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408" w:hRule="atLeast"/>
          <w:jc w:val="center"/>
        </w:trPr>
        <w:tc>
          <w:tcPr>
            <w:tcW w:w="822"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szCs w:val="22"/>
              </w:rPr>
            </w:pPr>
          </w:p>
        </w:tc>
        <w:tc>
          <w:tcPr>
            <w:tcW w:w="6375"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不听从保卫科工作安排（工作范围内）</w:t>
            </w:r>
          </w:p>
        </w:tc>
        <w:tc>
          <w:tcPr>
            <w:tcW w:w="659" w:type="dxa"/>
            <w:tcBorders>
              <w:top w:val="nil"/>
              <w:left w:val="nil"/>
              <w:bottom w:val="single" w:color="auto" w:sz="4" w:space="0"/>
              <w:right w:val="single" w:color="auto" w:sz="4" w:space="0"/>
            </w:tcBorders>
            <w:vAlign w:val="center"/>
          </w:tcPr>
          <w:p>
            <w:pPr>
              <w:jc w:val="center"/>
              <w:rPr>
                <w:rFonts w:ascii="宋体" w:hAnsi="宋体" w:cs="宋体"/>
                <w:sz w:val="20"/>
                <w:szCs w:val="22"/>
              </w:rPr>
            </w:pPr>
            <w:r>
              <w:rPr>
                <w:rFonts w:hint="eastAsia" w:ascii="宋体" w:hAnsi="宋体" w:cs="宋体"/>
                <w:sz w:val="20"/>
                <w:szCs w:val="22"/>
              </w:rPr>
              <w:t>2</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r>
        <w:tblPrEx>
          <w:tblCellMar>
            <w:top w:w="0" w:type="dxa"/>
            <w:left w:w="108" w:type="dxa"/>
            <w:bottom w:w="0" w:type="dxa"/>
            <w:right w:w="108" w:type="dxa"/>
          </w:tblCellMar>
        </w:tblPrEx>
        <w:trPr>
          <w:trHeight w:val="285" w:hRule="atLeast"/>
          <w:jc w:val="center"/>
        </w:trPr>
        <w:tc>
          <w:tcPr>
            <w:tcW w:w="7856" w:type="dxa"/>
            <w:gridSpan w:val="6"/>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sz w:val="20"/>
                <w:szCs w:val="22"/>
              </w:rPr>
            </w:pPr>
            <w:r>
              <w:rPr>
                <w:rFonts w:hint="eastAsia" w:ascii="宋体" w:hAnsi="宋体" w:cs="宋体"/>
                <w:sz w:val="20"/>
                <w:szCs w:val="22"/>
              </w:rPr>
              <w:t>总计：</w:t>
            </w:r>
          </w:p>
        </w:tc>
        <w:tc>
          <w:tcPr>
            <w:tcW w:w="640"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c>
          <w:tcPr>
            <w:tcW w:w="1137" w:type="dxa"/>
            <w:tcBorders>
              <w:top w:val="nil"/>
              <w:left w:val="nil"/>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　</w:t>
            </w:r>
          </w:p>
        </w:tc>
      </w:tr>
    </w:tbl>
    <w:p>
      <w:pPr>
        <w:rPr>
          <w:rFonts w:ascii="Calibri" w:hAnsi="Calibri"/>
          <w:szCs w:val="22"/>
        </w:rPr>
      </w:pPr>
    </w:p>
    <w:p>
      <w:pPr>
        <w:rPr>
          <w:rFonts w:ascii="Calibri" w:hAnsi="Calibri"/>
        </w:rPr>
      </w:pPr>
    </w:p>
    <w:p>
      <w:pPr>
        <w:rPr>
          <w:rFonts w:ascii="Calibri" w:hAnsi="Calibri"/>
          <w:u w:val="single"/>
        </w:rPr>
      </w:pPr>
      <w:r>
        <w:rPr>
          <w:rFonts w:hint="eastAsia" w:ascii="Calibri" w:hAnsi="Calibri"/>
        </w:rPr>
        <w:t>保卫科消防班验收意见：</w:t>
      </w:r>
      <w:r>
        <w:rPr>
          <w:rFonts w:hint="eastAsia" w:ascii="Calibri" w:hAnsi="Calibri"/>
          <w:u w:val="single"/>
        </w:rPr>
        <w:t xml:space="preserve">                                                                </w:t>
      </w:r>
    </w:p>
    <w:p>
      <w:pPr>
        <w:rPr>
          <w:rFonts w:ascii="Calibri" w:hAnsi="Calibri"/>
        </w:rPr>
      </w:pPr>
    </w:p>
    <w:p>
      <w:pPr>
        <w:rPr>
          <w:rFonts w:ascii="Calibri" w:hAnsi="Calibri"/>
          <w:u w:val="single"/>
        </w:rPr>
      </w:pPr>
      <w:r>
        <w:rPr>
          <w:rFonts w:hint="eastAsia" w:ascii="Calibri" w:hAnsi="Calibri"/>
          <w:u w:val="single"/>
        </w:rPr>
        <w:t xml:space="preserve">                                                                                     </w:t>
      </w:r>
    </w:p>
    <w:p>
      <w:pPr>
        <w:rPr>
          <w:rFonts w:ascii="Calibri" w:hAnsi="Calibri"/>
          <w:sz w:val="24"/>
          <w:szCs w:val="24"/>
        </w:rPr>
      </w:pPr>
    </w:p>
    <w:p>
      <w:pPr>
        <w:rPr>
          <w:rFonts w:ascii="Calibri" w:hAnsi="Calibri"/>
          <w:u w:val="single"/>
        </w:rPr>
      </w:pPr>
      <w:r>
        <w:rPr>
          <w:rFonts w:hint="eastAsia" w:ascii="Calibri" w:hAnsi="Calibri"/>
        </w:rPr>
        <w:t>维护保养公司签名：</w:t>
      </w:r>
      <w:r>
        <w:rPr>
          <w:rFonts w:hint="eastAsia" w:ascii="Calibri" w:hAnsi="Calibri"/>
          <w:u w:val="single"/>
        </w:rPr>
        <w:t xml:space="preserve">                      </w:t>
      </w:r>
      <w:r>
        <w:rPr>
          <w:rFonts w:ascii="Calibri" w:hAnsi="Calibri"/>
          <w:u w:val="single"/>
        </w:rPr>
        <w:t xml:space="preserve">  </w:t>
      </w:r>
      <w:r>
        <w:rPr>
          <w:rFonts w:ascii="Calibri" w:hAnsi="Calibri"/>
        </w:rPr>
        <w:t xml:space="preserve">  </w:t>
      </w:r>
      <w:r>
        <w:rPr>
          <w:rFonts w:hint="eastAsia" w:ascii="Calibri" w:hAnsi="Calibri"/>
        </w:rPr>
        <w:t>保卫科负责人签名：</w:t>
      </w:r>
      <w:r>
        <w:rPr>
          <w:rFonts w:hint="eastAsia" w:ascii="Calibri" w:hAnsi="Calibri"/>
          <w:u w:val="single"/>
        </w:rPr>
        <w:t xml:space="preserve">                     </w:t>
      </w:r>
    </w:p>
    <w:p>
      <w:pPr>
        <w:rPr>
          <w:rFonts w:ascii="Calibri" w:hAnsi="Calibri"/>
        </w:rPr>
      </w:pPr>
      <w:r>
        <w:rPr>
          <w:rFonts w:hint="eastAsia" w:ascii="Calibri" w:hAnsi="Calibri"/>
        </w:rPr>
        <w:t xml:space="preserve"> </w:t>
      </w:r>
    </w:p>
    <w:p>
      <w:pPr>
        <w:pStyle w:val="13"/>
        <w:keepNext w:val="0"/>
        <w:keepLines w:val="0"/>
        <w:pageBreakBefore w:val="0"/>
        <w:kinsoku/>
        <w:wordWrap/>
        <w:overflowPunct/>
        <w:topLinePunct w:val="0"/>
        <w:bidi w:val="0"/>
        <w:snapToGrid/>
        <w:ind w:left="0" w:leftChars="0" w:firstLine="4560" w:firstLineChars="1900"/>
        <w:textAlignment w:val="auto"/>
      </w:pPr>
      <w:r>
        <w:rPr>
          <w:rFonts w:hint="eastAsia" w:ascii="Calibri" w:hAnsi="Calibri"/>
        </w:rPr>
        <w:t>日        期：</w:t>
      </w:r>
      <w:r>
        <w:rPr>
          <w:rFonts w:hint="eastAsia" w:ascii="Calibri" w:hAnsi="Calibri"/>
          <w:u w:val="single"/>
        </w:rPr>
        <w:t xml:space="preserve">                  </w:t>
      </w:r>
    </w:p>
    <w:p>
      <w:pPr>
        <w:keepNext w:val="0"/>
        <w:keepLines w:val="0"/>
        <w:pageBreakBefore w:val="0"/>
        <w:widowControl/>
        <w:kinsoku/>
        <w:wordWrap/>
        <w:overflowPunct/>
        <w:topLinePunct w:val="0"/>
        <w:bidi w:val="0"/>
        <w:snapToGrid/>
        <w:spacing w:line="360" w:lineRule="auto"/>
        <w:ind w:left="0" w:leftChars="0" w:hanging="2"/>
        <w:jc w:val="left"/>
        <w:textAlignment w:val="auto"/>
        <w:rPr>
          <w:rFonts w:hint="eastAsia" w:cs="宋体"/>
          <w:b/>
          <w:bCs/>
          <w:kern w:val="0"/>
          <w:sz w:val="28"/>
          <w:szCs w:val="28"/>
          <w:lang w:val="en-US" w:eastAsia="zh-CN"/>
        </w:rPr>
      </w:pPr>
    </w:p>
    <w:p>
      <w:pPr>
        <w:keepNext w:val="0"/>
        <w:keepLines w:val="0"/>
        <w:pageBreakBefore w:val="0"/>
        <w:widowControl/>
        <w:kinsoku/>
        <w:wordWrap/>
        <w:overflowPunct/>
        <w:topLinePunct w:val="0"/>
        <w:bidi w:val="0"/>
        <w:snapToGrid/>
        <w:spacing w:line="360" w:lineRule="auto"/>
        <w:ind w:left="0" w:leftChars="0" w:hanging="2"/>
        <w:jc w:val="left"/>
        <w:textAlignment w:val="auto"/>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keepNext w:val="0"/>
        <w:keepLines w:val="0"/>
        <w:pageBreakBefore w:val="0"/>
        <w:widowControl/>
        <w:kinsoku/>
        <w:wordWrap/>
        <w:overflowPunct/>
        <w:topLinePunct w:val="0"/>
        <w:bidi w:val="0"/>
        <w:snapToGrid/>
        <w:spacing w:line="400" w:lineRule="exact"/>
        <w:ind w:left="0" w:leftChars="0" w:firstLine="412" w:firstLineChars="172"/>
        <w:jc w:val="left"/>
        <w:textAlignment w:val="auto"/>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eastAsia="zh-CN"/>
        </w:rPr>
        <w:t>综合评分法</w:t>
      </w:r>
      <w:r>
        <w:rPr>
          <w:rFonts w:hint="eastAsia" w:cs="宋体"/>
          <w:b/>
          <w:bCs/>
          <w:kern w:val="0"/>
          <w:sz w:val="24"/>
          <w:szCs w:val="24"/>
          <w:u w:val="single"/>
          <w:lang w:val="en-US" w:eastAsia="zh-CN"/>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3"/>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b/>
          <w:bCs/>
          <w:kern w:val="0"/>
          <w:sz w:val="24"/>
          <w:szCs w:val="24"/>
        </w:rPr>
        <w:t>25</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13"/>
        <w:ind w:firstLine="480" w:firstLineChars="200"/>
      </w:pPr>
      <w:r>
        <w:t>投标报价得分=（评标基准价÷投标报价）×</w:t>
      </w:r>
      <w:r>
        <w:rPr>
          <w:rFonts w:hint="eastAsia" w:cs="宋体"/>
          <w:color w:val="auto"/>
        </w:rPr>
        <w:t>X</w:t>
      </w:r>
      <w:r>
        <w:t>（计算结果四舍五入，保留两位小数）</w:t>
      </w:r>
    </w:p>
    <w:p>
      <w:pPr>
        <w:widowControl/>
        <w:spacing w:line="360" w:lineRule="auto"/>
        <w:ind w:firstLine="482" w:firstLineChars="200"/>
        <w:jc w:val="left"/>
        <w:rPr>
          <w:rFonts w:cs="宋体"/>
          <w:b/>
          <w:bCs/>
          <w:kern w:val="0"/>
          <w:sz w:val="24"/>
          <w:szCs w:val="24"/>
        </w:rPr>
      </w:pPr>
      <w:r>
        <w:rPr>
          <w:rFonts w:hint="eastAsia" w:cs="宋体"/>
          <w:b/>
          <w:bCs/>
          <w:kern w:val="0"/>
          <w:sz w:val="24"/>
          <w:szCs w:val="24"/>
        </w:rPr>
        <w:t>2. 服务能力分（</w:t>
      </w:r>
      <w:r>
        <w:rPr>
          <w:rFonts w:cs="宋体"/>
          <w:b/>
          <w:bCs/>
          <w:kern w:val="0"/>
          <w:sz w:val="24"/>
          <w:szCs w:val="24"/>
        </w:rPr>
        <w:t>65</w:t>
      </w:r>
      <w:r>
        <w:rPr>
          <w:rFonts w:hint="eastAsia" w:cs="宋体"/>
          <w:b/>
          <w:bCs/>
          <w:kern w:val="0"/>
          <w:sz w:val="24"/>
          <w:szCs w:val="24"/>
        </w:rPr>
        <w:t>分）</w:t>
      </w:r>
    </w:p>
    <w:p>
      <w:pPr>
        <w:widowControl/>
        <w:spacing w:line="360" w:lineRule="auto"/>
        <w:ind w:left="482"/>
        <w:jc w:val="left"/>
        <w:rPr>
          <w:bCs/>
          <w:kern w:val="0"/>
          <w:sz w:val="24"/>
        </w:rPr>
      </w:pPr>
      <w:r>
        <w:rPr>
          <w:rFonts w:hint="eastAsia"/>
          <w:b/>
          <w:bCs/>
          <w:kern w:val="0"/>
          <w:sz w:val="24"/>
        </w:rPr>
        <w:t>2.1</w:t>
      </w:r>
      <w:r>
        <w:rPr>
          <w:rFonts w:hint="eastAsia"/>
          <w:bCs/>
          <w:kern w:val="0"/>
          <w:sz w:val="24"/>
        </w:rPr>
        <w:t>考察投标人的维保服务方案、维保服务承诺、投入人员等情况</w:t>
      </w:r>
    </w:p>
    <w:p>
      <w:pPr>
        <w:widowControl/>
        <w:spacing w:line="360" w:lineRule="auto"/>
        <w:ind w:left="482"/>
        <w:jc w:val="left"/>
        <w:rPr>
          <w:bCs/>
          <w:kern w:val="0"/>
          <w:sz w:val="24"/>
        </w:rPr>
      </w:pPr>
      <w:r>
        <w:rPr>
          <w:rFonts w:hint="eastAsia" w:cs="宋体"/>
          <w:b/>
          <w:bCs/>
          <w:kern w:val="0"/>
          <w:sz w:val="24"/>
          <w:szCs w:val="24"/>
        </w:rPr>
        <w:t>3. 履约能力分（</w:t>
      </w:r>
      <w:r>
        <w:rPr>
          <w:rFonts w:cs="宋体"/>
          <w:b/>
          <w:bCs/>
          <w:kern w:val="0"/>
          <w:sz w:val="24"/>
          <w:szCs w:val="24"/>
        </w:rPr>
        <w:t>10</w:t>
      </w:r>
      <w:r>
        <w:rPr>
          <w:rFonts w:hint="eastAsia" w:cs="宋体"/>
          <w:b/>
          <w:bCs/>
          <w:kern w:val="0"/>
          <w:sz w:val="24"/>
          <w:szCs w:val="24"/>
        </w:rPr>
        <w:t>分</w:t>
      </w:r>
      <w:r>
        <w:rPr>
          <w:rFonts w:hint="eastAsia"/>
          <w:bCs/>
          <w:kern w:val="0"/>
          <w:sz w:val="24"/>
        </w:rPr>
        <w:t>）</w:t>
      </w:r>
    </w:p>
    <w:p>
      <w:pPr>
        <w:widowControl/>
        <w:spacing w:line="360" w:lineRule="auto"/>
        <w:ind w:left="482"/>
        <w:jc w:val="left"/>
        <w:rPr>
          <w:bCs/>
          <w:kern w:val="0"/>
          <w:sz w:val="24"/>
        </w:rPr>
      </w:pPr>
      <w:r>
        <w:rPr>
          <w:rFonts w:hint="eastAsia"/>
          <w:b/>
          <w:kern w:val="0"/>
          <w:sz w:val="24"/>
        </w:rPr>
        <w:t>3.1</w:t>
      </w:r>
      <w:r>
        <w:rPr>
          <w:rFonts w:hint="eastAsia"/>
          <w:bCs/>
          <w:kern w:val="0"/>
          <w:sz w:val="24"/>
        </w:rPr>
        <w:t>考察投标人的业绩、</w:t>
      </w:r>
      <w:r>
        <w:rPr>
          <w:rFonts w:hint="eastAsia"/>
          <w:bCs/>
          <w:kern w:val="0"/>
          <w:sz w:val="24"/>
          <w:lang w:eastAsia="zh-CN"/>
        </w:rPr>
        <w:t>获奖</w:t>
      </w:r>
      <w:r>
        <w:rPr>
          <w:rFonts w:hint="eastAsia"/>
          <w:bCs/>
          <w:kern w:val="0"/>
          <w:sz w:val="24"/>
        </w:rPr>
        <w:t>等情况</w:t>
      </w:r>
    </w:p>
    <w:p>
      <w:pPr>
        <w:rPr>
          <w:rFonts w:hint="eastAsia" w:cs="宋体"/>
        </w:rPr>
      </w:pPr>
      <w:r>
        <w:rPr>
          <w:rFonts w:hint="eastAsia" w:cs="宋体"/>
        </w:rPr>
        <w:br w:type="page"/>
      </w:r>
    </w:p>
    <w:p>
      <w:pPr>
        <w:pStyle w:val="13"/>
        <w:ind w:firstLine="480" w:firstLineChars="200"/>
      </w:pPr>
      <w:r>
        <w:rPr>
          <w:rFonts w:hint="eastAsia" w:cs="宋体"/>
        </w:rPr>
        <w:t>附件：评分模板</w:t>
      </w:r>
    </w:p>
    <w:sdt>
      <w:sdtPr>
        <w:rPr>
          <w:rFonts w:hint="eastAsia" w:ascii="宋体" w:hAnsi="宋体" w:cs="宋体"/>
          <w:color w:val="000000"/>
          <w:kern w:val="0"/>
          <w:sz w:val="24"/>
          <w:szCs w:val="24"/>
        </w:rPr>
        <w:id w:val="2068989185"/>
        <w:placeholder>
          <w:docPart w:val="{d727068d-5df0-437f-bbda-646248b6703c}"/>
        </w:placeholder>
      </w:sdtPr>
      <w:sdtEndPr>
        <w:rPr>
          <w:rFonts w:hint="default" w:ascii="Times New Roman" w:hAnsi="Times New Roman" w:cs="Times New Roman"/>
          <w:color w:val="000000"/>
          <w:kern w:val="0"/>
          <w:sz w:val="24"/>
          <w:szCs w:val="24"/>
        </w:rPr>
      </w:sdtEndPr>
      <w:sdtContent>
        <w:tbl>
          <w:tblPr>
            <w:tblStyle w:val="9"/>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09" w:type="dxa"/>
                <w:vAlign w:val="center"/>
              </w:tcPr>
              <w:p>
                <w:pPr>
                  <w:spacing w:line="280" w:lineRule="exact"/>
                  <w:jc w:val="center"/>
                  <w:rPr>
                    <w:rFonts w:ascii="宋体" w:hAnsi="宋体" w:cs="宋体"/>
                  </w:rPr>
                </w:pPr>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09" w:type="dxa"/>
                <w:vAlign w:val="center"/>
              </w:tcPr>
              <w:p>
                <w:pPr>
                  <w:spacing w:line="280" w:lineRule="exact"/>
                  <w:jc w:val="center"/>
                  <w:rPr>
                    <w:rFonts w:ascii="宋体" w:hAnsi="宋体" w:cs="宋体"/>
                  </w:rPr>
                </w:pPr>
                <w:r>
                  <w:rPr>
                    <w:rFonts w:hint="eastAsia" w:ascii="宋体" w:hAnsi="宋体" w:cs="宋体"/>
                  </w:rPr>
                  <w:t>一</w:t>
                </w:r>
              </w:p>
            </w:tc>
            <w:tc>
              <w:tcPr>
                <w:tcW w:w="1418" w:type="dxa"/>
                <w:vAlign w:val="center"/>
              </w:tcPr>
              <w:p>
                <w:pPr>
                  <w:spacing w:line="280" w:lineRule="exact"/>
                  <w:rPr>
                    <w:rFonts w:ascii="宋体" w:hAnsi="宋体" w:cs="宋体"/>
                  </w:rPr>
                </w:pPr>
                <w:r>
                  <w:rPr>
                    <w:rFonts w:hint="eastAsia" w:ascii="宋体" w:hAnsi="宋体" w:cs="宋体"/>
                  </w:rPr>
                  <w:t>投标报价分</w:t>
                </w:r>
              </w:p>
              <w:p>
                <w:pPr>
                  <w:pStyle w:val="13"/>
                </w:pPr>
                <w:r>
                  <w:rPr>
                    <w:rFonts w:hint="eastAsia"/>
                  </w:rPr>
                  <w:t>（</w:t>
                </w:r>
                <w:r>
                  <w:rPr>
                    <w:color w:val="FF0000"/>
                    <w:u w:val="single"/>
                  </w:rPr>
                  <w:t xml:space="preserve"> </w:t>
                </w:r>
                <w:r>
                  <w:rPr>
                    <w:rFonts w:hint="eastAsia"/>
                    <w:color w:val="FF0000"/>
                    <w:sz w:val="21"/>
                    <w:szCs w:val="21"/>
                    <w:u w:val="single"/>
                  </w:rPr>
                  <w:t>2</w:t>
                </w:r>
                <w:r>
                  <w:rPr>
                    <w:color w:val="FF0000"/>
                    <w:sz w:val="21"/>
                    <w:szCs w:val="21"/>
                    <w:u w:val="single"/>
                  </w:rPr>
                  <w:t>5</w:t>
                </w:r>
                <w:r>
                  <w:rPr>
                    <w:color w:val="FF0000"/>
                    <w:u w:val="single"/>
                  </w:rPr>
                  <w:t xml:space="preserve"> </w:t>
                </w:r>
                <w:r>
                  <w:rPr>
                    <w:rFonts w:hint="eastAsia"/>
                  </w:rPr>
                  <w:t>分）</w:t>
                </w:r>
              </w:p>
            </w:tc>
            <w:tc>
              <w:tcPr>
                <w:tcW w:w="6409" w:type="dxa"/>
                <w:vAlign w:val="center"/>
              </w:tcPr>
              <w:p>
                <w:pPr>
                  <w:keepNext w:val="0"/>
                  <w:keepLines w:val="0"/>
                  <w:pageBreakBefore w:val="0"/>
                  <w:kinsoku/>
                  <w:wordWrap/>
                  <w:overflowPunct/>
                  <w:topLinePunct w:val="0"/>
                  <w:bidi w:val="0"/>
                  <w:snapToGrid/>
                  <w:spacing w:line="300" w:lineRule="exact"/>
                  <w:rPr>
                    <w:rFonts w:hAnsi="宋体"/>
                    <w:bCs/>
                  </w:rPr>
                </w:pPr>
                <w:r>
                  <w:rPr>
                    <w:rFonts w:hint="eastAsia" w:hAnsi="宋体"/>
                    <w:bCs/>
                  </w:rPr>
                  <w:t>（</w:t>
                </w:r>
                <w:r>
                  <w:rPr>
                    <w:rFonts w:hAnsi="宋体"/>
                    <w:bCs/>
                  </w:rPr>
                  <w:t>1</w:t>
                </w:r>
                <w:r>
                  <w:rPr>
                    <w:rFonts w:hint="eastAsia" w:hAnsi="宋体"/>
                    <w:bCs/>
                  </w:rPr>
                  <w:t>）评标价为投标人的投标报价进行政策性扣除后的价格，评标价只是作为评标时使用。最终中标人的中标金额＝投标报价。</w:t>
                </w:r>
              </w:p>
              <w:p>
                <w:pPr>
                  <w:keepNext w:val="0"/>
                  <w:keepLines w:val="0"/>
                  <w:pageBreakBefore w:val="0"/>
                  <w:kinsoku/>
                  <w:wordWrap/>
                  <w:overflowPunct/>
                  <w:topLinePunct w:val="0"/>
                  <w:bidi w:val="0"/>
                  <w:snapToGrid/>
                  <w:spacing w:line="300" w:lineRule="exact"/>
                  <w:rPr>
                    <w:rFonts w:hAnsi="宋体"/>
                    <w:bCs/>
                  </w:rPr>
                </w:pPr>
                <w:r>
                  <w:rPr>
                    <w:rFonts w:hint="eastAsia" w:hAnsi="宋体"/>
                    <w:bCs/>
                  </w:rPr>
                  <w:t>（2）</w:t>
                </w:r>
                <w:r>
                  <w:rPr>
                    <w:rFonts w:hAnsi="宋体"/>
                    <w:bCs/>
                  </w:rPr>
                  <w:t>价格分应当采用低价优先法计算，即满足磋商文件要求且磋商价格最低的磋商报价为评标基价，其价格分为满分。其他投标人的价格分统一按照下列公示计算：</w:t>
                </w:r>
              </w:p>
              <w:p>
                <w:pPr>
                  <w:pStyle w:val="4"/>
                  <w:keepNext w:val="0"/>
                  <w:keepLines w:val="0"/>
                  <w:pageBreakBefore w:val="0"/>
                  <w:kinsoku/>
                  <w:wordWrap/>
                  <w:overflowPunct/>
                  <w:topLinePunct w:val="0"/>
                  <w:bidi w:val="0"/>
                  <w:snapToGrid/>
                  <w:spacing w:line="300" w:lineRule="exact"/>
                  <w:ind w:left="241" w:hanging="241" w:hangingChars="100"/>
                  <w:outlineLvl w:val="0"/>
                  <w:rPr>
                    <w:rFonts w:hAnsi="宋体" w:cs="宋体"/>
                  </w:rPr>
                </w:pPr>
                <w:r>
                  <w:rPr>
                    <w:rStyle w:val="19"/>
                    <w:rFonts w:hint="default" w:ascii="新宋体" w:hAnsi="新宋体" w:eastAsia="新宋体" w:cs="新宋体"/>
                    <w:b/>
                  </w:rPr>
                  <w:t>磋商报价得分=（评标基准价/磋商报价）×</w:t>
                </w:r>
                <w:r>
                  <w:rPr>
                    <w:rStyle w:val="19"/>
                    <w:rFonts w:hint="default" w:ascii="新宋体" w:hAnsi="新宋体" w:eastAsia="新宋体" w:cs="新宋体"/>
                    <w:b/>
                    <w:highlight w:val="yellow"/>
                  </w:rPr>
                  <w:t>投标报价分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5" w:hRule="atLeast"/>
              <w:jc w:val="center"/>
            </w:trPr>
            <w:tc>
              <w:tcPr>
                <w:tcW w:w="709" w:type="dxa"/>
                <w:vMerge w:val="restart"/>
                <w:vAlign w:val="center"/>
              </w:tcPr>
              <w:p>
                <w:pPr>
                  <w:spacing w:line="280" w:lineRule="exact"/>
                  <w:jc w:val="center"/>
                  <w:rPr>
                    <w:rFonts w:ascii="宋体" w:hAnsi="宋体" w:cs="宋体"/>
                  </w:rPr>
                </w:pPr>
                <w:r>
                  <w:rPr>
                    <w:rFonts w:hint="eastAsia" w:ascii="宋体" w:hAnsi="宋体" w:cs="宋体"/>
                  </w:rPr>
                  <w:t>二</w:t>
                </w:r>
              </w:p>
            </w:tc>
            <w:tc>
              <w:tcPr>
                <w:tcW w:w="1418" w:type="dxa"/>
                <w:vMerge w:val="restart"/>
                <w:vAlign w:val="center"/>
              </w:tcPr>
              <w:p>
                <w:pPr>
                  <w:jc w:val="left"/>
                  <w:rPr>
                    <w:rFonts w:ascii="宋体" w:hAnsi="宋体" w:cs="宋体"/>
                    <w:bCs/>
                    <w:color w:val="000000"/>
                    <w:spacing w:val="10"/>
                    <w:kern w:val="0"/>
                  </w:rPr>
                </w:pPr>
                <w:r>
                  <w:rPr>
                    <w:rFonts w:hint="eastAsia"/>
                    <w:bCs/>
                    <w:color w:val="000000"/>
                  </w:rPr>
                  <w:t>服务能力分（</w:t>
                </w:r>
                <w:r>
                  <w:rPr>
                    <w:rFonts w:hAnsi="宋体"/>
                    <w:color w:val="FF0000"/>
                    <w:u w:val="single"/>
                  </w:rPr>
                  <w:t xml:space="preserve"> 65 </w:t>
                </w:r>
                <w:r>
                  <w:rPr>
                    <w:rFonts w:hint="eastAsia" w:hAnsi="宋体"/>
                    <w:color w:val="000000"/>
                  </w:rPr>
                  <w:t>分</w:t>
                </w:r>
                <w:r>
                  <w:rPr>
                    <w:rFonts w:hint="eastAsia"/>
                    <w:bCs/>
                    <w:color w:val="000000"/>
                  </w:rPr>
                  <w:t>）</w:t>
                </w:r>
              </w:p>
            </w:tc>
            <w:tc>
              <w:tcPr>
                <w:tcW w:w="6409" w:type="dxa"/>
                <w:vAlign w:val="center"/>
              </w:tcPr>
              <w:p>
                <w:pPr>
                  <w:keepNext w:val="0"/>
                  <w:keepLines w:val="0"/>
                  <w:pageBreakBefore w:val="0"/>
                  <w:kinsoku/>
                  <w:wordWrap/>
                  <w:overflowPunct/>
                  <w:topLinePunct w:val="0"/>
                  <w:autoSpaceDE/>
                  <w:autoSpaceDN/>
                  <w:bidi w:val="0"/>
                  <w:adjustRightInd w:val="0"/>
                  <w:snapToGrid/>
                  <w:spacing w:line="300" w:lineRule="exact"/>
                  <w:textAlignment w:val="baseline"/>
                  <w:rPr>
                    <w:rFonts w:ascii="宋体" w:hAnsi="宋体" w:cs="宋体"/>
                  </w:rPr>
                </w:pPr>
                <w:r>
                  <w:rPr>
                    <w:rFonts w:hint="eastAsia" w:ascii="宋体" w:hAnsi="宋体" w:cs="宋体"/>
                  </w:rPr>
                  <w:t>（</w:t>
                </w:r>
                <w:r>
                  <w:rPr>
                    <w:rFonts w:hint="eastAsia" w:ascii="宋体" w:hAnsi="宋体" w:cs="宋体"/>
                    <w:lang w:eastAsia="zh-CN"/>
                  </w:rPr>
                  <w:t>一</w:t>
                </w:r>
                <w:r>
                  <w:rPr>
                    <w:rFonts w:hint="eastAsia" w:ascii="宋体" w:hAnsi="宋体" w:cs="宋体"/>
                  </w:rPr>
                  <w:t>）投标人维保方案（满分</w:t>
                </w:r>
                <w:r>
                  <w:rPr>
                    <w:rFonts w:hint="eastAsia" w:ascii="宋体" w:hAnsi="宋体" w:cs="宋体"/>
                    <w:color w:val="FF0000"/>
                    <w:u w:val="single"/>
                  </w:rPr>
                  <w:t xml:space="preserve"> </w:t>
                </w:r>
                <w:r>
                  <w:rPr>
                    <w:rFonts w:ascii="宋体" w:hAnsi="宋体" w:cs="宋体"/>
                    <w:color w:val="FF0000"/>
                    <w:u w:val="single"/>
                  </w:rPr>
                  <w:t>4</w:t>
                </w:r>
                <w:r>
                  <w:rPr>
                    <w:rFonts w:hint="eastAsia" w:ascii="宋体" w:hAnsi="宋体" w:cs="宋体"/>
                    <w:color w:val="FF0000"/>
                    <w:u w:val="single"/>
                  </w:rPr>
                  <w:t xml:space="preserve">5 </w:t>
                </w:r>
                <w:r>
                  <w:rPr>
                    <w:rFonts w:hint="eastAsia" w:ascii="宋体" w:hAnsi="宋体" w:cs="宋体"/>
                  </w:rPr>
                  <w:t>分）</w:t>
                </w:r>
              </w:p>
              <w:p>
                <w:pPr>
                  <w:pStyle w:val="3"/>
                  <w:keepNext w:val="0"/>
                  <w:keepLines w:val="0"/>
                  <w:pageBreakBefore w:val="0"/>
                  <w:kinsoku/>
                  <w:wordWrap/>
                  <w:overflowPunct/>
                  <w:topLinePunct w:val="0"/>
                  <w:autoSpaceDE/>
                  <w:autoSpaceDN/>
                  <w:bidi w:val="0"/>
                  <w:snapToGrid/>
                  <w:spacing w:line="300" w:lineRule="exact"/>
                  <w:rPr>
                    <w:rFonts w:ascii="宋体" w:hAnsi="宋体" w:cs="宋体"/>
                  </w:rPr>
                </w:pPr>
                <w:r>
                  <w:rPr>
                    <w:rFonts w:hint="eastAsia" w:ascii="宋体" w:hAnsi="宋体" w:cs="宋体"/>
                  </w:rPr>
                  <w:t>评分标准：</w:t>
                </w:r>
              </w:p>
              <w:p>
                <w:pPr>
                  <w:pStyle w:val="3"/>
                  <w:keepNext w:val="0"/>
                  <w:keepLines w:val="0"/>
                  <w:pageBreakBefore w:val="0"/>
                  <w:kinsoku/>
                  <w:wordWrap/>
                  <w:overflowPunct/>
                  <w:topLinePunct w:val="0"/>
                  <w:autoSpaceDE/>
                  <w:autoSpaceDN/>
                  <w:bidi w:val="0"/>
                  <w:snapToGrid/>
                  <w:spacing w:line="300" w:lineRule="exact"/>
                  <w:rPr>
                    <w:rFonts w:ascii="宋体" w:hAnsi="宋体" w:cs="宋体"/>
                  </w:rPr>
                </w:pPr>
                <w:r>
                  <w:rPr>
                    <w:rFonts w:hint="eastAsia" w:ascii="宋体" w:hAnsi="宋体" w:cs="宋体"/>
                  </w:rPr>
                  <w:t>1、维保服务工作范围清晰，得</w:t>
                </w:r>
                <w:r>
                  <w:rPr>
                    <w:rFonts w:hint="eastAsia" w:ascii="宋体" w:hAnsi="宋体" w:cs="宋体"/>
                    <w:color w:val="FF0000"/>
                    <w:u w:val="single"/>
                  </w:rPr>
                  <w:t>5</w:t>
                </w:r>
                <w:r>
                  <w:rPr>
                    <w:rFonts w:hint="eastAsia" w:ascii="宋体" w:hAnsi="宋体" w:cs="宋体"/>
                  </w:rPr>
                  <w:t>分；</w:t>
                </w:r>
              </w:p>
              <w:p>
                <w:pPr>
                  <w:pStyle w:val="3"/>
                  <w:keepNext w:val="0"/>
                  <w:keepLines w:val="0"/>
                  <w:pageBreakBefore w:val="0"/>
                  <w:kinsoku/>
                  <w:wordWrap/>
                  <w:overflowPunct/>
                  <w:topLinePunct w:val="0"/>
                  <w:autoSpaceDE/>
                  <w:autoSpaceDN/>
                  <w:bidi w:val="0"/>
                  <w:snapToGrid/>
                  <w:spacing w:line="300" w:lineRule="exact"/>
                  <w:rPr>
                    <w:rFonts w:ascii="宋体" w:hAnsi="宋体" w:cs="宋体"/>
                  </w:rPr>
                </w:pPr>
                <w:r>
                  <w:rPr>
                    <w:rFonts w:hint="eastAsia" w:ascii="宋体" w:hAnsi="宋体" w:cs="宋体"/>
                  </w:rPr>
                  <w:t>2、具有完整的维保服务计划，得</w:t>
                </w:r>
                <w:r>
                  <w:rPr>
                    <w:rFonts w:hint="eastAsia" w:ascii="宋体" w:hAnsi="宋体" w:cs="宋体"/>
                    <w:color w:val="FF0000"/>
                    <w:u w:val="single"/>
                  </w:rPr>
                  <w:t>5</w:t>
                </w:r>
                <w:r>
                  <w:rPr>
                    <w:rFonts w:hint="eastAsia" w:ascii="宋体" w:hAnsi="宋体" w:cs="宋体"/>
                  </w:rPr>
                  <w:t>分；</w:t>
                </w:r>
              </w:p>
              <w:p>
                <w:pPr>
                  <w:pStyle w:val="3"/>
                  <w:keepNext w:val="0"/>
                  <w:keepLines w:val="0"/>
                  <w:pageBreakBefore w:val="0"/>
                  <w:kinsoku/>
                  <w:wordWrap/>
                  <w:overflowPunct/>
                  <w:topLinePunct w:val="0"/>
                  <w:autoSpaceDE/>
                  <w:autoSpaceDN/>
                  <w:bidi w:val="0"/>
                  <w:snapToGrid/>
                  <w:spacing w:line="300" w:lineRule="exact"/>
                  <w:rPr>
                    <w:rFonts w:ascii="宋体" w:hAnsi="宋体" w:cs="宋体"/>
                  </w:rPr>
                </w:pPr>
                <w:r>
                  <w:rPr>
                    <w:rFonts w:ascii="宋体" w:hAnsi="宋体" w:cs="宋体"/>
                  </w:rPr>
                  <w:t>3.</w:t>
                </w:r>
                <w:r>
                  <w:rPr>
                    <w:rFonts w:hint="eastAsia" w:ascii="宋体" w:hAnsi="宋体" w:cs="宋体"/>
                  </w:rPr>
                  <w:t>有风险说明及风险规避处置措施，得</w:t>
                </w:r>
                <w:r>
                  <w:rPr>
                    <w:rFonts w:hint="eastAsia" w:ascii="宋体" w:hAnsi="宋体" w:cs="宋体"/>
                    <w:color w:val="FF0000"/>
                    <w:u w:val="single"/>
                  </w:rPr>
                  <w:t>5</w:t>
                </w:r>
                <w:r>
                  <w:rPr>
                    <w:rFonts w:hint="eastAsia" w:ascii="宋体" w:hAnsi="宋体" w:cs="宋体"/>
                  </w:rPr>
                  <w:t>分；</w:t>
                </w:r>
              </w:p>
              <w:p>
                <w:pPr>
                  <w:pStyle w:val="3"/>
                  <w:keepNext w:val="0"/>
                  <w:keepLines w:val="0"/>
                  <w:pageBreakBefore w:val="0"/>
                  <w:kinsoku/>
                  <w:wordWrap/>
                  <w:overflowPunct/>
                  <w:topLinePunct w:val="0"/>
                  <w:autoSpaceDE/>
                  <w:autoSpaceDN/>
                  <w:bidi w:val="0"/>
                  <w:snapToGrid/>
                  <w:spacing w:line="300" w:lineRule="exact"/>
                  <w:rPr>
                    <w:rFonts w:ascii="宋体" w:hAnsi="宋体" w:cs="宋体"/>
                  </w:rPr>
                </w:pPr>
                <w:r>
                  <w:rPr>
                    <w:rFonts w:hint="eastAsia" w:ascii="宋体" w:hAnsi="宋体" w:cs="宋体"/>
                  </w:rPr>
                  <w:t>4</w:t>
                </w:r>
                <w:r>
                  <w:rPr>
                    <w:rFonts w:ascii="宋体" w:hAnsi="宋体" w:cs="宋体"/>
                  </w:rPr>
                  <w:t>、</w:t>
                </w:r>
                <w:r>
                  <w:rPr>
                    <w:rFonts w:hint="eastAsia" w:ascii="宋体" w:hAnsi="宋体" w:cs="宋体"/>
                  </w:rPr>
                  <w:t>有提供维保服务机构地址及维保服务人员联系方式，得</w:t>
                </w:r>
                <w:r>
                  <w:rPr>
                    <w:rFonts w:hint="eastAsia" w:ascii="宋体" w:hAnsi="宋体" w:cs="宋体"/>
                    <w:color w:val="FF0000"/>
                    <w:u w:val="single"/>
                  </w:rPr>
                  <w:t>5</w:t>
                </w:r>
                <w:r>
                  <w:rPr>
                    <w:rFonts w:hint="eastAsia" w:ascii="宋体" w:hAnsi="宋体" w:cs="宋体"/>
                  </w:rPr>
                  <w:t>分；</w:t>
                </w:r>
                <w:r>
                  <w:rPr>
                    <w:rFonts w:ascii="宋体" w:hAnsi="宋体" w:cs="宋体"/>
                  </w:rPr>
                  <w:t xml:space="preserve"> </w:t>
                </w:r>
              </w:p>
              <w:p>
                <w:pPr>
                  <w:pStyle w:val="3"/>
                  <w:keepNext w:val="0"/>
                  <w:keepLines w:val="0"/>
                  <w:pageBreakBefore w:val="0"/>
                  <w:kinsoku/>
                  <w:wordWrap/>
                  <w:overflowPunct/>
                  <w:topLinePunct w:val="0"/>
                  <w:autoSpaceDE/>
                  <w:autoSpaceDN/>
                  <w:bidi w:val="0"/>
                  <w:snapToGrid/>
                  <w:spacing w:line="300" w:lineRule="exact"/>
                  <w:rPr>
                    <w:rFonts w:ascii="宋体" w:hAnsi="宋体" w:cs="宋体"/>
                  </w:rPr>
                </w:pPr>
                <w:r>
                  <w:rPr>
                    <w:rFonts w:hint="eastAsia" w:ascii="宋体" w:hAnsi="宋体" w:cs="宋体"/>
                  </w:rPr>
                  <w:t>第1-</w:t>
                </w:r>
                <w:r>
                  <w:rPr>
                    <w:rFonts w:ascii="宋体" w:hAnsi="宋体" w:cs="宋体"/>
                  </w:rPr>
                  <w:t>4</w:t>
                </w:r>
                <w:r>
                  <w:rPr>
                    <w:rFonts w:hint="eastAsia" w:ascii="宋体" w:hAnsi="宋体" w:cs="宋体"/>
                  </w:rPr>
                  <w:t>项中每项完全符合时得5分，基本符合得3分，有提及得1分，无提及不得分；</w:t>
                </w:r>
              </w:p>
              <w:p>
                <w:pPr>
                  <w:pStyle w:val="2"/>
                  <w:keepNext w:val="0"/>
                  <w:keepLines w:val="0"/>
                  <w:pageBreakBefore w:val="0"/>
                  <w:kinsoku/>
                  <w:wordWrap/>
                  <w:overflowPunct/>
                  <w:topLinePunct w:val="0"/>
                  <w:autoSpaceDE/>
                  <w:autoSpaceDN/>
                  <w:bidi w:val="0"/>
                  <w:snapToGrid/>
                  <w:spacing w:line="300" w:lineRule="exact"/>
                  <w:ind w:firstLine="0"/>
                </w:pPr>
                <w:r>
                  <w:rPr>
                    <w:rFonts w:hint="eastAsia" w:ascii="宋体" w:hAnsi="宋体" w:cs="宋体"/>
                  </w:rPr>
                  <w:t>5、</w:t>
                </w:r>
                <w:r>
                  <w:rPr>
                    <w:rFonts w:hint="eastAsia" w:ascii="宋体" w:hAnsi="宋体" w:cs="宋体"/>
                    <w:lang w:eastAsia="zh-CN"/>
                  </w:rPr>
                  <w:t>投标人维保方案包含的服务内容</w:t>
                </w:r>
                <w:r>
                  <w:rPr>
                    <w:rFonts w:hint="eastAsia" w:hAnsi="宋体" w:cs="宋体"/>
                  </w:rPr>
                  <w:t>完全响应</w:t>
                </w:r>
                <w:r>
                  <w:rPr>
                    <w:rFonts w:hint="eastAsia" w:hAnsi="宋体" w:cs="宋体"/>
                    <w:lang w:eastAsia="zh-CN"/>
                  </w:rPr>
                  <w:t>招标公告</w:t>
                </w:r>
                <w:r>
                  <w:rPr>
                    <w:rFonts w:hint="eastAsia" w:hAnsi="宋体" w:cs="宋体"/>
                    <w:b/>
                    <w:bCs/>
                    <w:u w:val="single"/>
                  </w:rPr>
                  <w:t>维保服务内容</w:t>
                </w:r>
                <w:r>
                  <w:rPr>
                    <w:rFonts w:hint="eastAsia" w:hAnsi="宋体" w:cs="宋体"/>
                  </w:rPr>
                  <w:t>的得</w:t>
                </w:r>
                <w:r>
                  <w:rPr>
                    <w:rFonts w:hint="eastAsia" w:ascii="宋体" w:hAnsi="宋体" w:cs="宋体"/>
                    <w:color w:val="FF0000"/>
                    <w:u w:val="single"/>
                  </w:rPr>
                  <w:t>25</w:t>
                </w:r>
                <w:r>
                  <w:rPr>
                    <w:rFonts w:hint="eastAsia" w:hAnsi="宋体" w:cs="宋体"/>
                  </w:rPr>
                  <w:t>分，低于维保服务内容要求或没有提及的属于负偏离，每负偏离一项扣</w:t>
                </w:r>
                <w:r>
                  <w:rPr>
                    <w:rFonts w:hint="eastAsia" w:ascii="宋体" w:hAnsi="宋体" w:cs="宋体"/>
                    <w:color w:val="FF0000"/>
                    <w:u w:val="single"/>
                  </w:rPr>
                  <w:t>5</w:t>
                </w:r>
                <w:r>
                  <w:rPr>
                    <w:rFonts w:hint="eastAsia" w:hAnsi="宋体" w:cs="宋体"/>
                  </w:rPr>
                  <w:t>分，扣完为止</w:t>
                </w:r>
                <w:r>
                  <w:rPr>
                    <w:rFonts w:hint="eastAsia" w:ascii="宋体" w:hAnsi="宋体" w:cs="宋体"/>
                    <w:szCs w:val="21"/>
                  </w:rPr>
                  <w:t>。</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09" w:type="dxa"/>
                <w:vMerge w:val="continue"/>
                <w:vAlign w:val="center"/>
              </w:tcPr>
              <w:p>
                <w:pPr>
                  <w:spacing w:line="280" w:lineRule="exact"/>
                  <w:jc w:val="center"/>
                  <w:rPr>
                    <w:rFonts w:ascii="宋体" w:hAnsi="宋体" w:cs="宋体"/>
                  </w:rPr>
                </w:pPr>
              </w:p>
            </w:tc>
            <w:tc>
              <w:tcPr>
                <w:tcW w:w="1418" w:type="dxa"/>
                <w:vMerge w:val="continue"/>
                <w:vAlign w:val="center"/>
              </w:tcPr>
              <w:p>
                <w:pPr>
                  <w:jc w:val="left"/>
                  <w:rPr>
                    <w:bCs/>
                    <w:color w:val="000000"/>
                  </w:rPr>
                </w:pPr>
              </w:p>
            </w:tc>
            <w:tc>
              <w:tcPr>
                <w:tcW w:w="6409" w:type="dxa"/>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baseline"/>
                  <w:rPr>
                    <w:rFonts w:ascii="宋体" w:hAnsi="宋体"/>
                  </w:rPr>
                </w:pPr>
                <w:r>
                  <w:rPr>
                    <w:rFonts w:hint="eastAsia" w:ascii="宋体" w:hAnsi="宋体"/>
                  </w:rPr>
                  <w:t>（</w:t>
                </w:r>
                <w:r>
                  <w:rPr>
                    <w:rFonts w:hint="eastAsia" w:ascii="宋体" w:hAnsi="宋体"/>
                    <w:lang w:eastAsia="zh-CN"/>
                  </w:rPr>
                  <w:t>二</w:t>
                </w:r>
                <w:r>
                  <w:rPr>
                    <w:rFonts w:hint="eastAsia" w:ascii="宋体" w:hAnsi="宋体"/>
                  </w:rPr>
                  <w:t>）投标人服务质量承诺</w:t>
                </w:r>
                <w:r>
                  <w:rPr>
                    <w:rFonts w:hint="eastAsia" w:ascii="宋体" w:hAnsi="宋体" w:cs="宋体"/>
                  </w:rPr>
                  <w:t>（满分</w:t>
                </w:r>
                <w:r>
                  <w:rPr>
                    <w:rFonts w:hint="eastAsia" w:ascii="宋体" w:hAnsi="宋体" w:cs="宋体"/>
                    <w:color w:val="FF0000"/>
                    <w:u w:val="single"/>
                  </w:rPr>
                  <w:t xml:space="preserve"> 10 </w:t>
                </w:r>
                <w:r>
                  <w:rPr>
                    <w:rFonts w:hint="eastAsia" w:ascii="宋体" w:hAnsi="宋体" w:cs="宋体"/>
                  </w:rPr>
                  <w:t>分）</w:t>
                </w:r>
              </w:p>
              <w:p>
                <w:pPr>
                  <w:pStyle w:val="3"/>
                  <w:keepNext w:val="0"/>
                  <w:keepLines w:val="0"/>
                  <w:pageBreakBefore w:val="0"/>
                  <w:widowControl w:val="0"/>
                  <w:kinsoku/>
                  <w:wordWrap/>
                  <w:overflowPunct/>
                  <w:topLinePunct w:val="0"/>
                  <w:autoSpaceDE/>
                  <w:autoSpaceDN/>
                  <w:bidi w:val="0"/>
                  <w:snapToGrid/>
                  <w:spacing w:line="300" w:lineRule="exact"/>
                  <w:jc w:val="both"/>
                  <w:rPr>
                    <w:rFonts w:ascii="宋体" w:hAnsi="宋体"/>
                  </w:rPr>
                </w:pPr>
                <w:r>
                  <w:rPr>
                    <w:rFonts w:hint="eastAsia" w:hAnsi="宋体" w:cs="宋体"/>
                  </w:rPr>
                  <w:t>针对投标人的服务质量承诺进行评分，逐条响应招标人</w:t>
                </w:r>
                <w:r>
                  <w:rPr>
                    <w:rFonts w:hint="eastAsia" w:hAnsi="宋体" w:cs="宋体"/>
                    <w:b/>
                    <w:bCs/>
                    <w:u w:val="single"/>
                  </w:rPr>
                  <w:t>维保服务要求</w:t>
                </w:r>
                <w:r>
                  <w:rPr>
                    <w:rFonts w:hint="eastAsia" w:hAnsi="宋体" w:cs="宋体"/>
                  </w:rPr>
                  <w:t>的得</w:t>
                </w:r>
                <w:r>
                  <w:rPr>
                    <w:rFonts w:ascii="宋体" w:hAnsi="宋体" w:cs="宋体"/>
                    <w:color w:val="FF0000"/>
                    <w:u w:val="single"/>
                  </w:rPr>
                  <w:t>8</w:t>
                </w:r>
                <w:r>
                  <w:rPr>
                    <w:rFonts w:hint="eastAsia" w:hAnsi="宋体" w:cs="宋体"/>
                  </w:rPr>
                  <w:t>分，没有提及或低于维保服务要求的属于负偏离，每负偏离一项扣</w:t>
                </w:r>
                <w:r>
                  <w:rPr>
                    <w:rFonts w:ascii="宋体" w:hAnsi="宋体" w:cs="宋体"/>
                    <w:color w:val="FF0000"/>
                    <w:u w:val="single"/>
                  </w:rPr>
                  <w:t>1</w:t>
                </w:r>
                <w:r>
                  <w:rPr>
                    <w:rFonts w:hint="eastAsia" w:hAnsi="宋体" w:cs="宋体"/>
                  </w:rPr>
                  <w:t>分，扣完</w:t>
                </w:r>
                <w:r>
                  <w:rPr>
                    <w:rFonts w:hint="eastAsia" w:ascii="宋体" w:hAnsi="宋体" w:cs="宋体"/>
                    <w:color w:val="FF0000"/>
                    <w:u w:val="single"/>
                  </w:rPr>
                  <w:t>8</w:t>
                </w:r>
                <w:r>
                  <w:rPr>
                    <w:rFonts w:hint="eastAsia" w:hAnsi="宋体" w:cs="宋体"/>
                  </w:rPr>
                  <w:t>分为止；</w:t>
                </w:r>
                <w:r>
                  <w:rPr>
                    <w:rFonts w:hint="eastAsia" w:ascii="宋体" w:hAnsi="宋体" w:cs="宋体"/>
                  </w:rPr>
                  <w:t>提供《服务质量承诺函》并加盖投标人公章得</w:t>
                </w:r>
                <w:r>
                  <w:rPr>
                    <w:rFonts w:hint="eastAsia" w:ascii="宋体" w:hAnsi="宋体" w:cs="宋体"/>
                    <w:color w:val="FF0000"/>
                    <w:u w:val="single"/>
                  </w:rPr>
                  <w:t>2</w:t>
                </w:r>
                <w:r>
                  <w:rPr>
                    <w:rFonts w:hint="eastAsia" w:ascii="宋体" w:hAnsi="宋体" w:cs="宋体"/>
                  </w:rPr>
                  <w:t>分，否则不得分。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trPr>
            <w:tc>
              <w:tcPr>
                <w:tcW w:w="709" w:type="dxa"/>
                <w:vMerge w:val="continue"/>
                <w:vAlign w:val="center"/>
              </w:tcPr>
              <w:p>
                <w:pPr>
                  <w:spacing w:line="280" w:lineRule="exact"/>
                  <w:jc w:val="center"/>
                  <w:rPr>
                    <w:rFonts w:ascii="宋体" w:hAnsi="宋体" w:cs="宋体"/>
                  </w:rPr>
                </w:pPr>
              </w:p>
            </w:tc>
            <w:tc>
              <w:tcPr>
                <w:tcW w:w="1418" w:type="dxa"/>
                <w:vMerge w:val="continue"/>
                <w:vAlign w:val="center"/>
              </w:tcPr>
              <w:p>
                <w:pPr>
                  <w:jc w:val="left"/>
                  <w:rPr>
                    <w:bCs/>
                    <w:color w:val="000000"/>
                  </w:rPr>
                </w:pPr>
              </w:p>
            </w:tc>
            <w:tc>
              <w:tcPr>
                <w:tcW w:w="6409" w:type="dxa"/>
                <w:vAlign w:val="center"/>
              </w:tcPr>
              <w:p>
                <w:pPr>
                  <w:keepNext w:val="0"/>
                  <w:keepLines w:val="0"/>
                  <w:pageBreakBefore w:val="0"/>
                  <w:widowControl w:val="0"/>
                  <w:kinsoku/>
                  <w:wordWrap/>
                  <w:overflowPunct/>
                  <w:topLinePunct w:val="0"/>
                  <w:autoSpaceDE/>
                  <w:autoSpaceDN/>
                  <w:bidi w:val="0"/>
                  <w:adjustRightInd w:val="0"/>
                  <w:snapToGrid/>
                  <w:spacing w:line="300" w:lineRule="exact"/>
                  <w:textAlignment w:val="baseline"/>
                  <w:rPr>
                    <w:rFonts w:ascii="宋体" w:hAnsi="宋体" w:cs="宋体"/>
                  </w:rPr>
                </w:pPr>
                <w:r>
                  <w:rPr>
                    <w:rFonts w:hint="eastAsia" w:ascii="宋体" w:hAnsi="宋体" w:cs="宋体"/>
                  </w:rPr>
                  <w:t>（</w:t>
                </w:r>
                <w:r>
                  <w:rPr>
                    <w:rFonts w:hint="eastAsia" w:ascii="宋体" w:hAnsi="宋体" w:cs="宋体"/>
                    <w:lang w:eastAsia="zh-CN"/>
                  </w:rPr>
                  <w:t>三</w:t>
                </w:r>
                <w:r>
                  <w:rPr>
                    <w:rFonts w:hint="eastAsia" w:ascii="宋体" w:hAnsi="宋体" w:cs="宋体"/>
                  </w:rPr>
                  <w:t>）拟安排的项目人员情况（满分</w:t>
                </w:r>
                <w:r>
                  <w:rPr>
                    <w:rFonts w:hint="eastAsia" w:ascii="宋体" w:hAnsi="宋体" w:cs="宋体"/>
                    <w:color w:val="FF0000"/>
                    <w:u w:val="single"/>
                  </w:rPr>
                  <w:t xml:space="preserve"> 10 </w:t>
                </w:r>
                <w:r>
                  <w:rPr>
                    <w:rFonts w:hint="eastAsia" w:ascii="宋体" w:hAnsi="宋体" w:cs="宋体"/>
                  </w:rPr>
                  <w:t>分）</w:t>
                </w:r>
              </w:p>
              <w:p>
                <w:pPr>
                  <w:keepNext w:val="0"/>
                  <w:keepLines w:val="0"/>
                  <w:pageBreakBefore w:val="0"/>
                  <w:widowControl w:val="0"/>
                  <w:kinsoku/>
                  <w:wordWrap/>
                  <w:overflowPunct/>
                  <w:topLinePunct w:val="0"/>
                  <w:autoSpaceDE/>
                  <w:autoSpaceDN/>
                  <w:bidi w:val="0"/>
                  <w:snapToGrid/>
                  <w:spacing w:line="300" w:lineRule="exact"/>
                  <w:jc w:val="left"/>
                  <w:rPr>
                    <w:rFonts w:ascii="宋体" w:hAnsi="宋体" w:cs="宋体"/>
                    <w:kern w:val="0"/>
                  </w:rPr>
                </w:pPr>
                <w:r>
                  <w:rPr>
                    <w:rFonts w:hint="eastAsia" w:ascii="宋体" w:hAnsi="宋体" w:cs="宋体"/>
                    <w:kern w:val="0"/>
                    <w:lang w:val="en-US" w:eastAsia="zh-CN"/>
                  </w:rPr>
                  <w:t>1、</w:t>
                </w:r>
                <w:r>
                  <w:rPr>
                    <w:rFonts w:hint="eastAsia" w:ascii="宋体" w:hAnsi="宋体" w:cs="宋体"/>
                    <w:kern w:val="0"/>
                  </w:rPr>
                  <w:t>投本项目设项目负责人1人，具有</w:t>
                </w:r>
                <w:r>
                  <w:rPr>
                    <w:rFonts w:hint="eastAsia"/>
                  </w:rPr>
                  <w:t>注册消防工程师或以上资格</w:t>
                </w:r>
                <w:r>
                  <w:rPr>
                    <w:rFonts w:hint="eastAsia" w:ascii="宋体" w:hAnsi="宋体" w:cs="宋体"/>
                    <w:kern w:val="0"/>
                  </w:rPr>
                  <w:t>证书，提供证书扫描件，原件备查。</w:t>
                </w:r>
                <w:r>
                  <w:rPr>
                    <w:rFonts w:hint="eastAsia"/>
                  </w:rPr>
                  <w:t>二级注册消防工程师资格</w:t>
                </w:r>
                <w:r>
                  <w:rPr>
                    <w:rFonts w:hint="eastAsia" w:ascii="宋体" w:hAnsi="宋体" w:cs="宋体"/>
                    <w:kern w:val="0"/>
                  </w:rPr>
                  <w:t>得</w:t>
                </w:r>
                <w:r>
                  <w:rPr>
                    <w:rFonts w:ascii="宋体" w:hAnsi="宋体" w:cs="宋体"/>
                    <w:color w:val="FF0000"/>
                    <w:u w:val="single"/>
                  </w:rPr>
                  <w:t>3</w:t>
                </w:r>
                <w:r>
                  <w:rPr>
                    <w:rFonts w:hint="eastAsia" w:ascii="宋体" w:hAnsi="宋体" w:cs="宋体"/>
                    <w:kern w:val="0"/>
                  </w:rPr>
                  <w:t>分，</w:t>
                </w:r>
                <w:r>
                  <w:rPr>
                    <w:rFonts w:hint="eastAsia"/>
                  </w:rPr>
                  <w:t>一级注册消防工程师或以上资格</w:t>
                </w:r>
                <w:r>
                  <w:rPr>
                    <w:rFonts w:hint="eastAsia" w:ascii="宋体" w:hAnsi="宋体" w:cs="宋体"/>
                    <w:kern w:val="0"/>
                  </w:rPr>
                  <w:t>得</w:t>
                </w:r>
                <w:r>
                  <w:rPr>
                    <w:rFonts w:hint="eastAsia" w:ascii="宋体" w:hAnsi="宋体" w:cs="宋体"/>
                    <w:color w:val="FF0000"/>
                    <w:u w:val="single"/>
                  </w:rPr>
                  <w:t>5</w:t>
                </w:r>
                <w:r>
                  <w:rPr>
                    <w:rFonts w:hint="eastAsia" w:ascii="宋体" w:hAnsi="宋体" w:cs="宋体"/>
                    <w:kern w:val="0"/>
                  </w:rPr>
                  <w:t>分，没有不得分。</w:t>
                </w:r>
              </w:p>
              <w:p>
                <w:pPr>
                  <w:keepNext w:val="0"/>
                  <w:keepLines w:val="0"/>
                  <w:pageBreakBefore w:val="0"/>
                  <w:widowControl w:val="0"/>
                  <w:kinsoku/>
                  <w:wordWrap/>
                  <w:overflowPunct/>
                  <w:topLinePunct w:val="0"/>
                  <w:autoSpaceDE/>
                  <w:autoSpaceDN/>
                  <w:bidi w:val="0"/>
                  <w:snapToGrid/>
                  <w:spacing w:line="300" w:lineRule="exact"/>
                  <w:rPr>
                    <w:rFonts w:ascii="宋体" w:hAnsi="宋体"/>
                  </w:rPr>
                </w:pPr>
                <w:r>
                  <w:rPr>
                    <w:rFonts w:hint="eastAsia" w:ascii="宋体" w:hAnsi="宋体"/>
                    <w:lang w:val="en-US" w:eastAsia="zh-CN"/>
                  </w:rPr>
                  <w:t>2、</w:t>
                </w:r>
                <w:r>
                  <w:rPr>
                    <w:rFonts w:hint="eastAsia" w:ascii="宋体" w:hAnsi="宋体"/>
                  </w:rPr>
                  <w:t>投标人有</w:t>
                </w:r>
                <w:r>
                  <w:rPr>
                    <w:rFonts w:ascii="宋体" w:hAnsi="宋体"/>
                  </w:rPr>
                  <w:t>3</w:t>
                </w:r>
                <w:r>
                  <w:rPr>
                    <w:rFonts w:hint="eastAsia" w:ascii="宋体" w:hAnsi="宋体"/>
                  </w:rPr>
                  <w:t>名及以上工作人员（技术负责人</w:t>
                </w:r>
                <w:r>
                  <w:rPr>
                    <w:rFonts w:hint="eastAsia" w:ascii="宋体" w:hAnsi="宋体"/>
                    <w:lang w:eastAsia="zh-CN"/>
                  </w:rPr>
                  <w:t>和</w:t>
                </w:r>
                <w:r>
                  <w:rPr>
                    <w:rFonts w:hint="eastAsia" w:ascii="宋体" w:hAnsi="宋体"/>
                  </w:rPr>
                  <w:t>项目负责人除外），技术负责人具有</w:t>
                </w:r>
                <w:r>
                  <w:rPr>
                    <w:rFonts w:hint="eastAsia"/>
                  </w:rPr>
                  <w:t>四级/中级消防设施操作员（消防设施检测维修保养职业方向）或以上资格得</w:t>
                </w:r>
                <w:r>
                  <w:rPr>
                    <w:rFonts w:hint="eastAsia" w:ascii="宋体" w:hAnsi="宋体" w:cs="宋体"/>
                    <w:color w:val="FF0000"/>
                    <w:u w:val="single"/>
                  </w:rPr>
                  <w:t>3</w:t>
                </w:r>
                <w:r>
                  <w:rPr>
                    <w:rFonts w:hint="eastAsia"/>
                  </w:rPr>
                  <w:t>分</w:t>
                </w:r>
                <w:r>
                  <w:rPr>
                    <w:rFonts w:hint="eastAsia" w:ascii="宋体" w:hAnsi="宋体"/>
                  </w:rPr>
                  <w:t>，其余工作人员中每多一人具有上述资格的加</w:t>
                </w:r>
                <w:r>
                  <w:rPr>
                    <w:rFonts w:hint="eastAsia" w:ascii="宋体" w:hAnsi="宋体" w:cs="宋体"/>
                    <w:color w:val="FF0000"/>
                    <w:u w:val="single"/>
                  </w:rPr>
                  <w:t>1</w:t>
                </w:r>
                <w:r>
                  <w:rPr>
                    <w:rFonts w:hint="eastAsia" w:ascii="宋体" w:hAnsi="宋体"/>
                  </w:rPr>
                  <w:t>分，加完</w:t>
                </w:r>
                <w:r>
                  <w:rPr>
                    <w:rFonts w:hint="eastAsia" w:ascii="宋体" w:hAnsi="宋体" w:cs="宋体"/>
                    <w:color w:val="FF0000"/>
                    <w:u w:val="single"/>
                  </w:rPr>
                  <w:t>2</w:t>
                </w:r>
                <w:r>
                  <w:rPr>
                    <w:rFonts w:hint="eastAsia" w:ascii="宋体" w:hAnsi="宋体"/>
                  </w:rPr>
                  <w:t>分为止，提供培训证书复印件，原件备查。</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709" w:type="dxa"/>
                <w:vAlign w:val="center"/>
              </w:tcPr>
              <w:p>
                <w:pPr>
                  <w:spacing w:line="280" w:lineRule="exact"/>
                  <w:jc w:val="center"/>
                  <w:rPr>
                    <w:rFonts w:ascii="宋体" w:hAnsi="宋体" w:cs="宋体"/>
                  </w:rPr>
                </w:pPr>
                <w:r>
                  <w:rPr>
                    <w:rFonts w:hint="eastAsia" w:ascii="宋体" w:hAnsi="宋体" w:cs="宋体"/>
                  </w:rPr>
                  <w:t>三</w:t>
                </w:r>
              </w:p>
            </w:tc>
            <w:tc>
              <w:tcPr>
                <w:tcW w:w="1418" w:type="dxa"/>
                <w:vAlign w:val="center"/>
              </w:tcPr>
              <w:p>
                <w:pPr>
                  <w:jc w:val="left"/>
                  <w:rPr>
                    <w:bCs/>
                    <w:color w:val="000000"/>
                  </w:rPr>
                </w:pPr>
                <w:r>
                  <w:rPr>
                    <w:rFonts w:hint="eastAsia"/>
                    <w:bCs/>
                    <w:color w:val="000000"/>
                  </w:rPr>
                  <w:t>履约能力分（</w:t>
                </w:r>
                <w:r>
                  <w:rPr>
                    <w:bCs/>
                    <w:color w:val="FF0000"/>
                    <w:u w:val="single"/>
                  </w:rPr>
                  <w:t xml:space="preserve"> </w:t>
                </w:r>
                <w:r>
                  <w:rPr>
                    <w:rFonts w:hint="eastAsia"/>
                    <w:bCs/>
                    <w:color w:val="FF0000"/>
                    <w:u w:val="single"/>
                  </w:rPr>
                  <w:t>1</w:t>
                </w:r>
                <w:r>
                  <w:rPr>
                    <w:bCs/>
                    <w:color w:val="FF0000"/>
                    <w:u w:val="single"/>
                  </w:rPr>
                  <w:t xml:space="preserve">0  </w:t>
                </w:r>
                <w:r>
                  <w:rPr>
                    <w:rFonts w:hint="eastAsia"/>
                    <w:bCs/>
                    <w:color w:val="000000"/>
                  </w:rPr>
                  <w:t>分）</w:t>
                </w:r>
              </w:p>
            </w:tc>
            <w:tc>
              <w:tcPr>
                <w:tcW w:w="6409" w:type="dxa"/>
                <w:vAlign w:val="center"/>
              </w:tcPr>
              <w:p>
                <w:pPr>
                  <w:pStyle w:val="7"/>
                  <w:keepNext w:val="0"/>
                  <w:keepLines w:val="0"/>
                  <w:pageBreakBefore w:val="0"/>
                  <w:widowControl w:val="0"/>
                  <w:kinsoku/>
                  <w:wordWrap/>
                  <w:overflowPunct/>
                  <w:topLinePunct w:val="0"/>
                  <w:bidi w:val="0"/>
                  <w:snapToGrid/>
                  <w:spacing w:line="300" w:lineRule="exact"/>
                  <w:ind w:left="0" w:firstLine="0"/>
                  <w:rPr>
                    <w:rFonts w:ascii="宋体" w:hAnsi="宋体" w:cs="宋体"/>
                    <w:sz w:val="21"/>
                    <w:szCs w:val="21"/>
                  </w:rPr>
                </w:pPr>
                <w:bookmarkStart w:id="29" w:name="_GoBack"/>
                <w:bookmarkEnd w:id="29"/>
                <w:r>
                  <w:rPr>
                    <w:rFonts w:hint="eastAsia" w:ascii="宋体" w:hAnsi="宋体" w:eastAsia="宋体" w:cs="宋体"/>
                    <w:sz w:val="21"/>
                  </w:rPr>
                  <w:t>提供自招标公告发布往前两年内与本项目相类似维保项目业绩的,每提供1个项目业绩</w:t>
                </w:r>
                <w:r>
                  <w:rPr>
                    <w:rFonts w:hint="eastAsia" w:ascii="宋体" w:hAnsi="宋体" w:eastAsia="宋体" w:cs="宋体"/>
                    <w:sz w:val="21"/>
                    <w:lang w:eastAsia="zh-CN"/>
                  </w:rPr>
                  <w:t>的</w:t>
                </w:r>
                <w:r>
                  <w:rPr>
                    <w:rFonts w:hint="eastAsia" w:ascii="宋体" w:hAnsi="宋体" w:eastAsia="宋体" w:cs="宋体"/>
                    <w:sz w:val="21"/>
                  </w:rPr>
                  <w:t>得</w:t>
                </w:r>
                <w:r>
                  <w:rPr>
                    <w:rFonts w:ascii="宋体" w:hAnsi="宋体" w:eastAsia="宋体" w:cs="宋体"/>
                    <w:bCs/>
                    <w:color w:val="FF0000"/>
                    <w:sz w:val="21"/>
                    <w:u w:val="single"/>
                  </w:rPr>
                  <w:t>2</w:t>
                </w:r>
                <w:r>
                  <w:rPr>
                    <w:rFonts w:hint="eastAsia" w:ascii="宋体" w:hAnsi="宋体" w:eastAsia="宋体" w:cs="宋体"/>
                    <w:sz w:val="21"/>
                  </w:rPr>
                  <w:t>分，最高为</w:t>
                </w:r>
                <w:r>
                  <w:rPr>
                    <w:rFonts w:hint="eastAsia" w:ascii="宋体" w:hAnsi="宋体" w:eastAsia="宋体" w:cs="宋体"/>
                    <w:bCs/>
                    <w:color w:val="FF0000"/>
                    <w:sz w:val="21"/>
                    <w:u w:val="single"/>
                    <w:lang w:val="en-US" w:eastAsia="zh-CN"/>
                  </w:rPr>
                  <w:t>10</w:t>
                </w:r>
                <w:r>
                  <w:rPr>
                    <w:rFonts w:hint="eastAsia" w:ascii="宋体" w:hAnsi="宋体" w:eastAsia="宋体" w:cs="宋体"/>
                    <w:sz w:val="21"/>
                  </w:rPr>
                  <w:t>分。（以提供服务合同或中标通知书和维保报告扫描复印件为准，复印件加盖投标人公章,原件备查。如未按要求提供证明材料，或所提供的证明材料未能体现上述评分内容的，视为该证明材料无效。</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09" w:type="dxa"/>
                <w:vAlign w:val="center"/>
              </w:tcPr>
              <w:p>
                <w:pPr>
                  <w:spacing w:line="280" w:lineRule="exact"/>
                  <w:jc w:val="center"/>
                  <w:rPr>
                    <w:rFonts w:ascii="宋体" w:hAnsi="宋体" w:cs="宋体"/>
                  </w:rPr>
                </w:pPr>
                <w:r>
                  <w:rPr>
                    <w:rFonts w:hint="eastAsia" w:ascii="宋体" w:hAnsi="宋体" w:cs="宋体"/>
                  </w:rPr>
                  <w:t>四</w:t>
                </w: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13"/>
                </w:pPr>
              </w:p>
            </w:tc>
          </w:tr>
        </w:tbl>
      </w:sdtContent>
    </w:sdt>
    <w:p>
      <w:pPr>
        <w:pStyle w:val="13"/>
      </w:pPr>
    </w:p>
    <w:sectPr>
      <w:pgSz w:w="11906" w:h="16838"/>
      <w:pgMar w:top="1440" w:right="1800"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56B6F"/>
    <w:multiLevelType w:val="singleLevel"/>
    <w:tmpl w:val="0E156B6F"/>
    <w:lvl w:ilvl="0" w:tentative="0">
      <w:start w:val="1"/>
      <w:numFmt w:val="bullet"/>
      <w:lvlText w:val=""/>
      <w:lvlJc w:val="left"/>
      <w:pPr>
        <w:tabs>
          <w:tab w:val="left" w:pos="425"/>
        </w:tabs>
        <w:ind w:left="425" w:hanging="425"/>
      </w:pPr>
      <w:rPr>
        <w:rFonts w:hint="default" w:ascii="Wingdings" w:hAnsi="Wingdings"/>
      </w:rPr>
    </w:lvl>
  </w:abstractNum>
  <w:abstractNum w:abstractNumId="1">
    <w:nsid w:val="1EF30532"/>
    <w:multiLevelType w:val="singleLevel"/>
    <w:tmpl w:val="1EF30532"/>
    <w:lvl w:ilvl="0" w:tentative="0">
      <w:start w:val="1"/>
      <w:numFmt w:val="bullet"/>
      <w:lvlText w:val=""/>
      <w:lvlJc w:val="left"/>
      <w:pPr>
        <w:tabs>
          <w:tab w:val="left" w:pos="360"/>
        </w:tabs>
        <w:ind w:left="0" w:firstLine="0"/>
      </w:pPr>
      <w:rPr>
        <w:rFonts w:hint="default" w:ascii="Wingdings" w:hAnsi="Wingdings"/>
      </w:rPr>
    </w:lvl>
  </w:abstractNum>
  <w:abstractNum w:abstractNumId="2">
    <w:nsid w:val="59C0F106"/>
    <w:multiLevelType w:val="singleLevel"/>
    <w:tmpl w:val="59C0F106"/>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yMTZhZGFhZTY1ZTRmNzc3Zjg4YWY1YTc0NzAwODU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DC4B54"/>
    <w:rsid w:val="00E14108"/>
    <w:rsid w:val="00E72BBE"/>
    <w:rsid w:val="00EB1C9B"/>
    <w:rsid w:val="00ED5546"/>
    <w:rsid w:val="01124992"/>
    <w:rsid w:val="01CB43E2"/>
    <w:rsid w:val="02615DF0"/>
    <w:rsid w:val="03B56736"/>
    <w:rsid w:val="04672F8A"/>
    <w:rsid w:val="0A795D65"/>
    <w:rsid w:val="0CC05EEA"/>
    <w:rsid w:val="10C97A40"/>
    <w:rsid w:val="122B15C9"/>
    <w:rsid w:val="12C97D37"/>
    <w:rsid w:val="150D70A9"/>
    <w:rsid w:val="15C73AE1"/>
    <w:rsid w:val="19451342"/>
    <w:rsid w:val="1AFD401B"/>
    <w:rsid w:val="21B710F4"/>
    <w:rsid w:val="2218153E"/>
    <w:rsid w:val="25773183"/>
    <w:rsid w:val="26431704"/>
    <w:rsid w:val="26CD4569"/>
    <w:rsid w:val="27D01D3D"/>
    <w:rsid w:val="28110468"/>
    <w:rsid w:val="2E44559E"/>
    <w:rsid w:val="311834AF"/>
    <w:rsid w:val="318469E5"/>
    <w:rsid w:val="3194337D"/>
    <w:rsid w:val="3737378F"/>
    <w:rsid w:val="3806606D"/>
    <w:rsid w:val="397701BE"/>
    <w:rsid w:val="3B546CEC"/>
    <w:rsid w:val="3F8769CB"/>
    <w:rsid w:val="41366ED0"/>
    <w:rsid w:val="48D85C25"/>
    <w:rsid w:val="4C1C5576"/>
    <w:rsid w:val="4D442BFB"/>
    <w:rsid w:val="4D781BD4"/>
    <w:rsid w:val="4DA009DA"/>
    <w:rsid w:val="4DA97E72"/>
    <w:rsid w:val="4DB9683E"/>
    <w:rsid w:val="50502E0F"/>
    <w:rsid w:val="589150FF"/>
    <w:rsid w:val="5D1A4465"/>
    <w:rsid w:val="67EF0C5A"/>
    <w:rsid w:val="6A513DD5"/>
    <w:rsid w:val="6BF540D9"/>
    <w:rsid w:val="6DD0797D"/>
    <w:rsid w:val="71754026"/>
    <w:rsid w:val="74B5471E"/>
    <w:rsid w:val="77E41C8F"/>
    <w:rsid w:val="77F62C98"/>
    <w:rsid w:val="77FF632E"/>
    <w:rsid w:val="780F10C2"/>
    <w:rsid w:val="7A2709BC"/>
    <w:rsid w:val="7B036868"/>
    <w:rsid w:val="7C9656FE"/>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Cs w:val="20"/>
    </w:rPr>
  </w:style>
  <w:style w:type="paragraph" w:styleId="3">
    <w:name w:val="annotation text"/>
    <w:basedOn w:val="1"/>
    <w:link w:val="15"/>
    <w:qFormat/>
    <w:uiPriority w:val="99"/>
    <w:pPr>
      <w:jc w:val="left"/>
    </w:pPr>
  </w:style>
  <w:style w:type="paragraph" w:styleId="4">
    <w:name w:val="Plain Text"/>
    <w:basedOn w:val="1"/>
    <w:link w:val="17"/>
    <w:qFormat/>
    <w:uiPriority w:val="99"/>
    <w:rPr>
      <w:rFonts w:ascii="宋体" w:hAnsi="Courier New"/>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next w:val="1"/>
    <w:qFormat/>
    <w:uiPriority w:val="0"/>
    <w:pPr>
      <w:ind w:left="420" w:hanging="420"/>
    </w:pPr>
    <w:rPr>
      <w:rFonts w:ascii="Arial" w:hAnsi="Arial" w:eastAsia="楷体_GB2312"/>
      <w:sz w:val="28"/>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99"/>
    <w:rPr>
      <w:sz w:val="21"/>
      <w:szCs w:val="21"/>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4">
    <w:name w:val="批注文字 字符"/>
    <w:basedOn w:val="11"/>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1"/>
    <w:link w:val="4"/>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1"/>
    <w:link w:val="6"/>
    <w:qFormat/>
    <w:uiPriority w:val="99"/>
    <w:rPr>
      <w:rFonts w:ascii="Times New Roman" w:hAnsi="Times New Roman" w:eastAsia="宋体" w:cs="Times New Roman"/>
      <w:sz w:val="18"/>
      <w:szCs w:val="18"/>
    </w:rPr>
  </w:style>
  <w:style w:type="character" w:customStyle="1" w:styleId="21">
    <w:name w:val="页脚 字符"/>
    <w:basedOn w:val="11"/>
    <w:link w:val="5"/>
    <w:qFormat/>
    <w:uiPriority w:val="99"/>
    <w:rPr>
      <w:rFonts w:ascii="Times New Roman" w:hAnsi="Times New Roman" w:eastAsia="宋体" w:cs="Times New Roman"/>
      <w:sz w:val="18"/>
      <w:szCs w:val="18"/>
    </w:rPr>
  </w:style>
  <w:style w:type="character" w:styleId="22">
    <w:name w:val="Placeholder Text"/>
    <w:basedOn w:val="11"/>
    <w:semiHidden/>
    <w:qFormat/>
    <w:uiPriority w:val="99"/>
    <w:rPr>
      <w:color w:val="808080"/>
    </w:rPr>
  </w:style>
  <w:style w:type="paragraph" w:customStyle="1" w:styleId="23">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5fe81b-2758-49d3-a15b-e82cadc65691}"/>
        <w:style w:val=""/>
        <w:category>
          <w:name w:val="常规"/>
          <w:gallery w:val="placeholder"/>
        </w:category>
        <w:types>
          <w:type w:val="bbPlcHdr"/>
        </w:types>
        <w:behaviors>
          <w:behavior w:val="content"/>
        </w:behaviors>
        <w:description w:val=""/>
        <w:guid w:val="{d75fe81b-2758-49d3-a15b-e82cadc65691}"/>
      </w:docPartPr>
      <w:docPartBody>
        <w:p>
          <w:r>
            <w:rPr>
              <w:rStyle w:val="4"/>
            </w:rPr>
            <w:t>单击或点击此处输入文字。</w:t>
          </w:r>
        </w:p>
      </w:docPartBody>
    </w:docPart>
    <w:docPart>
      <w:docPartPr>
        <w:name w:val="{d727068d-5df0-437f-bbda-646248b6703c}"/>
        <w:style w:val=""/>
        <w:category>
          <w:name w:val="常规"/>
          <w:gallery w:val="placeholder"/>
        </w:category>
        <w:types>
          <w:type w:val="bbPlcHdr"/>
        </w:types>
        <w:behaviors>
          <w:behavior w:val="content"/>
        </w:behaviors>
        <w:description w:val=""/>
        <w:guid w:val="{d727068d-5df0-437f-bbda-646248b6703c}"/>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14</Pages>
  <Words>9906</Words>
  <Characters>10317</Characters>
  <Lines>26</Lines>
  <Paragraphs>7</Paragraphs>
  <TotalTime>19</TotalTime>
  <ScaleCrop>false</ScaleCrop>
  <LinksUpToDate>false</LinksUpToDate>
  <CharactersWithSpaces>10695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水皮球</cp:lastModifiedBy>
  <cp:lastPrinted>2023-12-04T08:35:01Z</cp:lastPrinted>
  <dcterms:modified xsi:type="dcterms:W3CDTF">2023-12-04T08:35:11Z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B09B5FF7C82646AFA4682D265483EED0_13</vt:lpwstr>
  </property>
</Properties>
</file>