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color w:val="FF0000"/>
          <w:sz w:val="21"/>
          <w:szCs w:val="21"/>
        </w:rPr>
      </w:pPr>
      <w:r>
        <w:rPr>
          <w:rFonts w:hint="eastAsia"/>
          <w:b/>
          <w:bCs/>
          <w:color w:val="FF0000"/>
          <w:sz w:val="21"/>
          <w:szCs w:val="21"/>
        </w:rPr>
        <w:t xml:space="preserve"> 部分为核心参数</w:t>
      </w:r>
      <w:r>
        <w:rPr>
          <w:rFonts w:hint="eastAsia"/>
          <w:color w:val="FF0000"/>
          <w:sz w:val="21"/>
          <w:szCs w:val="21"/>
        </w:rPr>
        <w:t>：不满足视为无效投标；</w:t>
      </w:r>
    </w:p>
    <w:p>
      <w:pPr>
        <w:pStyle w:val="2"/>
        <w:ind w:left="-500" w:leftChars="-238" w:firstLine="420" w:firstLineChars="199"/>
        <w:rPr>
          <w:color w:val="FF0000"/>
          <w:sz w:val="21"/>
          <w:szCs w:val="21"/>
        </w:rPr>
      </w:pPr>
      <w:r>
        <w:rPr>
          <w:rFonts w:hint="eastAsia"/>
          <w:b/>
          <w:bCs/>
          <w:color w:val="FF0000"/>
          <w:sz w:val="21"/>
          <w:szCs w:val="21"/>
        </w:rPr>
        <w:t xml:space="preserve"> 部分为重要指标</w:t>
      </w:r>
      <w:r>
        <w:rPr>
          <w:rFonts w:hint="eastAsia"/>
          <w:color w:val="FF0000"/>
          <w:sz w:val="21"/>
          <w:szCs w:val="21"/>
        </w:rPr>
        <w:t>：满足或优于（正偏离）该条件则评审时成倍加分，不满足（负偏离）则成倍扣分；</w:t>
      </w:r>
    </w:p>
    <w:p>
      <w:pPr>
        <w:pStyle w:val="2"/>
        <w:ind w:left="-500" w:leftChars="-238" w:firstLine="420" w:firstLineChars="199"/>
        <w:rPr>
          <w:color w:val="FF0000"/>
          <w:sz w:val="21"/>
          <w:szCs w:val="21"/>
        </w:rPr>
      </w:pPr>
      <w:r>
        <w:rPr>
          <w:rFonts w:hint="eastAsia"/>
          <w:b/>
          <w:bCs/>
          <w:color w:val="FF0000"/>
          <w:sz w:val="21"/>
          <w:szCs w:val="21"/>
        </w:rPr>
        <w:t>其他为一般指标要求</w:t>
      </w:r>
      <w:r>
        <w:rPr>
          <w:rFonts w:hint="eastAsia"/>
          <w:color w:val="FF0000"/>
          <w:sz w:val="21"/>
          <w:szCs w:val="21"/>
        </w:rPr>
        <w:t>：优于该条件的为正偏离，评审时加分，不满足的为负偏离，评审时予以扣分。</w:t>
      </w:r>
    </w:p>
    <w:p>
      <w:pPr>
        <w:ind w:firstLine="240" w:firstLineChars="100"/>
        <w:jc w:val="left"/>
        <w:rPr>
          <w:rFonts w:ascii="宋体" w:hAnsi="宋体" w:cs="宋体"/>
          <w:sz w:val="24"/>
        </w:rPr>
      </w:pPr>
      <w:r>
        <w:rPr>
          <w:rFonts w:hint="eastAsia" w:ascii="宋体" w:hAnsi="宋体" w:cs="宋体"/>
          <w:sz w:val="24"/>
        </w:rPr>
        <w:t>我院拟对门诊六楼裙楼楼顶涡旋式热泵机组进行维修招标，欢迎具有维保资质的公司前来投标。</w:t>
      </w:r>
    </w:p>
    <w:p>
      <w:pPr>
        <w:ind w:firstLine="240" w:firstLineChars="100"/>
        <w:jc w:val="left"/>
        <w:rPr>
          <w:rFonts w:ascii="宋体" w:hAnsi="宋体" w:cs="宋体"/>
          <w:sz w:val="24"/>
        </w:rPr>
      </w:pPr>
    </w:p>
    <w:p>
      <w:pPr>
        <w:spacing w:line="360" w:lineRule="exact"/>
        <w:ind w:left="420" w:leftChars="200" w:firstLine="240" w:firstLineChars="100"/>
        <w:rPr>
          <w:rFonts w:ascii="宋体" w:hAnsi="宋体" w:cs="宋体"/>
          <w:sz w:val="24"/>
        </w:rPr>
      </w:pPr>
      <w:r>
        <w:rPr>
          <w:rFonts w:hint="eastAsia" w:ascii="宋体" w:hAnsi="宋体" w:cs="宋体"/>
          <w:sz w:val="24"/>
        </w:rPr>
        <w:t>招标内容：4台品牌为开利的热泵主机维修</w:t>
      </w:r>
    </w:p>
    <w:p>
      <w:pPr>
        <w:spacing w:line="360" w:lineRule="exact"/>
        <w:ind w:left="420" w:leftChars="200" w:firstLine="240" w:firstLineChars="100"/>
        <w:rPr>
          <w:rFonts w:ascii="宋体" w:hAnsi="宋体" w:cs="宋体"/>
          <w:sz w:val="24"/>
        </w:rPr>
      </w:pPr>
    </w:p>
    <w:p>
      <w:pPr>
        <w:spacing w:line="360" w:lineRule="exact"/>
        <w:ind w:left="420" w:leftChars="200" w:firstLine="241" w:firstLineChars="100"/>
        <w:rPr>
          <w:rFonts w:ascii="宋体" w:hAnsi="宋体" w:cs="宋体"/>
          <w:bCs/>
          <w:sz w:val="24"/>
        </w:rPr>
      </w:pPr>
      <w:r>
        <w:rPr>
          <w:rFonts w:hint="eastAsia" w:ascii="宋体" w:hAnsi="宋体" w:cs="宋体"/>
          <w:b/>
          <w:bCs/>
          <w:sz w:val="24"/>
        </w:rPr>
        <w:t>设备型号：</w:t>
      </w:r>
      <w:r>
        <w:rPr>
          <w:rFonts w:hint="eastAsia" w:ascii="宋体" w:hAnsi="宋体" w:cs="宋体"/>
          <w:bCs/>
          <w:sz w:val="24"/>
        </w:rPr>
        <w:t xml:space="preserve">机组型号：30RQ452G    数量：4台16个系统  </w:t>
      </w:r>
    </w:p>
    <w:p>
      <w:pPr>
        <w:spacing w:line="360" w:lineRule="exact"/>
        <w:ind w:firstLine="723" w:firstLineChars="300"/>
        <w:rPr>
          <w:rFonts w:ascii="宋体" w:hAnsi="宋体" w:cs="宋体"/>
          <w:bCs/>
          <w:sz w:val="24"/>
        </w:rPr>
      </w:pPr>
      <w:r>
        <w:rPr>
          <w:rFonts w:hint="eastAsia" w:ascii="宋体" w:hAnsi="宋体" w:cs="宋体"/>
          <w:b/>
          <w:bCs/>
          <w:sz w:val="24"/>
        </w:rPr>
        <w:t>制冷量：</w:t>
      </w:r>
      <w:r>
        <w:rPr>
          <w:rFonts w:hint="eastAsia" w:ascii="宋体" w:hAnsi="宋体" w:cs="宋体"/>
          <w:bCs/>
          <w:sz w:val="24"/>
        </w:rPr>
        <w:t xml:space="preserve">432KW      额定功率：146KW </w:t>
      </w:r>
    </w:p>
    <w:p>
      <w:pPr>
        <w:pStyle w:val="11"/>
        <w:ind w:left="0" w:leftChars="0" w:firstLine="720" w:firstLineChars="300"/>
        <w:rPr>
          <w:rFonts w:ascii="宋体" w:hAnsi="宋体"/>
          <w:sz w:val="24"/>
        </w:rPr>
      </w:pPr>
      <w:r>
        <w:rPr>
          <w:rFonts w:hint="eastAsia" w:ascii="宋体" w:hAnsi="宋体" w:cs="宋体"/>
          <w:b/>
          <w:bCs/>
          <w:sz w:val="24"/>
        </w:rPr>
        <w:t>制热量：450KW      额定功率：147KW</w:t>
      </w:r>
    </w:p>
    <w:p>
      <w:pPr>
        <w:spacing w:line="360" w:lineRule="auto"/>
        <w:ind w:firstLine="482" w:firstLineChars="200"/>
        <w:rPr>
          <w:rFonts w:ascii="宋体" w:hAnsi="宋体" w:cs="宋体"/>
          <w:b/>
          <w:sz w:val="24"/>
        </w:rPr>
      </w:pPr>
      <w:r>
        <w:rPr>
          <w:rFonts w:hint="eastAsia" w:ascii="宋体" w:hAnsi="宋体" w:cs="宋体"/>
          <w:b/>
          <w:sz w:val="24"/>
        </w:rPr>
        <w:t>一、现存的问题有：</w:t>
      </w:r>
    </w:p>
    <w:p>
      <w:pPr>
        <w:spacing w:line="360" w:lineRule="auto"/>
        <w:ind w:firstLine="480" w:firstLineChars="200"/>
        <w:rPr>
          <w:rFonts w:ascii="宋体" w:hAnsi="宋体" w:cs="宋体"/>
          <w:color w:val="000000"/>
          <w:kern w:val="0"/>
          <w:sz w:val="24"/>
        </w:rPr>
      </w:pPr>
      <w:r>
        <w:rPr>
          <w:rFonts w:hint="eastAsia" w:ascii="宋体" w:hAnsi="宋体" w:cs="宋体"/>
          <w:color w:val="000000"/>
          <w:sz w:val="24"/>
        </w:rPr>
        <w:t>目前1，2号机组补加冷媒（5KG）后运行无报警，但性能达不到名牌标称的工况。</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2-1号主机A系统严重缺制冷剂，B系统有一个散热风扇烧毁。（环境温度27℃时A系统冷媒静压压力值为873KPa，同一环境温度27℃正常系统冷媒静压压力值为：1500KPa左右。）</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3号主机A,B系统严重缺冷媒无法启动，控制面板按键损坏无法有效操作。目前无法判断是否有损坏配件。（环境温度27℃时A系统冷媒静压压力值为568KPa；B系统冷媒静压压力值为280KPa, 同一环境温度27℃正常系统冷媒静压压力值为：1500KPa左右。）</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3-1号主机A系统严重缺冷媒无法启动运行，目前无法判断是否有损坏配件。(环境温度27℃时A系统冷媒静压压力值为879KPa,同一环境温度27℃正常系统冷媒静压压力值为：1500KP左右。)</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4号主机A系统严重缺冷媒法启动运行，目前无法判断是否有损坏配件。(环境温度27℃时A系统冷媒静压压力值为793KPa,同一环境温度27℃正常系统冷媒静压压力值为：1500KP左右。)</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4-1号主机A系统有一个散热风扇烧毁。</w:t>
      </w:r>
    </w:p>
    <w:p>
      <w:pPr>
        <w:spacing w:line="360" w:lineRule="auto"/>
        <w:ind w:firstLine="480" w:firstLineChars="200"/>
        <w:rPr>
          <w:rFonts w:ascii="宋体" w:hAnsi="宋体"/>
          <w:sz w:val="24"/>
        </w:rPr>
      </w:pPr>
      <w:r>
        <w:rPr>
          <w:rFonts w:hint="eastAsia" w:ascii="宋体" w:hAnsi="宋体" w:cs="宋体"/>
          <w:color w:val="000000"/>
          <w:kern w:val="0"/>
          <w:sz w:val="24"/>
        </w:rPr>
        <w:t>8台</w:t>
      </w:r>
      <w:r>
        <w:rPr>
          <w:rFonts w:hint="eastAsia" w:ascii="宋体" w:hAnsi="宋体" w:cs="宋体"/>
          <w:color w:val="000000"/>
          <w:sz w:val="24"/>
        </w:rPr>
        <w:t>机组由于冷媒混合比例不匹配，性能均未达到工厂名牌标注工况制冷/制热量。</w:t>
      </w:r>
    </w:p>
    <w:p>
      <w:pPr>
        <w:ind w:firstLine="241" w:firstLineChars="100"/>
        <w:jc w:val="left"/>
        <w:rPr>
          <w:rFonts w:ascii="宋体" w:hAnsi="宋体" w:cs="宋体"/>
          <w:b/>
          <w:sz w:val="24"/>
        </w:rPr>
      </w:pPr>
      <w:r>
        <w:rPr>
          <w:rFonts w:hint="eastAsia" w:ascii="宋体" w:hAnsi="宋体" w:cs="宋体"/>
          <w:b/>
          <w:sz w:val="24"/>
        </w:rPr>
        <w:t>二、基本要求：</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1、更换已损坏配件：散热风扇电机2个，压缩机SPM板1块，控制显示面板1块；</w:t>
      </w:r>
    </w:p>
    <w:p>
      <w:pPr>
        <w:spacing w:line="360" w:lineRule="auto"/>
        <w:ind w:firstLine="480" w:firstLineChars="200"/>
        <w:rPr>
          <w:rFonts w:ascii="宋体" w:hAnsi="宋体" w:cs="宋体"/>
          <w:color w:val="000000"/>
          <w:kern w:val="0"/>
          <w:sz w:val="24"/>
        </w:rPr>
      </w:pP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  缺冷媒的系统，进行打压查漏；</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3、系统补漏，保压试漏；对严重缺冷媒的机组系统进行氮气打压查漏，补漏，保压，无异常后机组抽真空，机组系统充注冷媒；</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4、各机组所有系统按机组名牌标注进行冷媒重新充注；机组各系统冷媒排放，重新抽真空，重新按机组名牌标注充注冷媒；</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5、机组调试运行。</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6、工期：40天（包括货期20天，维修期20天）。</w:t>
      </w:r>
    </w:p>
    <w:p>
      <w:pPr>
        <w:ind w:firstLine="241" w:firstLineChars="100"/>
        <w:jc w:val="left"/>
        <w:rPr>
          <w:rFonts w:ascii="宋体" w:hAnsi="宋体" w:cs="宋体"/>
          <w:b/>
          <w:sz w:val="24"/>
        </w:rPr>
      </w:pPr>
      <w:r>
        <w:rPr>
          <w:rFonts w:hint="eastAsia" w:ascii="宋体" w:hAnsi="宋体" w:cs="宋体"/>
          <w:b/>
          <w:sz w:val="24"/>
        </w:rPr>
        <w:t>三、项目预算和需更换的零配件以及工程量：</w:t>
      </w:r>
    </w:p>
    <w:p>
      <w:pPr>
        <w:pStyle w:val="2"/>
        <w:ind w:firstLine="465"/>
      </w:pPr>
      <w:r>
        <w:rPr>
          <w:rFonts w:hint="eastAsia"/>
        </w:rPr>
        <w:t>1、 项目预算：59000.00元。</w:t>
      </w:r>
    </w:p>
    <w:p>
      <w:pPr>
        <w:pStyle w:val="2"/>
        <w:ind w:firstLine="465"/>
      </w:pPr>
      <w:r>
        <w:rPr>
          <w:rFonts w:hint="eastAsia"/>
        </w:rPr>
        <w:t>2、更换的零配件以及工程量：</w:t>
      </w:r>
    </w:p>
    <w:p>
      <w:pPr>
        <w:pStyle w:val="2"/>
      </w:pP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3721"/>
        <w:gridCol w:w="1070"/>
        <w:gridCol w:w="1368"/>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序号</w:t>
            </w:r>
          </w:p>
        </w:tc>
        <w:tc>
          <w:tcPr>
            <w:tcW w:w="203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名称</w:t>
            </w:r>
          </w:p>
        </w:tc>
        <w:tc>
          <w:tcPr>
            <w:tcW w:w="58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数量</w:t>
            </w:r>
          </w:p>
        </w:tc>
        <w:tc>
          <w:tcPr>
            <w:tcW w:w="748"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单位</w:t>
            </w:r>
          </w:p>
        </w:tc>
        <w:tc>
          <w:tcPr>
            <w:tcW w:w="1026"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1</w:t>
            </w:r>
          </w:p>
        </w:tc>
        <w:tc>
          <w:tcPr>
            <w:tcW w:w="203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散热风扇电机</w:t>
            </w:r>
          </w:p>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 xml:space="preserve">（YSF1.5-6） </w:t>
            </w:r>
          </w:p>
        </w:tc>
        <w:tc>
          <w:tcPr>
            <w:tcW w:w="58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2</w:t>
            </w:r>
          </w:p>
        </w:tc>
        <w:tc>
          <w:tcPr>
            <w:tcW w:w="748"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台</w:t>
            </w:r>
          </w:p>
        </w:tc>
        <w:tc>
          <w:tcPr>
            <w:tcW w:w="1026"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原厂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2</w:t>
            </w:r>
          </w:p>
        </w:tc>
        <w:tc>
          <w:tcPr>
            <w:tcW w:w="203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压缩机SPM板</w:t>
            </w:r>
          </w:p>
        </w:tc>
        <w:tc>
          <w:tcPr>
            <w:tcW w:w="58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1</w:t>
            </w:r>
          </w:p>
        </w:tc>
        <w:tc>
          <w:tcPr>
            <w:tcW w:w="748"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块</w:t>
            </w:r>
          </w:p>
        </w:tc>
        <w:tc>
          <w:tcPr>
            <w:tcW w:w="1026"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原厂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3</w:t>
            </w:r>
          </w:p>
        </w:tc>
        <w:tc>
          <w:tcPr>
            <w:tcW w:w="203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R410制冷剂</w:t>
            </w:r>
          </w:p>
        </w:tc>
        <w:tc>
          <w:tcPr>
            <w:tcW w:w="58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45</w:t>
            </w:r>
          </w:p>
        </w:tc>
        <w:tc>
          <w:tcPr>
            <w:tcW w:w="748"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瓶</w:t>
            </w:r>
          </w:p>
        </w:tc>
        <w:tc>
          <w:tcPr>
            <w:tcW w:w="1026"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10KG/瓶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4</w:t>
            </w:r>
          </w:p>
        </w:tc>
        <w:tc>
          <w:tcPr>
            <w:tcW w:w="203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控制显示面板</w:t>
            </w:r>
          </w:p>
        </w:tc>
        <w:tc>
          <w:tcPr>
            <w:tcW w:w="58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1</w:t>
            </w:r>
          </w:p>
        </w:tc>
        <w:tc>
          <w:tcPr>
            <w:tcW w:w="748"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块</w:t>
            </w:r>
          </w:p>
        </w:tc>
        <w:tc>
          <w:tcPr>
            <w:tcW w:w="1026"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原厂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5</w:t>
            </w:r>
          </w:p>
        </w:tc>
        <w:tc>
          <w:tcPr>
            <w:tcW w:w="203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氮气</w:t>
            </w:r>
          </w:p>
        </w:tc>
        <w:tc>
          <w:tcPr>
            <w:tcW w:w="58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15</w:t>
            </w:r>
          </w:p>
        </w:tc>
        <w:tc>
          <w:tcPr>
            <w:tcW w:w="748"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瓶</w:t>
            </w:r>
          </w:p>
        </w:tc>
        <w:tc>
          <w:tcPr>
            <w:tcW w:w="1026" w:type="pct"/>
            <w:noWrap/>
          </w:tcPr>
          <w:p>
            <w:pPr>
              <w:pStyle w:val="11"/>
              <w:ind w:left="0" w:leftChars="0" w:firstLine="0" w:firstLineChars="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6</w:t>
            </w:r>
          </w:p>
        </w:tc>
        <w:tc>
          <w:tcPr>
            <w:tcW w:w="203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水流开关</w:t>
            </w:r>
          </w:p>
        </w:tc>
        <w:tc>
          <w:tcPr>
            <w:tcW w:w="58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8</w:t>
            </w:r>
          </w:p>
        </w:tc>
        <w:tc>
          <w:tcPr>
            <w:tcW w:w="748"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个</w:t>
            </w:r>
          </w:p>
        </w:tc>
        <w:tc>
          <w:tcPr>
            <w:tcW w:w="1026"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机械式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7</w:t>
            </w:r>
          </w:p>
        </w:tc>
        <w:tc>
          <w:tcPr>
            <w:tcW w:w="2035" w:type="pct"/>
            <w:noWrap/>
          </w:tcPr>
          <w:p>
            <w:pPr>
              <w:pStyle w:val="11"/>
              <w:ind w:left="0" w:leftChars="0" w:firstLine="1200" w:firstLineChars="500"/>
              <w:rPr>
                <w:rFonts w:ascii="宋体" w:hAnsi="宋体" w:cs="宋体"/>
                <w:color w:val="000000"/>
                <w:sz w:val="24"/>
              </w:rPr>
            </w:pPr>
            <w:r>
              <w:rPr>
                <w:rFonts w:hint="eastAsia" w:ascii="宋体" w:hAnsi="宋体" w:cs="宋体"/>
                <w:color w:val="000000"/>
                <w:sz w:val="24"/>
              </w:rPr>
              <w:t>维修、调试</w:t>
            </w:r>
          </w:p>
        </w:tc>
        <w:tc>
          <w:tcPr>
            <w:tcW w:w="585"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1</w:t>
            </w:r>
          </w:p>
        </w:tc>
        <w:tc>
          <w:tcPr>
            <w:tcW w:w="748"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项</w:t>
            </w:r>
          </w:p>
        </w:tc>
        <w:tc>
          <w:tcPr>
            <w:tcW w:w="1026" w:type="pct"/>
            <w:noWrap/>
          </w:tcPr>
          <w:p>
            <w:pPr>
              <w:pStyle w:val="11"/>
              <w:ind w:left="0" w:leftChars="0" w:firstLine="0" w:firstLineChars="0"/>
              <w:jc w:val="center"/>
              <w:rPr>
                <w:rFonts w:ascii="宋体" w:hAnsi="宋体" w:cs="宋体"/>
                <w:color w:val="000000"/>
                <w:sz w:val="24"/>
              </w:rPr>
            </w:pPr>
            <w:r>
              <w:rPr>
                <w:rFonts w:hint="eastAsia" w:ascii="宋体" w:hAnsi="宋体" w:cs="宋体"/>
                <w:color w:val="000000"/>
                <w:sz w:val="24"/>
              </w:rPr>
              <w:t>4台16个系统</w:t>
            </w:r>
          </w:p>
        </w:tc>
      </w:tr>
    </w:tbl>
    <w:p>
      <w:pPr>
        <w:pStyle w:val="2"/>
        <w:spacing w:line="440" w:lineRule="exact"/>
        <w:ind w:firstLine="482" w:firstLineChars="200"/>
        <w:rPr>
          <w:rFonts w:ascii="宋体" w:hAnsi="宋体" w:cs="宋体"/>
        </w:rPr>
      </w:pPr>
      <w:r>
        <w:rPr>
          <w:rFonts w:hint="eastAsia" w:ascii="宋体" w:hAnsi="宋体" w:cs="宋体"/>
          <w:b/>
        </w:rPr>
        <w:t>四：</w:t>
      </w:r>
      <w:r>
        <w:rPr>
          <w:rFonts w:hint="eastAsia" w:ascii="宋体" w:hAnsi="宋体" w:cs="宋体"/>
          <w:b/>
          <w:bCs/>
        </w:rPr>
        <w:t>商务要求</w:t>
      </w:r>
    </w:p>
    <w:p>
      <w:pPr>
        <w:pStyle w:val="2"/>
        <w:spacing w:line="440" w:lineRule="exact"/>
        <w:ind w:firstLine="482" w:firstLineChars="200"/>
        <w:rPr>
          <w:rFonts w:ascii="宋体" w:hAnsi="宋体" w:cs="宋体"/>
        </w:rPr>
      </w:pPr>
      <w:r>
        <w:rPr>
          <w:rFonts w:hint="eastAsia" w:ascii="宋体" w:hAnsi="宋体" w:cs="宋体"/>
          <w:b/>
          <w:bCs/>
        </w:rPr>
        <w:t>1、投标人资格要求</w:t>
      </w:r>
    </w:p>
    <w:p>
      <w:pPr>
        <w:pStyle w:val="2"/>
        <w:spacing w:line="440" w:lineRule="exact"/>
        <w:ind w:firstLine="480" w:firstLineChars="200"/>
        <w:rPr>
          <w:rFonts w:ascii="宋体" w:hAnsi="宋体" w:cs="宋体"/>
        </w:rPr>
      </w:pPr>
      <w:r>
        <w:rPr>
          <w:rFonts w:hint="eastAsia" w:ascii="宋体" w:hAnsi="宋体" w:cs="宋体"/>
        </w:rPr>
        <w:t>（1）投标人为独立法人，并具备统一社会信用代码。</w:t>
      </w:r>
    </w:p>
    <w:p>
      <w:pPr>
        <w:pStyle w:val="2"/>
        <w:spacing w:line="440" w:lineRule="exact"/>
        <w:ind w:firstLine="480" w:firstLineChars="200"/>
        <w:rPr>
          <w:rFonts w:ascii="宋体" w:hAnsi="宋体" w:cs="宋体"/>
        </w:rPr>
      </w:pPr>
      <w:r>
        <w:rPr>
          <w:rFonts w:hint="eastAsia" w:ascii="宋体" w:hAnsi="宋体"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spacing w:line="440" w:lineRule="exact"/>
        <w:ind w:firstLine="480" w:firstLineChars="200"/>
        <w:rPr>
          <w:rFonts w:ascii="宋体" w:hAnsi="宋体" w:cs="宋体"/>
        </w:rPr>
      </w:pPr>
      <w:r>
        <w:rPr>
          <w:rFonts w:hint="eastAsia" w:ascii="宋体" w:hAnsi="宋体" w:cs="宋体"/>
        </w:rPr>
        <w:t>（3）被列入我院投标人黑名单（在我院招投标活动中存在2次违规行为）未满3年的投标人将被拒绝其参与本次招投标活动。</w:t>
      </w:r>
    </w:p>
    <w:p>
      <w:pPr>
        <w:pStyle w:val="2"/>
        <w:spacing w:line="440" w:lineRule="exact"/>
        <w:ind w:firstLine="480" w:firstLineChars="200"/>
        <w:rPr>
          <w:rFonts w:ascii="宋体" w:hAnsi="宋体" w:cs="宋体"/>
          <w:color w:val="auto"/>
        </w:rPr>
      </w:pPr>
      <w:r>
        <w:rPr>
          <w:rFonts w:hint="eastAsia" w:ascii="宋体" w:hAnsi="宋体" w:cs="宋体"/>
        </w:rPr>
        <w:t>（4）</w:t>
      </w:r>
      <w:r>
        <w:rPr>
          <w:rFonts w:hint="eastAsia" w:ascii="宋体" w:hAnsi="宋体" w:cs="宋体"/>
          <w:color w:val="auto"/>
        </w:rPr>
        <w:t>本项目不接收联合体投标。</w:t>
      </w:r>
    </w:p>
    <w:p>
      <w:pPr>
        <w:pStyle w:val="2"/>
        <w:spacing w:line="440" w:lineRule="exact"/>
        <w:ind w:firstLine="482" w:firstLineChars="200"/>
        <w:rPr>
          <w:rFonts w:ascii="宋体" w:hAnsi="宋体"/>
          <w:b/>
          <w:bCs/>
        </w:rPr>
      </w:pPr>
      <w:r>
        <w:rPr>
          <w:rFonts w:hint="eastAsia" w:ascii="宋体" w:hAnsi="宋体"/>
          <w:b/>
          <w:bCs/>
        </w:rPr>
        <w:t>五、售后服务和资质</w:t>
      </w:r>
    </w:p>
    <w:p>
      <w:pPr>
        <w:pStyle w:val="2"/>
        <w:spacing w:line="440" w:lineRule="exact"/>
        <w:ind w:firstLine="480" w:firstLineChars="200"/>
        <w:rPr>
          <w:rFonts w:ascii="宋体" w:hAnsi="宋体"/>
        </w:rPr>
      </w:pPr>
      <w:r>
        <w:rPr>
          <w:rFonts w:hint="eastAsia" w:ascii="宋体" w:hAnsi="宋体"/>
        </w:rPr>
        <w:t>1）售后资质要求：在本市设有固定售后维护服务点。</w:t>
      </w:r>
    </w:p>
    <w:p>
      <w:pPr>
        <w:pStyle w:val="2"/>
        <w:spacing w:line="440" w:lineRule="exact"/>
        <w:ind w:firstLine="480" w:firstLineChars="200"/>
        <w:rPr>
          <w:rFonts w:ascii="宋体" w:hAnsi="宋体"/>
        </w:rPr>
      </w:pPr>
      <w:r>
        <w:rPr>
          <w:rFonts w:hint="eastAsia" w:ascii="宋体" w:hAnsi="宋体"/>
        </w:rPr>
        <w:t>2）维修备件必须是原厂备件,通用件经甲方同意下方可进行。</w:t>
      </w:r>
    </w:p>
    <w:p>
      <w:pPr>
        <w:pStyle w:val="2"/>
        <w:spacing w:line="440" w:lineRule="exact"/>
        <w:ind w:firstLine="480" w:firstLineChars="200"/>
        <w:rPr>
          <w:rFonts w:ascii="宋体" w:hAnsi="宋体"/>
        </w:rPr>
      </w:pPr>
      <w:r>
        <w:rPr>
          <w:rFonts w:hint="eastAsia" w:ascii="宋体" w:hAnsi="宋体"/>
        </w:rPr>
        <w:t>3）本合同提供3个工作日的由应用专家进行的院内现场技术培训。</w:t>
      </w:r>
    </w:p>
    <w:p>
      <w:pPr>
        <w:pStyle w:val="2"/>
        <w:spacing w:line="440" w:lineRule="exact"/>
        <w:ind w:firstLine="480" w:firstLineChars="200"/>
        <w:rPr>
          <w:rFonts w:ascii="宋体" w:hAnsi="宋体"/>
        </w:rPr>
      </w:pPr>
      <w:r>
        <w:rPr>
          <w:rFonts w:hint="eastAsia" w:ascii="宋体" w:hAnsi="宋体"/>
        </w:rPr>
        <w:t>4）为了防止虚假应标，项目成交结果公示期间，招标人有权要求拟中标的投标人提供所投标产品以供测试；若测试达不到应答指标，以虚假应标论处。</w:t>
      </w:r>
    </w:p>
    <w:p>
      <w:pPr>
        <w:pStyle w:val="2"/>
        <w:spacing w:line="440" w:lineRule="exact"/>
        <w:ind w:firstLine="480" w:firstLineChars="200"/>
        <w:rPr>
          <w:rFonts w:ascii="宋体" w:hAnsi="宋体"/>
        </w:rPr>
      </w:pPr>
      <w:r>
        <w:rPr>
          <w:rFonts w:hint="eastAsia" w:ascii="宋体" w:hAnsi="宋体"/>
        </w:rPr>
        <w:t>7）故障处理：厂家须设有24小时免费服务电话，中标供应商应提供常驻本市维保人员名单、联系电话等。质保期内，在使用过程中发现质量问题或故障时，须接到通知后24小时内派工程师到达用户现场及提供常用备件，按国家及行业标准对故障进行及时处理或更换，以保证采购单位的正常使用，所发生的一切费用由成交供应商负责。</w:t>
      </w:r>
    </w:p>
    <w:p>
      <w:pPr>
        <w:pStyle w:val="2"/>
        <w:spacing w:line="440" w:lineRule="exact"/>
        <w:ind w:firstLine="480" w:firstLineChars="200"/>
        <w:rPr>
          <w:rFonts w:ascii="宋体" w:hAnsi="宋体" w:cs="宋体"/>
        </w:rPr>
      </w:pPr>
      <w:r>
        <w:rPr>
          <w:rFonts w:hint="eastAsia" w:ascii="宋体" w:hAnsi="宋体"/>
        </w:rPr>
        <w:t>8）</w:t>
      </w:r>
      <w:r>
        <w:rPr>
          <w:rFonts w:hint="eastAsia" w:ascii="宋体" w:hAnsi="宋体" w:cs="宋体"/>
        </w:rPr>
        <w:t>签订合同后，</w:t>
      </w:r>
      <w:r>
        <w:rPr>
          <w:rFonts w:hint="eastAsia" w:ascii="宋体" w:hAnsi="宋体"/>
          <w:color w:val="FF0000"/>
          <w:u w:val="single"/>
        </w:rPr>
        <w:t>40</w:t>
      </w:r>
      <w:r>
        <w:rPr>
          <w:rFonts w:hint="eastAsia" w:ascii="宋体" w:hAnsi="宋体" w:cs="宋体"/>
        </w:rPr>
        <w:t>天内仪器设备安装调试结束并交付使用。投标人予以特别注意：如出现未能到期供货的情况，采购人有权单方终止合同的执行，所有的经济损失由逾期供货商单方承担。</w:t>
      </w:r>
    </w:p>
    <w:p>
      <w:pPr>
        <w:pStyle w:val="2"/>
        <w:spacing w:line="440" w:lineRule="exact"/>
        <w:ind w:firstLine="480" w:firstLineChars="200"/>
        <w:rPr>
          <w:rFonts w:ascii="宋体" w:hAnsi="宋体"/>
        </w:rPr>
      </w:pPr>
      <w:r>
        <w:rPr>
          <w:rFonts w:hint="eastAsia" w:ascii="宋体" w:hAnsi="宋体"/>
        </w:rPr>
        <w:t>（1）质保期：通过验收之日起质整机保修1年，更换零配件质保2年。</w:t>
      </w:r>
    </w:p>
    <w:p>
      <w:pPr>
        <w:pStyle w:val="2"/>
        <w:spacing w:line="440" w:lineRule="exact"/>
        <w:ind w:firstLine="480" w:firstLineChars="200"/>
        <w:rPr>
          <w:rFonts w:ascii="宋体" w:hAnsi="宋体"/>
        </w:rPr>
      </w:pPr>
      <w:r>
        <w:rPr>
          <w:rFonts w:hint="eastAsia" w:ascii="宋体" w:hAnsi="宋体" w:cs="宋体"/>
        </w:rPr>
        <w:t>（2）施工地点为：广西壮族自治区桂东人民医院门诊六楼裙楼楼顶</w:t>
      </w:r>
    </w:p>
    <w:p>
      <w:pPr>
        <w:pStyle w:val="2"/>
        <w:spacing w:line="440" w:lineRule="exact"/>
        <w:ind w:firstLine="480" w:firstLineChars="200"/>
        <w:rPr>
          <w:rFonts w:ascii="宋体" w:hAnsi="宋体"/>
        </w:rPr>
      </w:pPr>
      <w:r>
        <w:rPr>
          <w:rFonts w:hint="eastAsia" w:ascii="宋体" w:hAnsi="宋体"/>
        </w:rPr>
        <w:t>（3）付款条件（进度和方式）：</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经验收合格后，三十个工作日付合同款的95% ，其</w:t>
      </w:r>
      <w:r>
        <w:rPr>
          <w:rFonts w:hint="eastAsia" w:ascii="宋体" w:hAnsi="宋体" w:cs="宋体"/>
          <w:b/>
          <w:bCs/>
          <w:sz w:val="24"/>
          <w:szCs w:val="24"/>
          <w:u w:val="single"/>
        </w:rPr>
        <w:t>余5% ，</w:t>
      </w:r>
      <w:r>
        <w:rPr>
          <w:rFonts w:hint="eastAsia" w:ascii="宋体" w:hAnsi="宋体" w:cs="宋体"/>
          <w:kern w:val="0"/>
          <w:sz w:val="24"/>
          <w:szCs w:val="24"/>
        </w:rPr>
        <w:t>两年（根据项目特点定）内无质量问题后付清（无息）。如验收不合格以及发现伪劣产品等，招标人将视情形采取退货、拒付款、终止合同、索赔等措施，直至通过有关部门，依法维权。</w:t>
      </w:r>
    </w:p>
    <w:p>
      <w:pPr>
        <w:widowControl/>
        <w:spacing w:line="440" w:lineRule="exact"/>
        <w:jc w:val="left"/>
        <w:rPr>
          <w:rFonts w:ascii="宋体" w:hAnsi="宋体" w:cs="宋体"/>
          <w:b/>
          <w:bCs/>
          <w:kern w:val="0"/>
          <w:sz w:val="28"/>
          <w:szCs w:val="28"/>
        </w:rPr>
      </w:pPr>
      <w:r>
        <w:rPr>
          <w:rFonts w:hint="eastAsia" w:ascii="宋体" w:hAnsi="宋体"/>
          <w:b/>
          <w:bCs/>
          <w:kern w:val="0"/>
          <w:sz w:val="28"/>
          <w:szCs w:val="28"/>
        </w:rPr>
        <w:t>六</w:t>
      </w:r>
      <w:r>
        <w:rPr>
          <w:rFonts w:hint="eastAsia" w:ascii="宋体" w:hAnsi="宋体" w:cs="宋体"/>
          <w:b/>
          <w:bCs/>
          <w:kern w:val="0"/>
          <w:sz w:val="28"/>
          <w:szCs w:val="28"/>
        </w:rPr>
        <w:t>、合同签订</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招标人和中标人应当自公示结束后</w:t>
      </w:r>
      <w:sdt>
        <w:sdtPr>
          <w:rPr>
            <w:rFonts w:hint="eastAsia" w:ascii="宋体" w:hAnsi="宋体" w:cs="宋体"/>
            <w:kern w:val="0"/>
            <w:sz w:val="24"/>
            <w:szCs w:val="24"/>
          </w:rPr>
          <w:alias w:val="无特殊情况不建议修改"/>
          <w:tag w:val="无特殊情况不建议修改"/>
          <w:id w:val="-183904816"/>
          <w:placeholder>
            <w:docPart w:val="DefaultPlaceholder_-1854013440"/>
          </w:placeholder>
        </w:sdtPr>
        <w:sdtEndPr>
          <w:rPr>
            <w:rFonts w:hint="eastAsia" w:ascii="宋体" w:hAnsi="宋体" w:cs="宋体"/>
            <w:color w:val="FF0000"/>
            <w:kern w:val="0"/>
            <w:sz w:val="24"/>
            <w:szCs w:val="24"/>
            <w:u w:val="single"/>
          </w:rPr>
        </w:sdtEndPr>
        <w:sdtContent>
          <w:r>
            <w:rPr>
              <w:rFonts w:hint="eastAsia" w:ascii="宋体" w:hAnsi="宋体" w:cs="宋体"/>
              <w:color w:val="FF0000"/>
              <w:kern w:val="0"/>
              <w:sz w:val="24"/>
              <w:szCs w:val="24"/>
              <w:u w:val="single"/>
              <w:lang w:val="en-US" w:eastAsia="zh-CN"/>
            </w:rPr>
            <w:t>30</w:t>
          </w:r>
          <w:r>
            <w:rPr>
              <w:rFonts w:hint="eastAsia" w:ascii="宋体" w:hAnsi="宋体" w:cs="宋体"/>
              <w:color w:val="FF0000"/>
              <w:kern w:val="0"/>
              <w:sz w:val="24"/>
              <w:szCs w:val="24"/>
              <w:u w:val="single"/>
            </w:rPr>
            <w:t>个</w:t>
          </w:r>
          <w:r>
            <w:rPr>
              <w:rFonts w:hint="eastAsia" w:ascii="宋体" w:hAnsi="宋体" w:cs="宋体"/>
              <w:color w:val="FF0000"/>
              <w:kern w:val="0"/>
              <w:sz w:val="24"/>
              <w:szCs w:val="24"/>
              <w:u w:val="single"/>
              <w:lang w:eastAsia="zh-CN"/>
            </w:rPr>
            <w:t>历</w:t>
          </w:r>
        </w:sdtContent>
      </w:sdt>
      <w:r>
        <w:rPr>
          <w:rFonts w:hint="eastAsia" w:ascii="宋体" w:hAnsi="宋体" w:cs="宋体"/>
          <w:kern w:val="0"/>
          <w:sz w:val="24"/>
          <w:szCs w:val="24"/>
        </w:rPr>
        <w:t>日内签订采购合同。</w:t>
      </w:r>
    </w:p>
    <w:p>
      <w:pPr>
        <w:widowControl/>
        <w:spacing w:line="440" w:lineRule="exact"/>
        <w:jc w:val="left"/>
        <w:rPr>
          <w:rFonts w:ascii="宋体" w:hAnsi="宋体" w:cs="宋体"/>
          <w:b/>
          <w:bCs/>
          <w:kern w:val="0"/>
          <w:sz w:val="28"/>
          <w:szCs w:val="28"/>
        </w:rPr>
      </w:pPr>
      <w:r>
        <w:rPr>
          <w:rFonts w:hint="eastAsia" w:ascii="宋体" w:hAnsi="宋体"/>
          <w:b/>
          <w:bCs/>
          <w:kern w:val="0"/>
          <w:sz w:val="28"/>
          <w:szCs w:val="28"/>
        </w:rPr>
        <w:t>七</w:t>
      </w:r>
      <w:r>
        <w:rPr>
          <w:rFonts w:hint="eastAsia" w:ascii="宋体" w:hAnsi="宋体" w:cs="宋体"/>
          <w:b/>
          <w:bCs/>
          <w:kern w:val="0"/>
          <w:sz w:val="28"/>
          <w:szCs w:val="28"/>
        </w:rPr>
        <w:t>、其他</w:t>
      </w:r>
    </w:p>
    <w:p>
      <w:pPr>
        <w:pStyle w:val="2"/>
        <w:spacing w:line="440" w:lineRule="exact"/>
        <w:ind w:firstLine="480" w:firstLineChars="200"/>
        <w:rPr>
          <w:rFonts w:ascii="宋体" w:hAnsi="宋体"/>
        </w:rPr>
      </w:pPr>
    </w:p>
    <w:p>
      <w:pPr>
        <w:widowControl/>
        <w:spacing w:line="440" w:lineRule="exact"/>
        <w:jc w:val="left"/>
        <w:rPr>
          <w:rFonts w:ascii="宋体" w:hAnsi="宋体" w:cs="宋体"/>
          <w:b/>
          <w:bCs/>
          <w:kern w:val="0"/>
          <w:sz w:val="28"/>
          <w:szCs w:val="28"/>
        </w:rPr>
      </w:pPr>
      <w:r>
        <w:rPr>
          <w:rFonts w:hint="eastAsia" w:ascii="宋体" w:hAnsi="宋体" w:cs="宋体"/>
          <w:b/>
          <w:bCs/>
          <w:kern w:val="0"/>
          <w:sz w:val="28"/>
          <w:szCs w:val="28"/>
        </w:rPr>
        <w:t>八、特别说明</w:t>
      </w:r>
      <w:bookmarkStart w:id="0" w:name="_GoBack"/>
      <w:bookmarkEnd w:id="0"/>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440" w:lineRule="exact"/>
        <w:ind w:firstLine="482" w:firstLineChars="200"/>
        <w:jc w:val="center"/>
        <w:rPr>
          <w:rFonts w:ascii="宋体" w:hAnsi="宋体"/>
          <w:b/>
          <w:bCs/>
          <w:kern w:val="0"/>
          <w:sz w:val="38"/>
          <w:szCs w:val="38"/>
        </w:rPr>
      </w:pPr>
      <w:r>
        <w:rPr>
          <w:rFonts w:ascii="宋体" w:hAnsi="宋体"/>
          <w:b/>
          <w:bCs/>
          <w:kern w:val="0"/>
          <w:sz w:val="24"/>
          <w:szCs w:val="24"/>
        </w:rPr>
        <w:br w:type="page"/>
      </w:r>
      <w:r>
        <w:rPr>
          <w:rFonts w:hint="eastAsia" w:ascii="宋体" w:hAnsi="宋体" w:cs="宋体"/>
          <w:b/>
          <w:bCs/>
          <w:kern w:val="0"/>
          <w:sz w:val="38"/>
          <w:szCs w:val="38"/>
        </w:rPr>
        <w:t>第四章</w:t>
      </w:r>
      <w:r>
        <w:rPr>
          <w:rFonts w:ascii="宋体" w:hAnsi="宋体" w:cs="宋体"/>
          <w:b/>
          <w:bCs/>
          <w:kern w:val="0"/>
          <w:sz w:val="38"/>
          <w:szCs w:val="38"/>
        </w:rPr>
        <w:t xml:space="preserve">  </w:t>
      </w:r>
      <w:r>
        <w:rPr>
          <w:rFonts w:hint="eastAsia" w:ascii="宋体" w:hAnsi="宋体" w:cs="宋体"/>
          <w:b/>
          <w:bCs/>
          <w:kern w:val="0"/>
          <w:sz w:val="38"/>
          <w:szCs w:val="38"/>
        </w:rPr>
        <w:t>评标方法与评分标准</w:t>
      </w:r>
    </w:p>
    <w:p>
      <w:pPr>
        <w:widowControl/>
        <w:spacing w:line="440" w:lineRule="exact"/>
        <w:ind w:firstLine="551" w:firstLineChars="196"/>
        <w:jc w:val="left"/>
        <w:rPr>
          <w:rFonts w:ascii="宋体" w:hAnsi="宋体" w:cs="宋体"/>
          <w:b/>
          <w:bCs/>
          <w:kern w:val="0"/>
          <w:sz w:val="28"/>
          <w:szCs w:val="28"/>
        </w:rPr>
      </w:pPr>
      <w:r>
        <w:rPr>
          <w:rFonts w:hint="eastAsia" w:ascii="宋体" w:hAnsi="宋体" w:cs="宋体"/>
          <w:b/>
          <w:bCs/>
          <w:kern w:val="0"/>
          <w:sz w:val="28"/>
          <w:szCs w:val="28"/>
        </w:rPr>
        <w:t>评标方法与定标原则：</w:t>
      </w:r>
    </w:p>
    <w:p>
      <w:pPr>
        <w:widowControl/>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评委会将对确定为实质性响应招标文件要求的投标文件进行评价和比较，评标方法采用</w:t>
      </w:r>
      <w:r>
        <w:rPr>
          <w:rFonts w:hint="eastAsia" w:ascii="宋体" w:hAnsi="宋体" w:cs="宋体"/>
          <w:b/>
          <w:bCs/>
          <w:kern w:val="0"/>
          <w:sz w:val="24"/>
          <w:szCs w:val="24"/>
          <w:u w:val="single"/>
        </w:rPr>
        <w:t xml:space="preserve"> 综合评分法 </w:t>
      </w:r>
      <w:r>
        <w:rPr>
          <w:rFonts w:hint="eastAsia" w:ascii="宋体" w:hAnsi="宋体" w:cs="宋体"/>
          <w:kern w:val="0"/>
          <w:sz w:val="24"/>
          <w:szCs w:val="24"/>
        </w:rPr>
        <w:t>确定中标候选人：</w:t>
      </w:r>
    </w:p>
    <w:p>
      <w:pPr>
        <w:pStyle w:val="9"/>
        <w:spacing w:line="380" w:lineRule="exact"/>
        <w:ind w:left="0" w:leftChars="0"/>
        <w:rPr>
          <w:rFonts w:hAnsi="宋体"/>
          <w:b/>
          <w:sz w:val="21"/>
          <w:szCs w:val="24"/>
        </w:rPr>
      </w:pPr>
      <w:r>
        <w:rPr>
          <w:rFonts w:hint="eastAsia" w:hAnsi="宋体"/>
          <w:b/>
          <w:sz w:val="21"/>
          <w:szCs w:val="24"/>
        </w:rPr>
        <w:t>1、投标报价分………………………………………………………………………………35分</w:t>
      </w:r>
    </w:p>
    <w:p>
      <w:pPr>
        <w:pStyle w:val="5"/>
        <w:spacing w:line="380" w:lineRule="exact"/>
        <w:ind w:firstLine="205" w:firstLineChars="98"/>
        <w:rPr>
          <w:rFonts w:hAnsi="宋体"/>
        </w:rPr>
      </w:pPr>
      <w:r>
        <w:rPr>
          <w:rFonts w:hint="eastAsia" w:hAnsi="宋体"/>
        </w:rPr>
        <w:t>价格分计算公式（价格分统一采用低价优先法计算，即满足招标文件要求且最后报价最低的供应商的价格为基准价，其价格分为满分。其他供应商的价格分统一按照下列公式计算）：</w:t>
      </w:r>
    </w:p>
    <w:p>
      <w:pPr>
        <w:pStyle w:val="5"/>
        <w:spacing w:line="380" w:lineRule="exact"/>
        <w:ind w:firstLine="205" w:firstLineChars="98"/>
        <w:rPr>
          <w:rFonts w:hAnsi="宋体"/>
        </w:rPr>
      </w:pPr>
      <w:r>
        <w:rPr>
          <w:rFonts w:hint="eastAsia" w:hAnsi="宋体"/>
        </w:rPr>
        <w:t xml:space="preserve">  某投标人投标报价分=（投标人所报最低投标报价/某投标人所报投标报价）×20分</w:t>
      </w:r>
    </w:p>
    <w:p>
      <w:pPr>
        <w:rPr>
          <w:rFonts w:hAnsi="宋体"/>
          <w:b/>
        </w:rPr>
      </w:pPr>
      <w:r>
        <w:rPr>
          <w:rFonts w:hint="eastAsia" w:hAnsi="宋体"/>
          <w:b/>
        </w:rPr>
        <w:t>2、技术分………………………………………………………………………………………30分</w:t>
      </w:r>
    </w:p>
    <w:p>
      <w:pPr>
        <w:ind w:firstLine="316" w:firstLineChars="150"/>
        <w:rPr>
          <w:b/>
        </w:rPr>
      </w:pPr>
      <w:r>
        <w:rPr>
          <w:rFonts w:hint="eastAsia"/>
          <w:b/>
        </w:rPr>
        <w:t>（1）服务方案整体评价（满分</w:t>
      </w:r>
      <w:r>
        <w:rPr>
          <w:b/>
        </w:rPr>
        <w:t>1</w:t>
      </w:r>
      <w:r>
        <w:rPr>
          <w:rFonts w:hint="eastAsia"/>
          <w:b/>
        </w:rPr>
        <w:t>0分）</w:t>
      </w:r>
    </w:p>
    <w:p>
      <w:pPr>
        <w:ind w:firstLine="315" w:firstLineChars="150"/>
      </w:pPr>
      <w:r>
        <w:rPr>
          <w:rFonts w:hint="eastAsia"/>
        </w:rPr>
        <w:t>综合比较各有效投标人的服务内容和技术方案的先进性及合理性（包括服务整体目标、服务内容与标准等对项目需求理解到位，描述清晰、完整，设计合理，与院方实际情况相匹配且满足院方需求）优秀 10 分，良好7分，一般5分。</w:t>
      </w:r>
    </w:p>
    <w:p>
      <w:pPr>
        <w:ind w:firstLine="316" w:firstLineChars="150"/>
        <w:rPr>
          <w:b/>
        </w:rPr>
      </w:pPr>
      <w:r>
        <w:rPr>
          <w:rFonts w:hint="eastAsia"/>
          <w:b/>
        </w:rPr>
        <w:t>（2）服务特点、难点分析方案（满分10分）</w:t>
      </w:r>
    </w:p>
    <w:p>
      <w:pPr>
        <w:ind w:firstLine="315" w:firstLineChars="150"/>
      </w:pPr>
      <w:r>
        <w:rPr>
          <w:rFonts w:hint="eastAsia"/>
        </w:rPr>
        <w:t>综合比较各投标人所提交的针对本项目服务特点、难点分析以及解决方案情况，按照方案的科学、合理、针对性评分，优（10分）：在良档的基础上，方案能从业主的角度出发编制，合理、可行、高效益。良（7分）：方案能针对本项目的实际情况编制。中（5分）：方案是较为简陋的通用性方案。</w:t>
      </w:r>
    </w:p>
    <w:p>
      <w:pPr>
        <w:ind w:firstLine="316" w:firstLineChars="150"/>
        <w:rPr>
          <w:b/>
        </w:rPr>
      </w:pPr>
      <w:r>
        <w:rPr>
          <w:rFonts w:hint="eastAsia"/>
          <w:b/>
        </w:rPr>
        <w:t>（4）施工组织及售后服务（满分10分）</w:t>
      </w:r>
    </w:p>
    <w:p>
      <w:pPr>
        <w:ind w:firstLine="315" w:firstLineChars="150"/>
      </w:pPr>
      <w:r>
        <w:rPr>
          <w:rFonts w:hint="eastAsia"/>
        </w:rPr>
        <w:t>投标人应根据招标文件项目实施范围，结合医院情况，提供详细的施工组织设计文件及完善的售后服务进行评审。</w:t>
      </w:r>
    </w:p>
    <w:p>
      <w:pPr>
        <w:ind w:firstLine="315" w:firstLineChars="150"/>
      </w:pPr>
      <w:r>
        <w:rPr>
          <w:rFonts w:hint="eastAsia"/>
        </w:rPr>
        <w:t>优秀：施工组织设计文件编制内容全面，工期安排合理，供货、验收、培训和资料等满足要求，售后服务方案、质保期、服务体系完备得10分。</w:t>
      </w:r>
    </w:p>
    <w:p>
      <w:pPr>
        <w:ind w:firstLine="315" w:firstLineChars="150"/>
      </w:pPr>
      <w:r>
        <w:rPr>
          <w:rFonts w:hint="eastAsia"/>
        </w:rPr>
        <w:t>良好：施工组织设计文件编制内容比较全面，工期安排较为合理，供货、验收、培训和资料等基本满足要求，售后服务承诺周到，服务体系较为完备，得7分。</w:t>
      </w:r>
    </w:p>
    <w:p>
      <w:pPr>
        <w:ind w:firstLine="315" w:firstLineChars="150"/>
      </w:pPr>
      <w:r>
        <w:rPr>
          <w:rFonts w:hint="eastAsia"/>
        </w:rPr>
        <w:t>一般：施工组织设计文件编制内容不全面，工期安排一般，供货、验收、培训和资料等有缺项或不满足要求，售后服务承诺不全面，服务体系不完备，得5分。</w:t>
      </w:r>
    </w:p>
    <w:p>
      <w:pPr>
        <w:ind w:firstLine="315" w:firstLineChars="150"/>
      </w:pPr>
    </w:p>
    <w:p>
      <w:r>
        <w:rPr>
          <w:rFonts w:hint="eastAsia" w:hAnsi="宋体"/>
          <w:b/>
        </w:rPr>
        <w:t>3、商务分………………………………………………………………………………………35分</w:t>
      </w:r>
    </w:p>
    <w:p>
      <w:pPr>
        <w:pStyle w:val="5"/>
        <w:spacing w:line="380" w:lineRule="exact"/>
        <w:ind w:firstLine="207" w:firstLineChars="98"/>
        <w:rPr>
          <w:rFonts w:hAnsi="宋体"/>
          <w:b/>
        </w:rPr>
      </w:pPr>
      <w:r>
        <w:rPr>
          <w:rFonts w:hint="eastAsia" w:hAnsi="宋体"/>
          <w:b/>
        </w:rPr>
        <w:t>（1）企业相关荣誉（8分）</w:t>
      </w:r>
    </w:p>
    <w:p>
      <w:pPr>
        <w:pStyle w:val="5"/>
        <w:spacing w:line="380" w:lineRule="exact"/>
        <w:ind w:firstLine="205" w:firstLineChars="98"/>
        <w:rPr>
          <w:rFonts w:hAnsi="宋体"/>
        </w:rPr>
      </w:pPr>
      <w:r>
        <w:rPr>
          <w:rFonts w:hint="eastAsia" w:hAnsi="宋体"/>
          <w:bCs/>
        </w:rPr>
        <w:t>供应商自2020年1月1日以来获得行政主管部门颁发的与企业生产经营相关的奖项或荣誉。（获得市一级奖项每一项为2分，获得省级及以上奖项每一项为4分，如某一奖项同时具备市、省级以上奖项的，以省级以上为准）（满分8分，评标时提供证书复印件，否则不得分）</w:t>
      </w:r>
      <w:r>
        <w:rPr>
          <w:rFonts w:hint="eastAsia" w:hAnsi="宋体"/>
        </w:rPr>
        <w:t>。</w:t>
      </w:r>
    </w:p>
    <w:p>
      <w:pPr>
        <w:pStyle w:val="5"/>
        <w:spacing w:line="380" w:lineRule="exact"/>
        <w:ind w:firstLine="207" w:firstLineChars="98"/>
        <w:rPr>
          <w:rFonts w:hAnsi="宋体"/>
          <w:b/>
        </w:rPr>
      </w:pPr>
      <w:r>
        <w:rPr>
          <w:rFonts w:hint="eastAsia" w:hAnsi="宋体"/>
          <w:b/>
        </w:rPr>
        <w:t>（2）企业履约服务能力（</w:t>
      </w:r>
      <w:r>
        <w:rPr>
          <w:rFonts w:hAnsi="宋体"/>
          <w:b/>
        </w:rPr>
        <w:t>1</w:t>
      </w:r>
      <w:r>
        <w:rPr>
          <w:rFonts w:hint="eastAsia" w:hAnsi="宋体"/>
          <w:b/>
        </w:rPr>
        <w:t>1分）</w:t>
      </w:r>
    </w:p>
    <w:p>
      <w:pPr>
        <w:pStyle w:val="5"/>
        <w:spacing w:line="360" w:lineRule="exact"/>
        <w:rPr>
          <w:rFonts w:hAnsi="宋体"/>
          <w:bCs/>
        </w:rPr>
      </w:pPr>
      <w:r>
        <w:rPr>
          <w:rFonts w:hint="eastAsia" w:hAnsi="宋体"/>
          <w:bCs/>
        </w:rPr>
        <w:t>（1）投标人通过GB/T19001/ISO9001质量管理体系认证，并且管理体系认证范围包含机电设备维保与空调维保的得2分；</w:t>
      </w:r>
    </w:p>
    <w:p>
      <w:pPr>
        <w:pStyle w:val="5"/>
        <w:spacing w:line="360" w:lineRule="exact"/>
        <w:rPr>
          <w:rFonts w:hAnsi="宋体"/>
          <w:bCs/>
        </w:rPr>
      </w:pPr>
      <w:r>
        <w:rPr>
          <w:rFonts w:hint="eastAsia" w:hAnsi="宋体"/>
          <w:bCs/>
        </w:rPr>
        <w:t>（2）投标人通过GB/T24001/ISO14001环境管理体系认证，并且管理体系认证范围包含机电设备维保与空调维保的得2分；</w:t>
      </w:r>
    </w:p>
    <w:p>
      <w:pPr>
        <w:pStyle w:val="5"/>
        <w:spacing w:line="360" w:lineRule="exact"/>
        <w:rPr>
          <w:rFonts w:hAnsi="宋体"/>
          <w:bCs/>
        </w:rPr>
      </w:pPr>
      <w:r>
        <w:rPr>
          <w:rFonts w:hint="eastAsia" w:hAnsi="宋体"/>
          <w:bCs/>
        </w:rPr>
        <w:t>（3）投标人通过GB/T45001/ISO45001职业健康安全管理体系认证，并且管理体系认证范围包含机电设备维保与空调维保的，得2分。</w:t>
      </w:r>
    </w:p>
    <w:p>
      <w:pPr>
        <w:pStyle w:val="5"/>
        <w:spacing w:line="360" w:lineRule="exact"/>
        <w:rPr>
          <w:rFonts w:hAnsi="宋体"/>
          <w:bCs/>
        </w:rPr>
      </w:pPr>
      <w:r>
        <w:rPr>
          <w:rFonts w:hint="eastAsia" w:hAnsi="宋体"/>
          <w:bCs/>
        </w:rPr>
        <w:t>（4）投标人设备维护保养能力较强，获得“设备维护保养体系认证证书”的得2分。</w:t>
      </w:r>
    </w:p>
    <w:p>
      <w:pPr>
        <w:pStyle w:val="5"/>
        <w:spacing w:line="360" w:lineRule="exact"/>
        <w:rPr>
          <w:rFonts w:hAnsi="宋体"/>
          <w:bCs/>
        </w:rPr>
      </w:pPr>
      <w:r>
        <w:rPr>
          <w:rFonts w:hint="eastAsia" w:hAnsi="宋体"/>
          <w:bCs/>
        </w:rPr>
        <w:t>（5）投标人具有AAA企业信用等级证书的得2分；</w:t>
      </w:r>
    </w:p>
    <w:p>
      <w:pPr>
        <w:pStyle w:val="5"/>
        <w:spacing w:line="360" w:lineRule="exact"/>
        <w:rPr>
          <w:rFonts w:hAnsi="宋体"/>
          <w:bCs/>
        </w:rPr>
      </w:pPr>
      <w:r>
        <w:rPr>
          <w:rFonts w:hint="eastAsia" w:hAnsi="宋体"/>
          <w:bCs/>
        </w:rPr>
        <w:t>（6） 供应商具有机电工程施工总承包三级及以上资质的得3分，（满分3分，评标时提供资质证书复印件，否则不得分）</w:t>
      </w:r>
    </w:p>
    <w:p>
      <w:pPr>
        <w:pStyle w:val="5"/>
        <w:spacing w:line="380" w:lineRule="exact"/>
        <w:ind w:firstLine="210" w:firstLineChars="100"/>
        <w:rPr>
          <w:rFonts w:hAnsi="宋体"/>
        </w:rPr>
      </w:pPr>
      <w:r>
        <w:rPr>
          <w:rFonts w:hint="eastAsia" w:hAnsi="宋体"/>
        </w:rPr>
        <w:t>（注：以上资质证书需提供证明材料复印件）</w:t>
      </w:r>
    </w:p>
    <w:p>
      <w:pPr>
        <w:pStyle w:val="5"/>
        <w:spacing w:line="380" w:lineRule="exact"/>
        <w:ind w:firstLine="207" w:firstLineChars="98"/>
        <w:rPr>
          <w:rFonts w:hAnsi="宋体"/>
          <w:b/>
        </w:rPr>
      </w:pPr>
      <w:r>
        <w:rPr>
          <w:rFonts w:hint="eastAsia" w:hAnsi="宋体"/>
          <w:b/>
        </w:rPr>
        <w:t>（4）相关业绩（满分16分）</w:t>
      </w:r>
    </w:p>
    <w:p>
      <w:pPr>
        <w:pStyle w:val="5"/>
        <w:spacing w:line="380" w:lineRule="exact"/>
        <w:ind w:firstLine="205" w:firstLineChars="98"/>
        <w:rPr>
          <w:rFonts w:hAnsi="宋体"/>
        </w:rPr>
      </w:pPr>
      <w:r>
        <w:rPr>
          <w:rFonts w:hint="eastAsia" w:hAnsi="宋体"/>
        </w:rPr>
        <w:t>具有医院中央空调大修、年度维保项目业绩的，每个得4分，满分16分；</w:t>
      </w:r>
    </w:p>
    <w:p>
      <w:pPr>
        <w:pStyle w:val="5"/>
        <w:spacing w:line="380" w:lineRule="exact"/>
        <w:ind w:firstLine="205" w:firstLineChars="98"/>
      </w:pPr>
      <w:r>
        <w:rPr>
          <w:rFonts w:hint="eastAsia" w:hAnsi="宋体"/>
        </w:rPr>
        <w:t>（须投标文件中提供合同复印件或中标通知书）</w:t>
      </w:r>
    </w:p>
    <w:p>
      <w:pPr>
        <w:pStyle w:val="2"/>
      </w:pPr>
    </w:p>
    <w:p>
      <w:pPr>
        <w:pStyle w:val="2"/>
        <w:spacing w:line="440" w:lineRule="exact"/>
        <w:ind w:firstLine="560" w:firstLineChars="200"/>
        <w:rPr>
          <w:rFonts w:hint="eastAsia" w:ascii="宋体" w:hAnsi="宋体"/>
          <w:sz w:val="28"/>
          <w:szCs w:val="28"/>
        </w:rPr>
      </w:pPr>
      <w:r>
        <w:rPr>
          <w:rFonts w:hint="eastAsia" w:ascii="宋体" w:hAnsi="宋体"/>
          <w:sz w:val="28"/>
          <w:szCs w:val="28"/>
        </w:rPr>
        <w:t xml:space="preserve"> </w:t>
      </w:r>
    </w:p>
    <w:p>
      <w:pPr>
        <w:pStyle w:val="2"/>
        <w:spacing w:line="440" w:lineRule="exact"/>
        <w:ind w:firstLine="560" w:firstLineChars="200"/>
        <w:rPr>
          <w:rFonts w:hint="eastAsia" w:ascii="宋体" w:hAnsi="宋体"/>
          <w:sz w:val="28"/>
          <w:szCs w:val="28"/>
        </w:rPr>
      </w:pPr>
      <w:r>
        <w:rPr>
          <w:rFonts w:ascii="宋体" w:hAnsi="宋体"/>
          <w:sz w:val="28"/>
          <w:szCs w:val="28"/>
        </w:rPr>
        <w:object>
          <v:shape id="_x0000_i1025" o:spt="75" type="#_x0000_t75" style="height:720pt;width:415.5pt;" o:ole="t" filled="f" o:preferrelative="t" stroked="f" coordsize="21600,21600">
            <v:path/>
            <v:fill on="f" focussize="0,0"/>
            <v:stroke on="f" joinstyle="miter"/>
            <v:imagedata r:id="rId5" o:title=""/>
            <o:lock v:ext="edit" aspectratio="t"/>
            <w10:wrap type="none"/>
            <w10:anchorlock/>
          </v:shape>
          <o:OLEObject Type="Embed" ProgID="Word.Document.12" ShapeID="_x0000_i1025" DrawAspect="Content" ObjectID="_1468075725" r:id="rId4">
            <o:LockedField>false</o:LockedField>
          </o:OLEObject>
        </w:object>
      </w:r>
    </w:p>
    <w:sectPr>
      <w:pgSz w:w="11906" w:h="16838"/>
      <w:pgMar w:top="1440" w:right="1800" w:bottom="1135"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zZmUxMTJmMzEwYzc3MTAxNjI1Y2M2ZjFjY2FjMGQ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0F14F1"/>
    <w:rsid w:val="0010640D"/>
    <w:rsid w:val="00110567"/>
    <w:rsid w:val="00204183"/>
    <w:rsid w:val="00241CD6"/>
    <w:rsid w:val="00253011"/>
    <w:rsid w:val="002A095B"/>
    <w:rsid w:val="002B460D"/>
    <w:rsid w:val="002C7944"/>
    <w:rsid w:val="0031748A"/>
    <w:rsid w:val="00352851"/>
    <w:rsid w:val="0039177C"/>
    <w:rsid w:val="003C3AB5"/>
    <w:rsid w:val="003E7DC1"/>
    <w:rsid w:val="003F1134"/>
    <w:rsid w:val="00421A85"/>
    <w:rsid w:val="00450A1D"/>
    <w:rsid w:val="00474079"/>
    <w:rsid w:val="004A5141"/>
    <w:rsid w:val="004B6544"/>
    <w:rsid w:val="004C7EB2"/>
    <w:rsid w:val="004D08F5"/>
    <w:rsid w:val="004D2825"/>
    <w:rsid w:val="004F5A76"/>
    <w:rsid w:val="005007DD"/>
    <w:rsid w:val="005C54B4"/>
    <w:rsid w:val="005D491D"/>
    <w:rsid w:val="00654BC6"/>
    <w:rsid w:val="00663414"/>
    <w:rsid w:val="00682C7A"/>
    <w:rsid w:val="00684BD7"/>
    <w:rsid w:val="006A011A"/>
    <w:rsid w:val="006E5543"/>
    <w:rsid w:val="00707A97"/>
    <w:rsid w:val="00714A8A"/>
    <w:rsid w:val="00741459"/>
    <w:rsid w:val="007472B7"/>
    <w:rsid w:val="007732EF"/>
    <w:rsid w:val="007814EA"/>
    <w:rsid w:val="007A5910"/>
    <w:rsid w:val="007F6F70"/>
    <w:rsid w:val="00825B15"/>
    <w:rsid w:val="008553F8"/>
    <w:rsid w:val="00884B6F"/>
    <w:rsid w:val="008A4269"/>
    <w:rsid w:val="008A5DC5"/>
    <w:rsid w:val="008B2124"/>
    <w:rsid w:val="008D3A6F"/>
    <w:rsid w:val="008D4C2B"/>
    <w:rsid w:val="009530DC"/>
    <w:rsid w:val="009E0ED3"/>
    <w:rsid w:val="00A2105C"/>
    <w:rsid w:val="00A44D5C"/>
    <w:rsid w:val="00A83F43"/>
    <w:rsid w:val="00AC0EA5"/>
    <w:rsid w:val="00B72F7F"/>
    <w:rsid w:val="00B77D43"/>
    <w:rsid w:val="00B8409A"/>
    <w:rsid w:val="00BA3521"/>
    <w:rsid w:val="00C33384"/>
    <w:rsid w:val="00C54C1D"/>
    <w:rsid w:val="00C762C8"/>
    <w:rsid w:val="00C97AD7"/>
    <w:rsid w:val="00CC2DEE"/>
    <w:rsid w:val="00CD27A2"/>
    <w:rsid w:val="00D037B5"/>
    <w:rsid w:val="00D2685D"/>
    <w:rsid w:val="00D41CB5"/>
    <w:rsid w:val="00D4291C"/>
    <w:rsid w:val="00D57065"/>
    <w:rsid w:val="00D72D3D"/>
    <w:rsid w:val="00DA5B52"/>
    <w:rsid w:val="00DB5864"/>
    <w:rsid w:val="00DC52EC"/>
    <w:rsid w:val="00DC6E13"/>
    <w:rsid w:val="00DD5990"/>
    <w:rsid w:val="00E13151"/>
    <w:rsid w:val="00E14108"/>
    <w:rsid w:val="00E14F32"/>
    <w:rsid w:val="00E72BBE"/>
    <w:rsid w:val="00E87892"/>
    <w:rsid w:val="00EB1C9B"/>
    <w:rsid w:val="00ED5546"/>
    <w:rsid w:val="00F179D5"/>
    <w:rsid w:val="00F401EC"/>
    <w:rsid w:val="00F9586A"/>
    <w:rsid w:val="00FC6311"/>
    <w:rsid w:val="0C8B0CD1"/>
    <w:rsid w:val="0C8B6EFD"/>
    <w:rsid w:val="0CC05EEA"/>
    <w:rsid w:val="10C97A40"/>
    <w:rsid w:val="122B15C9"/>
    <w:rsid w:val="1F0C2535"/>
    <w:rsid w:val="2218153E"/>
    <w:rsid w:val="238241FC"/>
    <w:rsid w:val="25D6720D"/>
    <w:rsid w:val="260D7B7B"/>
    <w:rsid w:val="26431704"/>
    <w:rsid w:val="2C7D5EC4"/>
    <w:rsid w:val="2E44559E"/>
    <w:rsid w:val="3194337D"/>
    <w:rsid w:val="3737378F"/>
    <w:rsid w:val="3806606D"/>
    <w:rsid w:val="397701BE"/>
    <w:rsid w:val="3F8769CB"/>
    <w:rsid w:val="41366ED0"/>
    <w:rsid w:val="52730525"/>
    <w:rsid w:val="5E5173D9"/>
    <w:rsid w:val="632D110E"/>
    <w:rsid w:val="6A513DD5"/>
    <w:rsid w:val="6DD0797D"/>
    <w:rsid w:val="71754026"/>
    <w:rsid w:val="74B5471E"/>
    <w:rsid w:val="77E41C8F"/>
    <w:rsid w:val="77E80D46"/>
    <w:rsid w:val="7CA915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7"/>
    <w:autoRedefine/>
    <w:qFormat/>
    <w:uiPriority w:val="99"/>
    <w:pPr>
      <w:jc w:val="left"/>
    </w:pPr>
  </w:style>
  <w:style w:type="paragraph" w:styleId="4">
    <w:name w:val="Body Text Indent"/>
    <w:basedOn w:val="1"/>
    <w:link w:val="28"/>
    <w:autoRedefine/>
    <w:semiHidden/>
    <w:unhideWhenUsed/>
    <w:qFormat/>
    <w:uiPriority w:val="99"/>
    <w:pPr>
      <w:spacing w:after="120"/>
      <w:ind w:left="420" w:leftChars="200"/>
    </w:pPr>
  </w:style>
  <w:style w:type="paragraph" w:styleId="5">
    <w:name w:val="Plain Text"/>
    <w:basedOn w:val="1"/>
    <w:link w:val="19"/>
    <w:autoRedefine/>
    <w:qFormat/>
    <w:uiPriority w:val="99"/>
    <w:rPr>
      <w:rFonts w:ascii="宋体" w:hAnsi="Courier New"/>
    </w:rPr>
  </w:style>
  <w:style w:type="paragraph" w:styleId="6">
    <w:name w:val="Balloon Text"/>
    <w:basedOn w:val="1"/>
    <w:link w:val="26"/>
    <w:autoRedefine/>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Indent 3"/>
    <w:basedOn w:val="1"/>
    <w:link w:val="30"/>
    <w:autoRedefine/>
    <w:semiHidden/>
    <w:unhideWhenUsed/>
    <w:qFormat/>
    <w:uiPriority w:val="99"/>
    <w:pPr>
      <w:spacing w:after="120"/>
      <w:ind w:left="420" w:leftChars="200"/>
    </w:pPr>
    <w:rPr>
      <w:sz w:val="16"/>
      <w:szCs w:val="16"/>
    </w:rPr>
  </w:style>
  <w:style w:type="paragraph" w:styleId="10">
    <w:name w:val="annotation subject"/>
    <w:basedOn w:val="3"/>
    <w:next w:val="3"/>
    <w:link w:val="18"/>
    <w:autoRedefine/>
    <w:semiHidden/>
    <w:unhideWhenUsed/>
    <w:qFormat/>
    <w:uiPriority w:val="99"/>
    <w:rPr>
      <w:b/>
      <w:bCs/>
    </w:rPr>
  </w:style>
  <w:style w:type="paragraph" w:styleId="11">
    <w:name w:val="Body Text First Indent 2"/>
    <w:basedOn w:val="4"/>
    <w:link w:val="29"/>
    <w:autoRedefine/>
    <w:unhideWhenUsed/>
    <w:qFormat/>
    <w:uiPriority w:val="99"/>
    <w:pPr>
      <w:ind w:firstLine="420" w:firstLineChars="200"/>
    </w:pPr>
    <w:rPr>
      <w:rFonts w:asciiTheme="minorHAnsi" w:hAnsiTheme="minorHAnsi" w:eastAsiaTheme="minorEastAsia" w:cstheme="minorBidi"/>
      <w:szCs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autoRedefine/>
    <w:semiHidden/>
    <w:qFormat/>
    <w:uiPriority w:val="99"/>
    <w:rPr>
      <w:sz w:val="21"/>
      <w:szCs w:val="21"/>
    </w:rPr>
  </w:style>
  <w:style w:type="character" w:customStyle="1" w:styleId="16">
    <w:name w:val="批注文字 字符"/>
    <w:basedOn w:val="14"/>
    <w:autoRedefine/>
    <w:qFormat/>
    <w:uiPriority w:val="99"/>
    <w:rPr>
      <w:rFonts w:ascii="Times New Roman" w:hAnsi="Times New Roman" w:eastAsia="宋体" w:cs="Times New Roman"/>
      <w:szCs w:val="21"/>
    </w:rPr>
  </w:style>
  <w:style w:type="character" w:customStyle="1" w:styleId="17">
    <w:name w:val="批注文字 Char"/>
    <w:link w:val="3"/>
    <w:autoRedefine/>
    <w:semiHidden/>
    <w:qFormat/>
    <w:uiPriority w:val="99"/>
    <w:rPr>
      <w:rFonts w:ascii="Times New Roman" w:hAnsi="Times New Roman" w:eastAsia="宋体" w:cs="Times New Roman"/>
      <w:szCs w:val="21"/>
    </w:rPr>
  </w:style>
  <w:style w:type="character" w:customStyle="1" w:styleId="18">
    <w:name w:val="批注主题 Char"/>
    <w:basedOn w:val="17"/>
    <w:link w:val="10"/>
    <w:autoRedefine/>
    <w:semiHidden/>
    <w:qFormat/>
    <w:uiPriority w:val="99"/>
    <w:rPr>
      <w:rFonts w:ascii="Times New Roman" w:hAnsi="Times New Roman" w:eastAsia="宋体" w:cs="Times New Roman"/>
      <w:b/>
      <w:bCs/>
      <w:szCs w:val="21"/>
    </w:rPr>
  </w:style>
  <w:style w:type="character" w:customStyle="1" w:styleId="19">
    <w:name w:val="纯文本 Char"/>
    <w:basedOn w:val="14"/>
    <w:link w:val="5"/>
    <w:autoRedefine/>
    <w:qFormat/>
    <w:uiPriority w:val="99"/>
    <w:rPr>
      <w:rFonts w:ascii="宋体" w:hAnsi="Courier New" w:eastAsia="宋体" w:cs="Times New Roman"/>
      <w:szCs w:val="21"/>
    </w:rPr>
  </w:style>
  <w:style w:type="paragraph" w:customStyle="1" w:styleId="20">
    <w:name w:val="表格文字"/>
    <w:basedOn w:val="1"/>
    <w:autoRedefine/>
    <w:qFormat/>
    <w:uiPriority w:val="0"/>
    <w:pPr>
      <w:spacing w:before="25" w:after="25"/>
      <w:jc w:val="left"/>
    </w:pPr>
    <w:rPr>
      <w:rFonts w:ascii="Calibri" w:hAnsi="Calibri"/>
      <w:bCs/>
      <w:spacing w:val="10"/>
      <w:kern w:val="0"/>
      <w:sz w:val="24"/>
      <w:szCs w:val="20"/>
    </w:rPr>
  </w:style>
  <w:style w:type="character" w:customStyle="1" w:styleId="21">
    <w:name w:val="fontstyle01"/>
    <w:autoRedefine/>
    <w:qFormat/>
    <w:uiPriority w:val="0"/>
    <w:rPr>
      <w:rFonts w:hint="eastAsia" w:ascii="宋体" w:hAnsi="宋体" w:eastAsia="宋体"/>
      <w:color w:val="000000"/>
      <w:sz w:val="24"/>
      <w:szCs w:val="24"/>
    </w:rPr>
  </w:style>
  <w:style w:type="character" w:customStyle="1" w:styleId="22">
    <w:name w:val="页眉 Char"/>
    <w:basedOn w:val="14"/>
    <w:link w:val="8"/>
    <w:autoRedefine/>
    <w:qFormat/>
    <w:uiPriority w:val="99"/>
    <w:rPr>
      <w:rFonts w:ascii="Times New Roman" w:hAnsi="Times New Roman" w:eastAsia="宋体" w:cs="Times New Roman"/>
      <w:sz w:val="18"/>
      <w:szCs w:val="18"/>
    </w:rPr>
  </w:style>
  <w:style w:type="character" w:customStyle="1" w:styleId="23">
    <w:name w:val="页脚 Char"/>
    <w:basedOn w:val="14"/>
    <w:link w:val="7"/>
    <w:autoRedefine/>
    <w:qFormat/>
    <w:uiPriority w:val="99"/>
    <w:rPr>
      <w:rFonts w:ascii="Times New Roman" w:hAnsi="Times New Roman" w:eastAsia="宋体" w:cs="Times New Roman"/>
      <w:sz w:val="18"/>
      <w:szCs w:val="18"/>
    </w:rPr>
  </w:style>
  <w:style w:type="character" w:styleId="24">
    <w:name w:val="Placeholder Text"/>
    <w:basedOn w:val="14"/>
    <w:autoRedefine/>
    <w:semiHidden/>
    <w:qFormat/>
    <w:uiPriority w:val="99"/>
    <w:rPr>
      <w:color w:val="808080"/>
    </w:rPr>
  </w:style>
  <w:style w:type="paragraph" w:customStyle="1" w:styleId="25">
    <w:name w:val="样式1"/>
    <w:basedOn w:val="1"/>
    <w:autoRedefine/>
    <w:qFormat/>
    <w:uiPriority w:val="0"/>
  </w:style>
  <w:style w:type="character" w:customStyle="1" w:styleId="26">
    <w:name w:val="批注框文本 Char"/>
    <w:basedOn w:val="14"/>
    <w:link w:val="6"/>
    <w:autoRedefine/>
    <w:semiHidden/>
    <w:qFormat/>
    <w:uiPriority w:val="99"/>
    <w:rPr>
      <w:rFonts w:ascii="Times New Roman" w:hAnsi="Times New Roman" w:eastAsia="宋体" w:cs="Times New Roman"/>
      <w:kern w:val="2"/>
      <w:sz w:val="18"/>
      <w:szCs w:val="18"/>
    </w:rPr>
  </w:style>
  <w:style w:type="paragraph" w:styleId="27">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28">
    <w:name w:val="正文文本缩进 Char"/>
    <w:basedOn w:val="14"/>
    <w:link w:val="4"/>
    <w:autoRedefine/>
    <w:semiHidden/>
    <w:qFormat/>
    <w:uiPriority w:val="99"/>
    <w:rPr>
      <w:rFonts w:ascii="Times New Roman" w:hAnsi="Times New Roman" w:eastAsia="宋体" w:cs="Times New Roman"/>
      <w:kern w:val="2"/>
      <w:sz w:val="21"/>
      <w:szCs w:val="21"/>
    </w:rPr>
  </w:style>
  <w:style w:type="character" w:customStyle="1" w:styleId="29">
    <w:name w:val="正文首行缩进 2 Char"/>
    <w:basedOn w:val="28"/>
    <w:link w:val="11"/>
    <w:autoRedefine/>
    <w:qFormat/>
    <w:uiPriority w:val="99"/>
    <w:rPr>
      <w:szCs w:val="24"/>
    </w:rPr>
  </w:style>
  <w:style w:type="character" w:customStyle="1" w:styleId="30">
    <w:name w:val="正文文本缩进 3 Char"/>
    <w:basedOn w:val="14"/>
    <w:link w:val="9"/>
    <w:autoRedefine/>
    <w:semiHidden/>
    <w:qFormat/>
    <w:uiPriority w:val="99"/>
    <w:rPr>
      <w:rFonts w:ascii="Times New Roman" w:hAnsi="Times New Roman" w:eastAsia="宋体" w:cs="Times New Roman"/>
      <w:kern w:val="2"/>
      <w:sz w:val="16"/>
      <w:szCs w:val="16"/>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package" Target="embeddings/Document1.docx"/><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285A"/>
    <w:rsid w:val="00013D5D"/>
    <w:rsid w:val="00064225"/>
    <w:rsid w:val="00102898"/>
    <w:rsid w:val="001B2DBA"/>
    <w:rsid w:val="00294C41"/>
    <w:rsid w:val="0042513F"/>
    <w:rsid w:val="0048475D"/>
    <w:rsid w:val="00581078"/>
    <w:rsid w:val="007311C2"/>
    <w:rsid w:val="0080285A"/>
    <w:rsid w:val="00842036"/>
    <w:rsid w:val="00961F70"/>
    <w:rsid w:val="00BA40FB"/>
    <w:rsid w:val="00C06558"/>
    <w:rsid w:val="00C509CF"/>
    <w:rsid w:val="00E97823"/>
    <w:rsid w:val="00F224DE"/>
    <w:rsid w:val="00F904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556</Words>
  <Characters>3174</Characters>
  <Lines>26</Lines>
  <Paragraphs>7</Paragraphs>
  <TotalTime>96</TotalTime>
  <ScaleCrop>false</ScaleCrop>
  <LinksUpToDate>false</LinksUpToDate>
  <CharactersWithSpaces>3723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2023-12-26T01:30:00Z</dcterms:created>
  <dc:creator>c k</dc:creator>
  <cp:lastModifiedBy>日月星辰</cp:lastModifiedBy>
  <cp:lastPrinted>2021-01-18T07:59:00Z</cp:lastPrinted>
  <dcterms:modified xsi:type="dcterms:W3CDTF">2024-01-09T03:15:49Z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BC6B623858AD4EF6B8932C9852D63447</vt:lpwstr>
  </property>
</Properties>
</file>