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rPr>
        <w:t>第三章</w:t>
      </w:r>
      <w:r>
        <w:t xml:space="preserve">  </w:t>
      </w:r>
      <w:r>
        <w:rPr>
          <w:rFonts w:hint="eastAsia"/>
        </w:rPr>
        <w:t>项目需求和质量标准</w:t>
      </w:r>
    </w:p>
    <w:p>
      <w:pPr>
        <w:pStyle w:val="3"/>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asciiTheme="minorEastAsia" w:hAnsiTheme="minorEastAsia" w:eastAsiaTheme="minorEastAsia" w:cstheme="minorEastAsia"/>
          <w:sz w:val="30"/>
          <w:szCs w:val="30"/>
        </w:rPr>
      </w:pPr>
      <w:bookmarkStart w:id="0" w:name="_GoBack"/>
      <w:bookmarkEnd w:id="0"/>
      <w:r>
        <w:rPr>
          <w:rFonts w:hint="eastAsia" w:asciiTheme="minorEastAsia" w:hAnsiTheme="minorEastAsia" w:eastAsiaTheme="minorEastAsia" w:cstheme="minorEastAsia"/>
          <w:sz w:val="30"/>
          <w:szCs w:val="30"/>
        </w:rPr>
        <w:t>一、采购清单、技术规格参数、质量标准和要求</w:t>
      </w:r>
    </w:p>
    <w:p>
      <w:pPr>
        <w:pStyle w:val="3"/>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（一）采购清单 </w:t>
      </w:r>
    </w:p>
    <w:p>
      <w:pPr>
        <w:pStyle w:val="2"/>
        <w:ind w:left="-708" w:leftChars="-337"/>
        <w:jc w:val="both"/>
        <w:rPr>
          <w:rFonts w:hint="default" w:eastAsia="宋体"/>
          <w:b/>
          <w:bCs/>
          <w:lang w:val="en-US" w:eastAsia="zh-CN"/>
        </w:rPr>
      </w:pPr>
      <w:r>
        <w:rPr>
          <w:rFonts w:hint="eastAsia"/>
          <w:b/>
          <w:bCs/>
          <w:lang w:val="en-US" w:eastAsia="zh-CN"/>
        </w:rPr>
        <w:t xml:space="preserve">     </w:t>
      </w:r>
    </w:p>
    <w:tbl>
      <w:tblPr>
        <w:tblStyle w:val="9"/>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0"/>
        <w:gridCol w:w="4070"/>
        <w:gridCol w:w="780"/>
        <w:gridCol w:w="756"/>
        <w:gridCol w:w="132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序号</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项目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单位</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单价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金额合计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不锈钢双层器械车（大号）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不锈钢双层器械车（小号）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不锈钢三层器械车（小号）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不锈钢器械托盘车（小号）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（药品间）药品液体物架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（药品间）药品液体上锁物架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（一次性物品间）物架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（无菌物品间）物架</w:t>
            </w:r>
            <w:r>
              <w:rPr>
                <w:rFonts w:hint="eastAsia" w:ascii="宋体" w:hAnsi="宋体" w:cs="宋体"/>
                <w:i w:val="0"/>
                <w:iCs w:val="0"/>
                <w:color w:val="000000"/>
                <w:kern w:val="0"/>
                <w:sz w:val="22"/>
                <w:szCs w:val="22"/>
                <w:u w:val="none"/>
                <w:lang w:val="en-US" w:eastAsia="zh-CN" w:bidi="ar"/>
              </w:rPr>
              <w:t>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（无菌物品间）物架②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（麻醉间）物架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（原标本间做库房）物架</w:t>
            </w:r>
            <w:r>
              <w:rPr>
                <w:rFonts w:hint="eastAsia" w:ascii="宋体" w:hAnsi="宋体" w:cs="宋体"/>
                <w:i w:val="0"/>
                <w:iCs w:val="0"/>
                <w:color w:val="000000"/>
                <w:kern w:val="0"/>
                <w:sz w:val="22"/>
                <w:szCs w:val="22"/>
                <w:u w:val="none"/>
                <w:lang w:val="en-US" w:eastAsia="zh-CN" w:bidi="ar"/>
              </w:rPr>
              <w:t>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（原标本间做库房）物架②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ABS治疗车（小号）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不锈钢脚踏凳</w:t>
            </w:r>
            <w:r>
              <w:rPr>
                <w:rFonts w:hint="eastAsia" w:ascii="宋体" w:hAnsi="宋体" w:cs="宋体"/>
                <w:i w:val="0"/>
                <w:iCs w:val="0"/>
                <w:color w:val="000000"/>
                <w:kern w:val="0"/>
                <w:sz w:val="22"/>
                <w:szCs w:val="22"/>
                <w:u w:val="none"/>
                <w:lang w:val="en-US" w:eastAsia="zh-CN" w:bidi="ar"/>
              </w:rPr>
              <w:t>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不锈钢脚踏凳②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气压杆升降圆凳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输液架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储槽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手消液架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储槽架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二氧化碳运输车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负压吸引架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器械洗涤间不锈钢架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晾鞋架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风幕机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污布晾晒架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污布架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多功能托手架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纸塑机放置桌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敷料包装台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包装间打包台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包装间电脑桌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无菌室及去污区电脑桌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去污区清点桌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包装间敷料柜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无菌室柜子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无菌室缓冲间鞋柜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包装区缓冲间鞋柜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去污区缓冲间鞋柜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门口入室鞋柜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4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污车存放间物架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3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1" w:firstLineChars="100"/>
              <w:jc w:val="both"/>
              <w:textAlignment w:val="center"/>
              <w:rPr>
                <w:rFonts w:hint="eastAsia"/>
                <w:lang w:val="en-US" w:eastAsia="zh-CN"/>
              </w:rPr>
            </w:pPr>
            <w:r>
              <w:rPr>
                <w:rFonts w:hint="eastAsia" w:ascii="宋体" w:hAnsi="宋体" w:cs="宋体"/>
                <w:b/>
                <w:i w:val="0"/>
                <w:color w:val="000000"/>
                <w:kern w:val="0"/>
                <w:sz w:val="24"/>
                <w:szCs w:val="24"/>
                <w:u w:val="none"/>
                <w:lang w:val="en-US" w:eastAsia="zh-CN" w:bidi="ar"/>
              </w:rPr>
              <w:t>合计：</w:t>
            </w:r>
          </w:p>
        </w:tc>
      </w:tr>
    </w:tbl>
    <w:p>
      <w:pPr>
        <w:pStyle w:val="2"/>
        <w:ind w:left="-708" w:leftChars="-337" w:firstLine="964" w:firstLineChars="400"/>
        <w:jc w:val="both"/>
        <w:rPr>
          <w:rFonts w:hint="eastAsia"/>
          <w:b/>
          <w:bCs/>
          <w:lang w:val="en-US" w:eastAsia="zh-CN"/>
        </w:rPr>
      </w:pPr>
    </w:p>
    <w:p>
      <w:pPr>
        <w:pStyle w:val="2"/>
        <w:ind w:left="-708" w:leftChars="-337" w:firstLine="964" w:firstLineChars="400"/>
        <w:jc w:val="both"/>
        <w:rPr>
          <w:rFonts w:hint="default" w:eastAsia="宋体"/>
          <w:b/>
          <w:bCs/>
          <w:lang w:val="en-US" w:eastAsia="zh-CN"/>
        </w:rPr>
      </w:pPr>
      <w:r>
        <w:rPr>
          <w:rFonts w:hint="eastAsia"/>
          <w:b/>
          <w:bCs/>
          <w:lang w:val="en-US" w:eastAsia="zh-CN"/>
        </w:rPr>
        <w:t>备注：</w:t>
      </w: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b/>
          <w:bCs/>
          <w:kern w:val="0"/>
          <w:sz w:val="24"/>
          <w:szCs w:val="24"/>
          <w:u w:val="single"/>
        </w:rPr>
        <w:t xml:space="preserve"> </w:t>
      </w:r>
      <w:r>
        <w:rPr>
          <w:rFonts w:hint="eastAsia"/>
          <w:b/>
          <w:bCs/>
          <w:kern w:val="0"/>
          <w:sz w:val="24"/>
          <w:szCs w:val="24"/>
          <w:u w:val="single"/>
          <w:lang w:val="en-US" w:eastAsia="zh-CN"/>
        </w:rPr>
        <w:t xml:space="preserve">20 </w:t>
      </w:r>
      <w:r>
        <w:rPr>
          <w:rFonts w:hint="eastAsia" w:cs="宋体"/>
          <w:kern w:val="0"/>
          <w:sz w:val="24"/>
          <w:szCs w:val="24"/>
          <w:u w:val="single"/>
        </w:rPr>
        <w:t>天</w:t>
      </w:r>
      <w:r>
        <w:rPr>
          <w:rFonts w:hint="eastAsia" w:cs="宋体"/>
          <w:kern w:val="0"/>
          <w:sz w:val="24"/>
          <w:szCs w:val="24"/>
        </w:rPr>
        <w:t>内供货、安装调试完毕。</w:t>
      </w:r>
    </w:p>
    <w:p>
      <w:pPr>
        <w:pStyle w:val="2"/>
        <w:jc w:val="both"/>
        <w:rPr>
          <w:rFonts w:hint="default" w:eastAsia="宋体"/>
          <w:b/>
          <w:bCs/>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480" w:lineRule="exact"/>
        <w:textAlignment w:val="auto"/>
        <w:rPr>
          <w:rFonts w:hint="default" w:asciiTheme="minorEastAsia" w:hAnsiTheme="minorEastAsia" w:eastAsiaTheme="minorEastAsia" w:cstheme="minorEastAsia"/>
          <w:b/>
          <w:sz w:val="30"/>
          <w:szCs w:val="30"/>
          <w:lang w:val="en-US" w:eastAsia="zh-CN"/>
        </w:rPr>
      </w:pPr>
      <w:r>
        <w:rPr>
          <w:rFonts w:hint="eastAsia" w:asciiTheme="minorEastAsia" w:hAnsiTheme="minorEastAsia" w:eastAsiaTheme="minorEastAsia" w:cstheme="minorEastAsia"/>
          <w:b/>
          <w:sz w:val="30"/>
          <w:szCs w:val="30"/>
          <w:lang w:eastAsia="zh-CN"/>
        </w:rPr>
        <w:t>（二）</w:t>
      </w:r>
      <w:r>
        <w:rPr>
          <w:rFonts w:hint="eastAsia" w:asciiTheme="minorEastAsia" w:hAnsiTheme="minorEastAsia" w:eastAsiaTheme="minorEastAsia" w:cstheme="minorEastAsia"/>
          <w:b/>
          <w:sz w:val="30"/>
          <w:szCs w:val="30"/>
        </w:rPr>
        <w:t>技术规格参数</w:t>
      </w:r>
    </w:p>
    <w:tbl>
      <w:tblPr>
        <w:tblStyle w:val="9"/>
        <w:tblpPr w:leftFromText="180" w:rightFromText="180" w:vertAnchor="text" w:horzAnchor="page" w:tblpX="1196" w:tblpY="267"/>
        <w:tblOverlap w:val="never"/>
        <w:tblW w:w="9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28"/>
        <w:gridCol w:w="1213"/>
        <w:gridCol w:w="7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产品名称</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型号规格及制作详情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不锈钢双层器械车（大号）</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外形尺寸：长1100*宽600*高900mm+围挡60mm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1.0厚制作，分两层制作，下层层板四面采用13*25矩形管围挡高60mm，离地净空370mm；上层台面三面采用13*25矩形管围挡高60mm，右侧做推拉杆，立柱采用φ28*1.0圆管，配4寸静音轮4个（其中三个带刹车功能，正面2个，右侧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不锈钢双层器械车（小号）</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外形尺寸：长700*宽500*高900mm+围挡60mm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1.0厚制作，分两层制作，下层层板四面采用13*25矩形管围挡高60mm，离地净空370mm；上层台面三面采用13*25矩形管围挡高60mm，左侧做推拉杆，立柱采用φ28*1.0圆管，配4寸静音轮4个（其中三个带刹车功能，正面2个，右侧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不锈钢三层器械车（小号）</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外形尺寸：长700*宽500*高1200mm+两侧围挡60mm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1.0厚制作，分上中下三层制作，下层层板左右两面采用13*25矩形管围挡高60mm，离地净空270mm；中层和上层台面左右两边采用13*25矩形管围挡高60mm，层高净空370mm,立柱采用φ28*1.0圆管，配4寸静音轮4个（其中三个带刹车功能，正面2个，右侧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不锈钢器械托盘车（小号）</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外形尺寸：长700*宽450*高1000/1500mm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托盘国标1.0厚制作，立柱外套管采用φ32*1.0厚，立柱内套管采用20*20*1.0方通每隔50mm打一个φ8mm圆孔，高度可调每档50mm，总高度最低1000mm最高1500mm可调，配4寸静音轮4个（其中三个带刹车功能，正面2个，右侧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5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（药品间）药品液体物架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外形尺寸：长1600*宽600*高2158mm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六块层板五个空间，底下层板离地净空200mm，每层高净空均为320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（药品间）药品液体上锁物架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外形尺寸：长1000*宽500*高2158mm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底下层板离地净空200mm，分上下两层对开玻璃门，第一、二、三、四层层高净空260mm，剩余层五、六、七层，每层层高净空200mm，每层层板25mm,确保每层承重力，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29"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（一次性物品间）物架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外形尺寸：长1600*宽600*高2158mm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6块层板五个空间，底下层板离地净空200mm，每层层高净空均为320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（无菌物品间）物架①</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外形尺寸：长1730*宽600*高2158mm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6块层板五个空间，底下层板离地净空200mm，每层层高净空均为320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37"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（无菌物品间）物架②</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外形尺寸：长1730*宽600*高2158mm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7块层板6个空间，底下层板离地净空200mm，每层层高净空均为260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6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（麻醉间）物架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外形尺寸：长1630*宽600*高2158mm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6块层板5个空间，底下层板离地净空200mm，第二层层高净空400mm，上面四层层高净空均为320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（原标本间做库房）物架①</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外形尺寸：长2100*宽600*高2158mm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6块层板5个空间，底下层板离地净空200mm，第二层层高净空450mm，上面四层层高净空均为320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（原标本间做库房）物架②</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外形尺寸：长1200*宽600*高2158mm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6块层板5个空间，底下层板离地净空200mm，第二层层高净空450mm，上面四层层高净空均为320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ABS治疗车（小号）</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外形尺寸：长650*宽450*高750mm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参数及配置：全部采用ABS材料制作，双抽屉，要求抽屉可以完全拉出来。配3寸静音轮4个（其中三个带刹车功能，正面2个，右侧1个。）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不锈钢脚踏凳①</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外形尺寸：长400*宽300*高150mm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参数及配置：采用304不锈钢国标1.0厚防滑花板制作，立柱及横梁采用38*38*1.0矩形方通制作，配脚垫4个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不锈钢脚踏凳②</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外形尺寸：长400*宽300*高100mm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参数及配置：采用304不锈钢国标1.0厚防滑花板制作，立柱及横梁采用38*38*1.0矩形方通制作，配脚垫4个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气压杆升降圆凳</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外形尺寸：凳面直径290mm，下方直径430mm。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参数及配置：采用304不锈钢国标1.0制作，凳面可旋转，手动升降高低，不带轮子。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输液架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外形尺寸：高1100/2000mm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参数及配置：采用304不锈钢国标1.0制作，离地高900mm处做一个350*150*20mm的小平台，配两个挂钩，</w:t>
            </w:r>
            <w:r>
              <w:rPr>
                <w:rFonts w:hint="eastAsia" w:ascii="宋体" w:hAnsi="宋体" w:cs="宋体"/>
                <w:i w:val="0"/>
                <w:iCs w:val="0"/>
                <w:color w:val="000000"/>
                <w:kern w:val="0"/>
                <w:sz w:val="21"/>
                <w:szCs w:val="21"/>
                <w:highlight w:val="yellow"/>
                <w:u w:val="none"/>
                <w:lang w:val="en-US" w:eastAsia="zh-CN" w:bidi="ar"/>
              </w:rPr>
              <w:t>高级静音滑轮5个（刹车2个，不刹车3个）底座直径50cm,轮子直径7.5cm</w:t>
            </w:r>
            <w:r>
              <w:rPr>
                <w:rFonts w:hint="eastAsia" w:ascii="宋体" w:hAnsi="宋体" w:eastAsia="宋体" w:cs="宋体"/>
                <w:i w:val="0"/>
                <w:iCs w:val="0"/>
                <w:color w:val="000000"/>
                <w:kern w:val="0"/>
                <w:sz w:val="21"/>
                <w:szCs w:val="21"/>
                <w:highlight w:val="yellow"/>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储槽</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外形尺寸：直径280mm*高200mm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手消液架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外形尺寸：1260mm高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9"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储槽架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外形尺寸：1280mm高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9"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二氧化碳运输车</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外形尺寸：1200*345*920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负压吸引架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外形尺寸：长200*宽200*高400mm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参数及配置：全部采用304不锈钢国标1.0厚制作，底座高度120mm，中间开φ160mm圆孔，容器容量3500mL单头，加厚。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器械洗涤间不锈钢架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外形尺寸：长1250*宽450*高1650mm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层板国标1.2厚制作，共四块层板三个空间，底下层板离地净空150mm，上面三层层高净空均为450mm，每层层板底部加固25*38*1.0矩形方管龙骨，确保每层100KG承重力，立柱采用38*38*1.2厚，配4寸静音轮4个（（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晾鞋架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外形尺寸：长2000*宽430*高2300mm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1.0厚制作，整体为疏列式，离地200mm高做个接水托盘，两个托盘中间用U型槽连接可活动，水槽到最低层高200mm，其他层高430mm(净层高400mm），最顶层高度540mm，最底层方管为55mm，其他层方管间隔80mm（间隔净宽55mm)，横梁采用立柱采用38*25*1.0mm矩形方管制作，配4寸轮（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风幕机</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参数及配置：带遥控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污布晾晒架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外形尺寸：长900*宽420mm*高1100mm/1200mm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参数及配置：采用304不锈钢国标1.0厚制作，整体为梯形，后杆高度1200mm，前杆高度1100mm，离地200mm做置物横杆，每排挂钩间隔60mm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污布架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外形尺寸：长480mm*宽500mm*高1100mm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w:t>
            </w:r>
            <w:r>
              <w:rPr>
                <w:rFonts w:hint="eastAsia" w:ascii="宋体" w:hAnsi="宋体" w:eastAsia="宋体" w:cs="宋体"/>
                <w:i w:val="0"/>
                <w:iCs w:val="0"/>
                <w:color w:val="000000"/>
                <w:kern w:val="0"/>
                <w:sz w:val="21"/>
                <w:szCs w:val="21"/>
                <w:highlight w:val="yellow"/>
                <w:u w:val="none"/>
                <w:lang w:val="en-US" w:eastAsia="zh-CN" w:bidi="ar"/>
              </w:rPr>
              <w:t>采用304不锈钢国标1.0厚制作，</w:t>
            </w:r>
            <w:r>
              <w:rPr>
                <w:rFonts w:hint="eastAsia" w:ascii="宋体" w:hAnsi="宋体" w:eastAsia="宋体" w:cs="宋体"/>
                <w:i w:val="0"/>
                <w:iCs w:val="0"/>
                <w:color w:val="000000"/>
                <w:kern w:val="0"/>
                <w:sz w:val="21"/>
                <w:szCs w:val="21"/>
                <w:u w:val="none"/>
                <w:lang w:val="en-US" w:eastAsia="zh-CN" w:bidi="ar"/>
              </w:rPr>
              <w:t>挂污布袋下方要用15*30扁通做横条支撑，配4寸轮子（其中2个正面带刹车功能。）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9"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多功能托手架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外形尺寸：长600*宽420*高780mm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参数及配置：采用304不锈钢国标1.0厚制作，顶翻盖式，合页和托手架平面一致，侧面做拉手，漏斗为200mm深，架子主体内空580mm，配4寸静音轮4个（其中三个带刹车功能，正面2个，右侧1个。）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纸塑机放置桌</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外形尺寸：长1500*宽700*高800mm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材质，台面及龙骨国标1.2厚，其它围板国标1.0厚，桌子单面使用，桌子整体离地100mm，分成两个部分，上部分做一排三个抽屉，下部分做一个空位两扇平移门柜，底部采用多条国标1.0厚38*25方管加固龙骨，配4寸轮4个（其中前面两个带刹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敷料包装台</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外形尺寸：长2100*宽1100*高800mm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材质，台面及龙骨国标1.2厚，其它围板国标1.0厚制作，包装台两面使用，桌子整体离地100mm，上部双面均设置一排四抽屉，下部做两个空位四扇平移门柜体，底部采用多条国标1.0厚38*25方管加固龙骨，配4寸轮4个（其中前面两个带刹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包装间打包台</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外形尺寸：长2100*宽1100*高800mm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材质，台面及龙骨国标1.2厚，其它围板国标1.0厚制作，包装台两面使用，桌子整体离地100mm，上部双面均设置一排四抽屉，下部做两个空位四扇平移门柜体，底部采用多条国标1.0厚38*25方管加固龙骨，配4寸轮4个（4个均带刹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77"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包装间电脑桌</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外形尺寸：长1200*宽600*高750+台面架600mm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参数及配置：全部采用304不锈钢材质，台面及龙骨国标1.2厚，其它围板国标1.0厚制作，桌下一个抽拉托盘，桌体左边为列式均分三抽屉，右边为一个主机柜子，台面上靠后侧做一个高600*宽350mm的台上架。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4"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无菌室及去污区电脑桌</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外形尺寸：长1200*宽600*高750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参数及配置：全部采用304不锈钢材质，台面及龙骨国标1.2厚，其它围板1.0厚制作，桌下一个抽拉托盘，桌体左边为列式均分三抽屉，右边为一个主机柜子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去污区清点桌</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外形尺寸：长1800*宽900*高800mm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材质，台面及龙骨国标1.2厚，其它围板国标1.0厚制作，桌子单面使用，桌子整体离地100mm，分成两个部分，上部分做一排四个抽屉，下部分做两个空位四个平移门，底部采用多条国标1.0厚38*25方管加固龙骨，配4寸轮4个（其中前面两个带刹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包装间敷料柜</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外形尺寸：长950*宽450*高2000mm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1.2厚制作，分两个部分制作，上半部分为双外开玻璃门，内部均分两块不锈钢层板三层空间；下半部分为双外开不锈钢板门，内部分一块层板两层空间，上下门扇各配一个（共两个）插销，关门时自动锁上，层板底部需加多条国标1.0厚38*25方管加固龙骨，配四个外置拉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无菌室柜子</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外形尺寸：长950*宽450*高2000mm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1.2厚制作，分两个部分制作，上、下半部分均为双外开玻璃门，内部上下均分两块不锈钢层板三层空间；上下门扇各配一个（共两个）插销，关门时自动锁上，层板底部需加多条国标1.0厚38*25方管加固龙骨，配四个外置拉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无菌室缓冲间鞋柜</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外形尺寸：长1200*宽200*高1200mm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参数及配置：全部采用304不锈钢国标1.2厚制作，斜面式鞋柜，分左右部分制作，左边为双开外开门，右边为单开外开门，共四层，底部离地净空高200mm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7"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包装区缓冲间鞋柜</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外形尺寸：长1200*宽300*高1200mm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参数及配置：全部采用304不锈钢国标1.2厚制作，分左右部分制作，左边为双开外开门，右边为单开外开门，共五层，底部离地净空高200mm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去污区缓冲间鞋柜</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外形尺寸：长900*宽300*高1100mm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参数及配置：全部采用304不锈钢国标1.0厚制作，分成上下两个部分制作，底下离地净空高200mm，上半部分为外开双开门，里面做一块层板两个工作位，下半部分为外开双开门，里面不做层板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门口入室鞋柜</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外形尺寸：长1500*宽400*高1200mm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参数及配置：全部采用304不锈钢国标1.0厚制作，分左右部分制作，左右为双开外开门，共四层，最底层350mm,余三层高度均一致，底部离地净空高200mm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7"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污车存放间物架</w:t>
            </w:r>
          </w:p>
        </w:tc>
        <w:tc>
          <w:tcPr>
            <w:tcW w:w="7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外形尺寸：长1600*宽500*高1550mm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参数及配置：全部采用304不锈钢国标1.0厚制作，底部留空20cm,层高见光35cm，30*30方通主框架，横条加固25*10扁通，扁通每条间隔30mm。</w:t>
            </w:r>
          </w:p>
        </w:tc>
      </w:tr>
    </w:tbl>
    <w:p>
      <w:pPr>
        <w:pStyle w:val="2"/>
        <w:ind w:left="-708" w:leftChars="-337"/>
        <w:jc w:val="both"/>
        <w:rPr>
          <w:rFonts w:hint="default"/>
          <w:lang w:val="en-US" w:eastAsia="zh-CN"/>
        </w:rPr>
      </w:pPr>
    </w:p>
    <w:p>
      <w:pPr>
        <w:pStyle w:val="2"/>
        <w:ind w:left="-708" w:leftChars="-337"/>
        <w:jc w:val="both"/>
        <w:rPr>
          <w:rFonts w:hint="default"/>
          <w:lang w:val="en-US" w:eastAsia="zh-CN"/>
        </w:rPr>
      </w:pPr>
    </w:p>
    <w:p>
      <w:pPr>
        <w:pStyle w:val="2"/>
        <w:ind w:left="-708" w:leftChars="-337"/>
        <w:jc w:val="both"/>
        <w:rPr>
          <w:rFonts w:hint="default"/>
          <w:lang w:val="en-US" w:eastAsia="zh-CN"/>
        </w:rPr>
      </w:pPr>
    </w:p>
    <w:p>
      <w:pPr>
        <w:jc w:val="both"/>
        <w:rPr>
          <w:rFonts w:cs="宋体"/>
          <w:b/>
          <w:bCs/>
          <w:color w:val="000000"/>
          <w:kern w:val="0"/>
          <w:sz w:val="24"/>
          <w:szCs w:val="24"/>
        </w:rPr>
      </w:pPr>
      <w:r>
        <w:rPr>
          <w:rFonts w:hint="eastAsia" w:cs="宋体"/>
          <w:b/>
          <w:bCs/>
          <w:color w:val="000000"/>
          <w:kern w:val="0"/>
          <w:sz w:val="24"/>
          <w:szCs w:val="24"/>
          <w:lang w:val="en-US" w:eastAsia="zh-CN"/>
        </w:rPr>
        <w:br w:type="page"/>
      </w:r>
      <w:r>
        <w:rPr>
          <w:rFonts w:hint="eastAsia" w:asciiTheme="minorEastAsia" w:hAnsiTheme="minorEastAsia" w:eastAsiaTheme="minorEastAsia" w:cstheme="minorEastAsia"/>
          <w:b/>
          <w:kern w:val="44"/>
          <w:sz w:val="30"/>
          <w:szCs w:val="30"/>
          <w:lang w:val="en-US" w:eastAsia="zh-CN" w:bidi="ar-SA"/>
        </w:rPr>
        <w:t>（三）项目产品基本要求</w:t>
      </w:r>
    </w:p>
    <w:p>
      <w:pPr>
        <w:pStyle w:val="2"/>
        <w:bidi w:val="0"/>
        <w:ind w:firstLine="480" w:firstLineChars="200"/>
      </w:pPr>
      <w:r>
        <w:rPr>
          <w:rFonts w:hint="eastAsia"/>
        </w:rPr>
        <w:t>1、以上产品必须是具备合法资质的制造商生产的全新正品，并满足招标采购文件的要求，若产品在运输或安装过程中损坏或擦伤须无偿调换相同产品。</w:t>
      </w:r>
    </w:p>
    <w:p>
      <w:pPr>
        <w:pStyle w:val="2"/>
        <w:bidi w:val="0"/>
        <w:ind w:firstLine="480" w:firstLineChars="200"/>
      </w:pPr>
      <w:r>
        <w:rPr>
          <w:rFonts w:hint="eastAsia"/>
        </w:rPr>
        <w:t>2、投标人所投产品参数应同等或优于以上各项参数要求，产品、辅材及生产工艺符合国家相关规范。</w:t>
      </w:r>
    </w:p>
    <w:p>
      <w:pPr>
        <w:pStyle w:val="2"/>
        <w:bidi w:val="0"/>
        <w:ind w:firstLine="480" w:firstLineChars="200"/>
      </w:pPr>
      <w:r>
        <w:rPr>
          <w:rFonts w:hint="eastAsia"/>
        </w:rPr>
        <w:t>3、投标人应保证所提供的货物或其任何一部分均不会侵犯任何第三方的专利权、商标权等，如在使用过程中出现的一切经济和法律责任均由投标人负责。</w:t>
      </w:r>
    </w:p>
    <w:p>
      <w:pPr>
        <w:pStyle w:val="2"/>
        <w:bidi w:val="0"/>
        <w:ind w:firstLine="480" w:firstLineChars="200"/>
      </w:pPr>
      <w:r>
        <w:rPr>
          <w:rFonts w:hint="eastAsia"/>
        </w:rPr>
        <w:t>4、投标总价必须包含货物及货物运抵指定交货地点的各种费用和安装调校、售后服务、税金、验收检验及其它所有费用的总和，如另有要求请在投标文件中注明。</w:t>
      </w:r>
    </w:p>
    <w:p>
      <w:pPr>
        <w:pStyle w:val="2"/>
        <w:bidi w:val="0"/>
        <w:ind w:firstLine="480" w:firstLineChars="200"/>
        <w:rPr>
          <w:rFonts w:hint="eastAsia"/>
        </w:rPr>
      </w:pPr>
      <w:r>
        <w:rPr>
          <w:rFonts w:hint="eastAsia"/>
        </w:rPr>
        <w:t>5、</w:t>
      </w:r>
      <w:r>
        <w:rPr>
          <w:rFonts w:hint="eastAsia"/>
          <w:lang w:val="en-US" w:eastAsia="zh-CN"/>
        </w:rPr>
        <w:t>投标</w:t>
      </w:r>
      <w:r>
        <w:rPr>
          <w:rFonts w:hint="eastAsia"/>
        </w:rPr>
        <w:t>人在竞价文件中必须提交设备配置清单，如设备有配套耗材及定期更换的配件请投标时与设备一起报价。</w:t>
      </w:r>
    </w:p>
    <w:p>
      <w:pPr>
        <w:pStyle w:val="2"/>
        <w:bidi w:val="0"/>
        <w:ind w:firstLine="480" w:firstLineChars="200"/>
        <w:rPr>
          <w:rFonts w:hint="eastAsia"/>
        </w:rPr>
      </w:pPr>
      <w:r>
        <w:rPr>
          <w:rFonts w:hint="eastAsia"/>
          <w:lang w:val="en-US" w:eastAsia="zh-CN"/>
        </w:rPr>
        <w:t>6、投标人所投产品必须</w:t>
      </w:r>
      <w:r>
        <w:rPr>
          <w:rFonts w:hint="eastAsia"/>
        </w:rPr>
        <w:t>提供产品“三包”服务；定期安排相关人员回访进行质量跟踪；保证提供临床应用和售后技术服务支持方式；保修期后提供终身维修服务及配件供应；其他售后服务按厂家承诺实行。</w:t>
      </w:r>
    </w:p>
    <w:p>
      <w:pPr>
        <w:pStyle w:val="2"/>
        <w:bidi w:val="0"/>
        <w:rPr>
          <w:rFonts w:hint="eastAsia" w:asciiTheme="minorEastAsia" w:hAnsiTheme="minorEastAsia" w:eastAsiaTheme="minorEastAsia" w:cstheme="minorEastAsia"/>
          <w:b/>
          <w:color w:val="auto"/>
          <w:kern w:val="44"/>
          <w:sz w:val="30"/>
          <w:szCs w:val="30"/>
          <w:lang w:val="en-US" w:eastAsia="zh-CN" w:bidi="ar-SA"/>
        </w:rPr>
      </w:pPr>
      <w:r>
        <w:rPr>
          <w:rFonts w:hint="eastAsia" w:asciiTheme="minorEastAsia" w:hAnsiTheme="minorEastAsia" w:eastAsiaTheme="minorEastAsia" w:cstheme="minorEastAsia"/>
          <w:b/>
          <w:color w:val="auto"/>
          <w:kern w:val="44"/>
          <w:sz w:val="30"/>
          <w:szCs w:val="30"/>
          <w:lang w:val="en-US" w:eastAsia="zh-CN" w:bidi="ar-SA"/>
        </w:rPr>
        <w:t>（四）商务要求</w:t>
      </w:r>
    </w:p>
    <w:p>
      <w:pPr>
        <w:pStyle w:val="2"/>
        <w:bidi w:val="0"/>
        <w:ind w:firstLine="480" w:firstLineChars="200"/>
        <w:rPr>
          <w:rFonts w:hint="default"/>
          <w:lang w:val="en-US" w:eastAsia="zh-CN"/>
        </w:rPr>
      </w:pPr>
      <w:r>
        <w:rPr>
          <w:rFonts w:hint="eastAsia"/>
          <w:lang w:val="en-US" w:eastAsia="zh-CN"/>
        </w:rPr>
        <w:t>1、投标人资格要求</w:t>
      </w:r>
    </w:p>
    <w:p>
      <w:pPr>
        <w:keepNext w:val="0"/>
        <w:keepLines w:val="0"/>
        <w:pageBreakBefore w:val="0"/>
        <w:widowControl/>
        <w:kinsoku/>
        <w:wordWrap/>
        <w:overflowPunct/>
        <w:topLinePunct w:val="0"/>
        <w:bidi w:val="0"/>
        <w:spacing w:line="440" w:lineRule="exact"/>
        <w:ind w:left="0" w:leftChars="0" w:right="0" w:rightChars="0" w:firstLine="560" w:firstLineChars="200"/>
        <w:jc w:val="left"/>
        <w:textAlignment w:val="auto"/>
        <w:outlineLvl w:val="9"/>
        <w:rPr>
          <w:rFonts w:cs="宋体"/>
          <w:color w:val="auto"/>
          <w:kern w:val="0"/>
          <w:sz w:val="28"/>
          <w:szCs w:val="28"/>
        </w:rPr>
      </w:pPr>
      <w:r>
        <w:rPr>
          <w:rFonts w:cs="宋体"/>
          <w:color w:val="auto"/>
          <w:kern w:val="0"/>
          <w:sz w:val="28"/>
          <w:szCs w:val="28"/>
        </w:rPr>
        <w:t>1</w:t>
      </w:r>
      <w:r>
        <w:rPr>
          <w:rFonts w:hint="eastAsia" w:cs="宋体"/>
          <w:color w:val="auto"/>
          <w:kern w:val="0"/>
          <w:sz w:val="28"/>
          <w:szCs w:val="28"/>
          <w:lang w:eastAsia="zh-CN"/>
        </w:rPr>
        <w:t>）</w:t>
      </w:r>
      <w:r>
        <w:rPr>
          <w:rFonts w:hint="eastAsia" w:cs="宋体"/>
          <w:color w:val="auto"/>
          <w:kern w:val="0"/>
          <w:sz w:val="28"/>
          <w:szCs w:val="28"/>
        </w:rPr>
        <w:t>必须是符合《中华人民共和国政府采购法》第二十二条之规定的独立法人；</w:t>
      </w:r>
    </w:p>
    <w:p>
      <w:pPr>
        <w:keepNext w:val="0"/>
        <w:keepLines w:val="0"/>
        <w:pageBreakBefore w:val="0"/>
        <w:widowControl/>
        <w:kinsoku/>
        <w:wordWrap/>
        <w:overflowPunct/>
        <w:topLinePunct w:val="0"/>
        <w:bidi w:val="0"/>
        <w:spacing w:line="440" w:lineRule="exact"/>
        <w:ind w:left="0" w:leftChars="0" w:right="0" w:rightChars="0" w:firstLine="560" w:firstLineChars="200"/>
        <w:jc w:val="left"/>
        <w:textAlignment w:val="auto"/>
        <w:outlineLvl w:val="9"/>
        <w:rPr>
          <w:rFonts w:cs="宋体"/>
          <w:color w:val="auto"/>
          <w:kern w:val="0"/>
          <w:sz w:val="28"/>
          <w:szCs w:val="28"/>
        </w:rPr>
      </w:pPr>
      <w:r>
        <w:rPr>
          <w:rFonts w:cs="宋体"/>
          <w:color w:val="auto"/>
          <w:kern w:val="0"/>
          <w:sz w:val="28"/>
          <w:szCs w:val="28"/>
        </w:rPr>
        <w:t>2</w:t>
      </w:r>
      <w:r>
        <w:rPr>
          <w:rFonts w:hint="eastAsia" w:cs="宋体"/>
          <w:color w:val="auto"/>
          <w:kern w:val="0"/>
          <w:sz w:val="28"/>
          <w:szCs w:val="28"/>
          <w:lang w:eastAsia="zh-CN"/>
        </w:rPr>
        <w:t>）</w:t>
      </w:r>
      <w:r>
        <w:rPr>
          <w:rFonts w:hint="eastAsia" w:cs="宋体"/>
          <w:color w:val="auto"/>
          <w:kern w:val="0"/>
          <w:sz w:val="28"/>
          <w:szCs w:val="28"/>
        </w:rPr>
        <w:t>经营范围必须与本采购项目实质性相符；</w:t>
      </w:r>
    </w:p>
    <w:p>
      <w:pPr>
        <w:keepNext w:val="0"/>
        <w:keepLines w:val="0"/>
        <w:pageBreakBefore w:val="0"/>
        <w:widowControl/>
        <w:kinsoku/>
        <w:wordWrap/>
        <w:overflowPunct/>
        <w:topLinePunct w:val="0"/>
        <w:bidi w:val="0"/>
        <w:spacing w:line="440" w:lineRule="exact"/>
        <w:ind w:left="0" w:leftChars="0" w:right="0" w:rightChars="0" w:firstLine="560" w:firstLineChars="200"/>
        <w:jc w:val="left"/>
        <w:textAlignment w:val="auto"/>
        <w:outlineLvl w:val="9"/>
        <w:rPr>
          <w:rFonts w:cs="宋体"/>
          <w:color w:val="auto"/>
          <w:kern w:val="0"/>
          <w:sz w:val="28"/>
          <w:szCs w:val="28"/>
        </w:rPr>
      </w:pPr>
      <w:r>
        <w:rPr>
          <w:rFonts w:cs="宋体"/>
          <w:color w:val="auto"/>
          <w:kern w:val="0"/>
          <w:sz w:val="28"/>
          <w:szCs w:val="28"/>
        </w:rPr>
        <w:t>3</w:t>
      </w:r>
      <w:r>
        <w:rPr>
          <w:rFonts w:hint="eastAsia" w:cs="宋体"/>
          <w:color w:val="auto"/>
          <w:kern w:val="0"/>
          <w:sz w:val="28"/>
          <w:szCs w:val="28"/>
          <w:lang w:eastAsia="zh-CN"/>
        </w:rPr>
        <w:t>）</w:t>
      </w:r>
      <w:r>
        <w:rPr>
          <w:rFonts w:hint="eastAsia" w:cs="宋体"/>
          <w:color w:val="auto"/>
          <w:kern w:val="0"/>
          <w:sz w:val="28"/>
          <w:szCs w:val="28"/>
        </w:rPr>
        <w:t>有固定的经营场所，有适应项目需要的专业技术人员，具备相关项目的供货能力和售后服务能力，具有良好的商业信誉和财务状况；</w:t>
      </w:r>
    </w:p>
    <w:p>
      <w:pPr>
        <w:keepNext w:val="0"/>
        <w:keepLines w:val="0"/>
        <w:pageBreakBefore w:val="0"/>
        <w:widowControl/>
        <w:kinsoku/>
        <w:wordWrap/>
        <w:overflowPunct/>
        <w:topLinePunct w:val="0"/>
        <w:bidi w:val="0"/>
        <w:spacing w:line="440" w:lineRule="exact"/>
        <w:ind w:left="0" w:leftChars="0" w:right="0" w:rightChars="0" w:firstLine="560" w:firstLineChars="200"/>
        <w:jc w:val="left"/>
        <w:textAlignment w:val="auto"/>
        <w:outlineLvl w:val="9"/>
        <w:rPr>
          <w:rFonts w:cs="宋体"/>
          <w:color w:val="auto"/>
          <w:kern w:val="0"/>
          <w:sz w:val="28"/>
          <w:szCs w:val="28"/>
        </w:rPr>
      </w:pPr>
      <w:r>
        <w:rPr>
          <w:rFonts w:cs="宋体"/>
          <w:color w:val="auto"/>
          <w:kern w:val="0"/>
          <w:sz w:val="28"/>
          <w:szCs w:val="28"/>
        </w:rPr>
        <w:t>4</w:t>
      </w:r>
      <w:r>
        <w:rPr>
          <w:rFonts w:hint="eastAsia" w:cs="宋体"/>
          <w:color w:val="auto"/>
          <w:kern w:val="0"/>
          <w:sz w:val="28"/>
          <w:szCs w:val="28"/>
          <w:lang w:eastAsia="zh-CN"/>
        </w:rPr>
        <w:t>）</w:t>
      </w:r>
      <w:r>
        <w:rPr>
          <w:rFonts w:hint="eastAsia" w:cs="宋体"/>
          <w:color w:val="auto"/>
          <w:kern w:val="0"/>
          <w:sz w:val="28"/>
          <w:szCs w:val="28"/>
        </w:rPr>
        <w:t>提供营业执照、税务登记证、组织机构代码证复印件（盖章的），提供法人或被授权代表人身份证复印件；</w:t>
      </w:r>
    </w:p>
    <w:p>
      <w:pPr>
        <w:keepNext w:val="0"/>
        <w:keepLines w:val="0"/>
        <w:pageBreakBefore w:val="0"/>
        <w:widowControl/>
        <w:kinsoku/>
        <w:wordWrap/>
        <w:overflowPunct/>
        <w:topLinePunct w:val="0"/>
        <w:bidi w:val="0"/>
        <w:spacing w:line="440" w:lineRule="exact"/>
        <w:ind w:left="0" w:leftChars="0" w:right="0" w:rightChars="0" w:firstLine="560" w:firstLineChars="200"/>
        <w:jc w:val="left"/>
        <w:textAlignment w:val="auto"/>
        <w:outlineLvl w:val="9"/>
        <w:rPr>
          <w:rFonts w:hint="eastAsia"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rPr>
        <w:t>5</w:t>
      </w:r>
      <w:r>
        <w:rPr>
          <w:rFonts w:hint="eastAsia" w:ascii="Times New Roman" w:hAnsi="Times New Roman" w:cs="宋体"/>
          <w:color w:val="auto"/>
          <w:kern w:val="0"/>
          <w:sz w:val="28"/>
          <w:szCs w:val="28"/>
          <w:lang w:eastAsia="zh-CN"/>
        </w:rPr>
        <w:t>）</w:t>
      </w:r>
      <w:r>
        <w:rPr>
          <w:rFonts w:hint="eastAsia" w:ascii="Times New Roman" w:hAnsi="Times New Roman" w:cs="宋体"/>
          <w:color w:val="auto"/>
          <w:kern w:val="0"/>
          <w:sz w:val="28"/>
          <w:szCs w:val="28"/>
        </w:rPr>
        <w:t>被列入我院供应商黑名单（在我院招投标活动中存在2次违规行为）未满3年的供应商将被拒绝其参与本次采购活动；</w:t>
      </w:r>
      <w:r>
        <w:rPr>
          <w:rFonts w:hint="eastAsia" w:ascii="Times New Roman" w:hAnsi="Times New Roman" w:cs="宋体"/>
          <w:color w:val="auto"/>
          <w:kern w:val="0"/>
          <w:sz w:val="28"/>
          <w:szCs w:val="28"/>
          <w:lang w:val="en-US" w:eastAsia="zh-CN"/>
        </w:rPr>
        <w:t xml:space="preserve">   </w:t>
      </w:r>
    </w:p>
    <w:p>
      <w:pPr>
        <w:keepNext w:val="0"/>
        <w:keepLines w:val="0"/>
        <w:pageBreakBefore w:val="0"/>
        <w:widowControl/>
        <w:kinsoku/>
        <w:wordWrap/>
        <w:overflowPunct/>
        <w:topLinePunct w:val="0"/>
        <w:bidi w:val="0"/>
        <w:spacing w:line="440" w:lineRule="exact"/>
        <w:ind w:left="0" w:leftChars="0" w:right="0" w:rightChars="0" w:firstLine="560" w:firstLineChars="200"/>
        <w:jc w:val="left"/>
        <w:textAlignment w:val="auto"/>
        <w:outlineLvl w:val="9"/>
        <w:rPr>
          <w:rFonts w:hint="eastAsia"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6）</w:t>
      </w:r>
      <w:r>
        <w:rPr>
          <w:rFonts w:hint="eastAsia" w:ascii="Times New Roman" w:hAnsi="Times New Roman" w:cs="宋体"/>
          <w:color w:val="auto"/>
          <w:kern w:val="0"/>
          <w:sz w:val="28"/>
          <w:szCs w:val="28"/>
        </w:rPr>
        <w:t>本次招标不接受联合体投标。</w:t>
      </w:r>
    </w:p>
    <w:p>
      <w:pPr>
        <w:pStyle w:val="2"/>
        <w:bidi w:val="0"/>
        <w:ind w:firstLine="480" w:firstLineChars="200"/>
        <w:rPr>
          <w:rFonts w:hint="default"/>
          <w:lang w:val="en-US" w:eastAsia="zh-CN"/>
        </w:rPr>
      </w:pPr>
      <w:r>
        <w:rPr>
          <w:rFonts w:hint="eastAsia"/>
          <w:lang w:val="en-US" w:eastAsia="zh-CN"/>
        </w:rPr>
        <w:t>2、投标产品资格要求</w:t>
      </w:r>
    </w:p>
    <w:p>
      <w:pPr>
        <w:pStyle w:val="2"/>
        <w:bidi w:val="0"/>
        <w:ind w:firstLine="480" w:firstLineChars="200"/>
        <w:rPr>
          <w:rFonts w:hint="default"/>
          <w:lang w:val="en-US" w:eastAsia="zh-CN"/>
        </w:rPr>
      </w:pPr>
      <w:r>
        <w:rPr>
          <w:rFonts w:hint="eastAsia"/>
          <w:lang w:val="en-US" w:eastAsia="zh-CN"/>
        </w:rPr>
        <w:t>1）本项目支持创新产品、节能优化产品、环境标识产品、中小企业发展等政府采购政策。</w:t>
      </w:r>
    </w:p>
    <w:p>
      <w:pPr>
        <w:pStyle w:val="2"/>
        <w:bidi w:val="0"/>
        <w:ind w:firstLine="480" w:firstLineChars="200"/>
        <w:rPr>
          <w:rFonts w:hint="eastAsia"/>
          <w:lang w:eastAsia="zh-CN"/>
        </w:rPr>
      </w:pPr>
      <w:r>
        <w:rPr>
          <w:rFonts w:hint="eastAsia"/>
          <w:lang w:val="en-US" w:eastAsia="zh-CN"/>
        </w:rPr>
        <w:t>2）</w:t>
      </w:r>
      <w:r>
        <w:rPr>
          <w:rFonts w:hint="eastAsia"/>
        </w:rPr>
        <w:t>投标人所投产品要求包含以下相关证件：投标公司的《</w:t>
      </w:r>
      <w:r>
        <w:rPr>
          <w:rFonts w:hint="eastAsia"/>
          <w:lang w:eastAsia="zh-CN"/>
        </w:rPr>
        <w:t>营业执照</w:t>
      </w:r>
      <w:r>
        <w:rPr>
          <w:rFonts w:hint="eastAsia"/>
        </w:rPr>
        <w:t>》</w:t>
      </w:r>
      <w:r>
        <w:rPr>
          <w:rFonts w:hint="eastAsia"/>
          <w:lang w:eastAsia="zh-CN"/>
        </w:rPr>
        <w:t>。</w:t>
      </w:r>
    </w:p>
    <w:p>
      <w:pPr>
        <w:pStyle w:val="2"/>
        <w:bidi w:val="0"/>
        <w:ind w:firstLine="480" w:firstLineChars="200"/>
        <w:rPr>
          <w:rFonts w:hint="eastAsia"/>
        </w:rPr>
      </w:pPr>
      <w:r>
        <w:rPr>
          <w:rFonts w:hint="eastAsia"/>
        </w:rPr>
        <w:t>3、售后服务和</w:t>
      </w:r>
      <w:r>
        <w:rPr>
          <w:rFonts w:hint="eastAsia"/>
          <w:lang w:val="en-US" w:eastAsia="zh-CN"/>
        </w:rPr>
        <w:t>资质</w:t>
      </w:r>
    </w:p>
    <w:p>
      <w:pPr>
        <w:pStyle w:val="2"/>
        <w:bidi w:val="0"/>
        <w:ind w:firstLine="480" w:firstLineChars="200"/>
        <w:rPr>
          <w:rFonts w:hint="eastAsia"/>
          <w:lang w:val="en-US" w:eastAsia="zh-CN"/>
        </w:rPr>
      </w:pPr>
      <w:r>
        <w:rPr>
          <w:rFonts w:hint="eastAsia"/>
          <w:lang w:val="en-US" w:eastAsia="zh-CN"/>
        </w:rPr>
        <w:t>1)售后资质要求：如验收不合格以及发现伪劣产品等，招标人将视情形采取退货、拒付款、终止合同、索赔等措施，直至通过有关部部门，依法维权。</w:t>
      </w:r>
    </w:p>
    <w:p>
      <w:pPr>
        <w:pStyle w:val="2"/>
        <w:bidi w:val="0"/>
        <w:ind w:firstLine="480" w:firstLineChars="200"/>
        <w:rPr>
          <w:rFonts w:hint="eastAsia"/>
          <w:lang w:val="en-US" w:eastAsia="zh-CN"/>
        </w:rPr>
      </w:pPr>
      <w:r>
        <w:rPr>
          <w:rFonts w:hint="eastAsia"/>
          <w:lang w:val="en-US" w:eastAsia="zh-CN"/>
        </w:rPr>
        <w:t>2)采购数量按实际需求送货，供应商无条件配合。</w:t>
      </w:r>
    </w:p>
    <w:p>
      <w:pPr>
        <w:pStyle w:val="2"/>
        <w:bidi w:val="0"/>
        <w:ind w:firstLine="480" w:firstLineChars="200"/>
        <w:rPr>
          <w:rFonts w:hint="eastAsia"/>
          <w:lang w:val="en-US" w:eastAsia="zh-CN"/>
        </w:rPr>
      </w:pPr>
      <w:r>
        <w:rPr>
          <w:rFonts w:hint="eastAsia"/>
          <w:lang w:val="en-US" w:eastAsia="zh-CN"/>
        </w:rPr>
        <w:t>3)为了防止虚假应标，项目成交结果公示期间，招标人有权要求拟中标的投标人提供所投标</w:t>
      </w:r>
    </w:p>
    <w:p>
      <w:pPr>
        <w:pStyle w:val="2"/>
        <w:bidi w:val="0"/>
        <w:rPr>
          <w:rFonts w:hint="eastAsia"/>
          <w:lang w:val="en-US" w:eastAsia="zh-CN"/>
        </w:rPr>
      </w:pPr>
      <w:r>
        <w:rPr>
          <w:rFonts w:hint="eastAsia"/>
          <w:lang w:val="en-US" w:eastAsia="zh-CN"/>
        </w:rPr>
        <w:t xml:space="preserve">产品以供测试；若测试达不到应答指标，以虚假应标论处。 </w:t>
      </w:r>
    </w:p>
    <w:p>
      <w:pPr>
        <w:pStyle w:val="2"/>
        <w:bidi w:val="0"/>
        <w:ind w:firstLine="480" w:firstLineChars="200"/>
        <w:rPr>
          <w:rFonts w:hint="eastAsia"/>
          <w:lang w:val="en-US" w:eastAsia="zh-CN"/>
        </w:rPr>
      </w:pPr>
      <w:r>
        <w:rPr>
          <w:rFonts w:hint="eastAsia"/>
          <w:lang w:val="en-US" w:eastAsia="zh-CN"/>
        </w:rPr>
        <w:t>4)签订合同后，根据采购方需求</w:t>
      </w:r>
      <w:r>
        <w:rPr>
          <w:rFonts w:hint="eastAsia"/>
          <w:b/>
          <w:bCs/>
          <w:u w:val="single"/>
          <w:lang w:val="en-US" w:eastAsia="zh-CN"/>
        </w:rPr>
        <w:t>20天内</w:t>
      </w:r>
      <w:r>
        <w:rPr>
          <w:rFonts w:hint="eastAsia"/>
          <w:lang w:val="en-US" w:eastAsia="zh-CN"/>
        </w:rPr>
        <w:t>送达。投标人予以特别注意：如出现未能到期供货的</w:t>
      </w:r>
    </w:p>
    <w:p>
      <w:pPr>
        <w:pStyle w:val="2"/>
        <w:bidi w:val="0"/>
        <w:rPr>
          <w:rFonts w:hint="eastAsia"/>
          <w:lang w:val="en-US" w:eastAsia="zh-CN"/>
        </w:rPr>
      </w:pPr>
      <w:r>
        <w:rPr>
          <w:rFonts w:hint="eastAsia"/>
          <w:lang w:val="en-US" w:eastAsia="zh-CN"/>
        </w:rPr>
        <w:t>情况，招标人有权单方终止合同的执行，所有的经济损失由逾期供货商单方承担。</w:t>
      </w:r>
    </w:p>
    <w:p>
      <w:pPr>
        <w:pStyle w:val="2"/>
        <w:bidi w:val="0"/>
      </w:pPr>
      <w:r>
        <w:rPr>
          <w:rFonts w:hint="eastAsia"/>
        </w:rPr>
        <w:t>交货地点为：</w:t>
      </w:r>
      <w:r>
        <w:rPr>
          <w:rFonts w:hint="eastAsia"/>
          <w:lang w:eastAsia="zh-CN"/>
        </w:rPr>
        <w:t>贺州市八步区人民医院</w:t>
      </w:r>
      <w:r>
        <w:t xml:space="preserve">     </w:t>
      </w:r>
    </w:p>
    <w:p>
      <w:pPr>
        <w:pStyle w:val="2"/>
        <w:bidi w:val="0"/>
      </w:pPr>
      <w:r>
        <w:rPr>
          <w:rFonts w:hint="eastAsia"/>
          <w:lang w:val="en-US" w:eastAsia="zh-CN"/>
        </w:rPr>
        <w:t>付款条件（进度和方式）：分阶段验收，安装结束30天，完成初验付</w:t>
      </w:r>
      <w:r>
        <w:rPr>
          <w:rFonts w:hint="eastAsia"/>
          <w:b/>
          <w:bCs/>
          <w:u w:val="single"/>
          <w:lang w:val="en-US" w:eastAsia="zh-CN"/>
        </w:rPr>
        <w:t>90%</w:t>
      </w:r>
      <w:r>
        <w:rPr>
          <w:rFonts w:hint="eastAsia"/>
          <w:lang w:val="en-US" w:eastAsia="zh-CN"/>
        </w:rPr>
        <w:t>，一年后由中标方提出申请经使用科室确认，完全验收付</w:t>
      </w:r>
      <w:r>
        <w:rPr>
          <w:rFonts w:hint="eastAsia"/>
          <w:b/>
          <w:bCs/>
          <w:u w:val="single"/>
          <w:lang w:val="en-US" w:eastAsia="zh-CN"/>
        </w:rPr>
        <w:t>10%</w:t>
      </w:r>
      <w:r>
        <w:rPr>
          <w:rFonts w:hint="eastAsia"/>
          <w:lang w:val="en-US" w:eastAsia="zh-CN"/>
        </w:rPr>
        <w:t>。</w:t>
      </w:r>
    </w:p>
    <w:p>
      <w:pPr>
        <w:pStyle w:val="2"/>
        <w:bidi w:val="0"/>
      </w:pPr>
      <w:r>
        <w:t> </w:t>
      </w:r>
    </w:p>
    <w:p>
      <w:r>
        <w:br w:type="page"/>
      </w:r>
    </w:p>
    <w:p>
      <w:pPr>
        <w:pStyle w:val="2"/>
        <w:bidi w:val="0"/>
      </w:pPr>
      <w:r>
        <w:rPr>
          <w:rFonts w:hint="eastAsia" w:asciiTheme="minorEastAsia" w:hAnsiTheme="minorEastAsia" w:eastAsiaTheme="minorEastAsia" w:cstheme="minorEastAsia"/>
          <w:b/>
          <w:color w:val="auto"/>
          <w:kern w:val="44"/>
          <w:sz w:val="30"/>
          <w:szCs w:val="30"/>
          <w:lang w:val="en-US" w:eastAsia="zh-CN" w:bidi="ar-SA"/>
        </w:rPr>
        <w:t>二、合同签订</w:t>
      </w:r>
    </w:p>
    <w:p>
      <w:pPr>
        <w:pStyle w:val="2"/>
        <w:bidi w:val="0"/>
      </w:pPr>
      <w:r>
        <w:rPr>
          <w:rFonts w:hint="eastAsia"/>
        </w:rPr>
        <w:t>招标人和中标人应当自公示结束后</w:t>
      </w:r>
      <w:sdt>
        <w:sdtPr>
          <w:rPr>
            <w:rFonts w:hint="eastAsia"/>
          </w:rPr>
          <w:alias w:val="无特殊情况不建议修改"/>
          <w:tag w:val="无特殊情况不建议修改"/>
          <w:id w:val="-183904816"/>
          <w:placeholder>
            <w:docPart w:val="{ca5cbc86-f63b-45a1-b53d-e63cce29ddf6}"/>
          </w:placeholder>
          <w15:color w:val="FF0000"/>
        </w:sdtPr>
        <w:sdtEndPr>
          <w:rPr>
            <w:rFonts w:hint="eastAsia"/>
            <w:b/>
            <w:bCs/>
            <w:u w:val="single"/>
          </w:rPr>
        </w:sdtEndPr>
        <w:sdtContent>
          <w:r>
            <w:rPr>
              <w:rFonts w:hint="eastAsia"/>
              <w:b/>
              <w:bCs/>
              <w:u w:val="single"/>
              <w:lang w:val="en-US" w:eastAsia="zh-CN"/>
            </w:rPr>
            <w:t>30个</w:t>
          </w:r>
          <w:r>
            <w:rPr>
              <w:rFonts w:hint="eastAsia"/>
              <w:b/>
              <w:bCs/>
              <w:u w:val="single"/>
              <w:lang w:eastAsia="zh-CN"/>
            </w:rPr>
            <w:t>历</w:t>
          </w:r>
        </w:sdtContent>
      </w:sdt>
      <w:r>
        <w:rPr>
          <w:rFonts w:hint="eastAsia"/>
          <w:b/>
          <w:bCs/>
          <w:u w:val="single"/>
          <w:lang w:val="en-US" w:eastAsia="zh-CN"/>
        </w:rPr>
        <w:t>日</w:t>
      </w:r>
      <w:r>
        <w:rPr>
          <w:rFonts w:hint="eastAsia"/>
          <w:b/>
          <w:bCs/>
          <w:u w:val="single"/>
        </w:rPr>
        <w:t>内</w:t>
      </w:r>
      <w:r>
        <w:rPr>
          <w:rFonts w:hint="eastAsia"/>
        </w:rPr>
        <w:t>签订采购合同。</w:t>
      </w:r>
    </w:p>
    <w:p>
      <w:pPr>
        <w:pStyle w:val="2"/>
        <w:bidi w:val="0"/>
        <w:rPr>
          <w:rFonts w:hint="eastAsia"/>
        </w:rPr>
      </w:pPr>
      <w:r>
        <w:rPr>
          <w:rFonts w:hint="eastAsia"/>
        </w:rPr>
        <w:t>其他</w:t>
      </w:r>
    </w:p>
    <w:p>
      <w:pPr>
        <w:pStyle w:val="2"/>
        <w:bidi w:val="0"/>
        <w:rPr>
          <w:rFonts w:hint="eastAsia"/>
          <w:lang w:eastAsia="zh-CN"/>
        </w:rPr>
      </w:pPr>
      <w:r>
        <w:rPr>
          <w:rFonts w:hint="eastAsia"/>
        </w:rPr>
        <w:t>出现以下情况包退</w:t>
      </w:r>
      <w:r>
        <w:rPr>
          <w:rFonts w:hint="eastAsia"/>
          <w:lang w:eastAsia="zh-CN"/>
        </w:rPr>
        <w:t>：</w:t>
      </w:r>
    </w:p>
    <w:p>
      <w:pPr>
        <w:pStyle w:val="2"/>
        <w:bidi w:val="0"/>
        <w:rPr>
          <w:rFonts w:hint="eastAsia"/>
        </w:rPr>
      </w:pPr>
      <w:r>
        <w:rPr>
          <w:rFonts w:hint="eastAsia"/>
        </w:rPr>
        <w:t>质量有问题(包括但不仅限于产品质量不符合国家标准及有关质量要求)</w:t>
      </w:r>
    </w:p>
    <w:p>
      <w:pPr>
        <w:pStyle w:val="2"/>
        <w:bidi w:val="0"/>
      </w:pPr>
      <w:r>
        <w:rPr>
          <w:rFonts w:hint="eastAsia"/>
        </w:rPr>
        <w:t>在运输过程中造成的损坏。</w:t>
      </w:r>
    </w:p>
    <w:p>
      <w:pPr>
        <w:pStyle w:val="2"/>
        <w:bidi w:val="0"/>
      </w:pPr>
      <w:r>
        <w:rPr>
          <w:rFonts w:hint="eastAsia"/>
        </w:rPr>
        <w:t>没有按照要求和合同制作。</w:t>
      </w:r>
    </w:p>
    <w:p>
      <w:pPr>
        <w:pStyle w:val="2"/>
        <w:bidi w:val="0"/>
        <w:rPr>
          <w:rFonts w:hint="eastAsia" w:asciiTheme="minorEastAsia" w:hAnsiTheme="minorEastAsia" w:eastAsiaTheme="minorEastAsia" w:cstheme="minorEastAsia"/>
          <w:b/>
          <w:color w:val="auto"/>
          <w:kern w:val="44"/>
          <w:sz w:val="30"/>
          <w:szCs w:val="30"/>
          <w:lang w:val="en-US" w:eastAsia="zh-CN" w:bidi="ar-SA"/>
        </w:rPr>
      </w:pPr>
    </w:p>
    <w:p>
      <w:pPr>
        <w:pStyle w:val="2"/>
        <w:bidi w:val="0"/>
        <w:rPr>
          <w:rFonts w:hint="eastAsia" w:asciiTheme="minorEastAsia" w:hAnsiTheme="minorEastAsia" w:eastAsiaTheme="minorEastAsia" w:cstheme="minorEastAsia"/>
          <w:b/>
          <w:color w:val="auto"/>
          <w:kern w:val="44"/>
          <w:sz w:val="30"/>
          <w:szCs w:val="30"/>
          <w:lang w:val="en-US" w:eastAsia="zh-CN" w:bidi="ar-SA"/>
        </w:rPr>
      </w:pPr>
      <w:r>
        <w:rPr>
          <w:rFonts w:hint="eastAsia" w:asciiTheme="minorEastAsia" w:hAnsiTheme="minorEastAsia" w:eastAsiaTheme="minorEastAsia" w:cstheme="minorEastAsia"/>
          <w:b/>
          <w:color w:val="auto"/>
          <w:kern w:val="44"/>
          <w:sz w:val="30"/>
          <w:szCs w:val="30"/>
          <w:lang w:val="en-US" w:eastAsia="zh-CN" w:bidi="ar-SA"/>
        </w:rPr>
        <w:t>三、特别说明</w:t>
      </w:r>
    </w:p>
    <w:p>
      <w:pPr>
        <w:pStyle w:val="2"/>
        <w:bidi w:val="0"/>
      </w:pPr>
      <w:r>
        <w:rPr>
          <w:rFonts w:hint="eastAsia"/>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both"/>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both"/>
        <w:rPr>
          <w:rFonts w:cs="宋体"/>
          <w:b/>
          <w:bCs/>
          <w:kern w:val="0"/>
          <w:sz w:val="28"/>
          <w:szCs w:val="28"/>
        </w:rPr>
      </w:pPr>
      <w:r>
        <w:rPr>
          <w:rFonts w:hint="eastAsia" w:cs="宋体"/>
          <w:b/>
          <w:bCs/>
          <w:kern w:val="0"/>
          <w:sz w:val="28"/>
          <w:szCs w:val="28"/>
        </w:rPr>
        <w:t>一、评标方法与定标原则</w:t>
      </w:r>
    </w:p>
    <w:p>
      <w:pPr>
        <w:tabs>
          <w:tab w:val="left" w:pos="5489"/>
        </w:tabs>
        <w:bidi w:val="0"/>
        <w:jc w:val="left"/>
        <w:rPr>
          <w:rFonts w:hint="default" w:ascii="宋体" w:hAnsi="宋体" w:eastAsia="宋体" w:cs="宋体"/>
          <w:sz w:val="21"/>
          <w:szCs w:val="21"/>
          <w:highlight w:val="yellow"/>
          <w:lang w:val="en-US" w:eastAsia="zh-CN"/>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kern w:val="0"/>
          <w:sz w:val="24"/>
          <w:szCs w:val="24"/>
          <w:u w:val="single"/>
          <w:lang w:val="en-US" w:eastAsia="zh-CN"/>
        </w:rPr>
        <w:t xml:space="preserve"> </w:t>
      </w:r>
      <w:r>
        <w:rPr>
          <w:rFonts w:hint="eastAsia" w:cs="宋体"/>
          <w:b/>
          <w:bCs/>
          <w:kern w:val="0"/>
          <w:sz w:val="24"/>
          <w:szCs w:val="24"/>
          <w:u w:val="single"/>
          <w:lang w:val="en-US" w:eastAsia="zh-CN"/>
        </w:rPr>
        <w:t xml:space="preserve">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MDVjMGRhMzVlNzU3MTMzYmY1ZmI4NjA4MDQ3Y2YifQ=="/>
  </w:docVars>
  <w:rsids>
    <w:rsidRoot w:val="41F1286F"/>
    <w:rsid w:val="05875A5E"/>
    <w:rsid w:val="0E8844DC"/>
    <w:rsid w:val="16871089"/>
    <w:rsid w:val="17804426"/>
    <w:rsid w:val="18F41ADC"/>
    <w:rsid w:val="1E205195"/>
    <w:rsid w:val="24E30CCB"/>
    <w:rsid w:val="2A3D2C2B"/>
    <w:rsid w:val="2C385BD3"/>
    <w:rsid w:val="2DB651CE"/>
    <w:rsid w:val="30E9722F"/>
    <w:rsid w:val="41F1286F"/>
    <w:rsid w:val="45094B20"/>
    <w:rsid w:val="4893018E"/>
    <w:rsid w:val="4B11183E"/>
    <w:rsid w:val="4B3C1F12"/>
    <w:rsid w:val="5BA04C44"/>
    <w:rsid w:val="5FB962D5"/>
    <w:rsid w:val="61A15FB0"/>
    <w:rsid w:val="641C5153"/>
    <w:rsid w:val="669355F8"/>
    <w:rsid w:val="688558EE"/>
    <w:rsid w:val="6D825D40"/>
    <w:rsid w:val="717958C4"/>
    <w:rsid w:val="756454D6"/>
    <w:rsid w:val="777A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5">
    <w:name w:val="Body Text"/>
    <w:basedOn w:val="1"/>
    <w:semiHidden/>
    <w:unhideWhenUsed/>
    <w:qFormat/>
    <w:uiPriority w:val="99"/>
    <w:pPr>
      <w:spacing w:after="120"/>
    </w:pPr>
  </w:style>
  <w:style w:type="paragraph" w:styleId="6">
    <w:name w:val="Body Text Indent"/>
    <w:basedOn w:val="1"/>
    <w:semiHidden/>
    <w:unhideWhenUsed/>
    <w:uiPriority w:val="99"/>
    <w:pPr>
      <w:spacing w:after="120"/>
      <w:ind w:left="420" w:leftChars="200"/>
    </w:pPr>
  </w:style>
  <w:style w:type="paragraph" w:styleId="7">
    <w:name w:val="Plain Text"/>
    <w:basedOn w:val="1"/>
    <w:unhideWhenUsed/>
    <w:qFormat/>
    <w:uiPriority w:val="0"/>
    <w:rPr>
      <w:rFonts w:ascii="宋体" w:hAnsi="Courier New" w:eastAsiaTheme="minorEastAsia" w:cstheme="minorBidi"/>
      <w:szCs w:val="22"/>
    </w:rPr>
  </w:style>
  <w:style w:type="paragraph" w:styleId="8">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customStyle="1" w:styleId="11">
    <w:name w:val="表格文字"/>
    <w:basedOn w:val="6"/>
    <w:next w:val="5"/>
    <w:qFormat/>
    <w:uiPriority w:val="0"/>
    <w:pPr>
      <w:spacing w:before="60" w:after="60"/>
      <w:ind w:left="0" w:leftChars="0"/>
    </w:pPr>
    <w:rPr>
      <w:spacing w:val="-4"/>
      <w:sz w:val="18"/>
      <w:szCs w:val="20"/>
    </w:rPr>
  </w:style>
</w:styles>
</file>

<file path=word/_rels/document.xml.rels><?xml version="1.0" encoding="UTF-8" standalone="yes"?>
<Relationships xmlns="http://schemas.openxmlformats.org/package/2006/relationships"><Relationship Id="rId5" Type="http://schemas.openxmlformats.org/officeDocument/2006/relationships/glossaryDocument" Target="glossary/document.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a5cbc86-f63b-45a1-b53d-e63cce29ddf6}"/>
        <w:style w:val=""/>
        <w:category>
          <w:name w:val="常规"/>
          <w:gallery w:val="placeholder"/>
        </w:category>
        <w:types>
          <w:type w:val="bbPlcHdr"/>
        </w:types>
        <w:behaviors>
          <w:behavior w:val="content"/>
        </w:behaviors>
        <w:description w:val=""/>
        <w:guid w:val="{ca5cbc86-f63b-45a1-b53d-e63cce29ddf6}"/>
      </w:docPartPr>
      <w:docPartBody>
        <w:p>
          <w:r>
            <w:rPr>
              <w:rStyle w:val="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2024-01-02T02:48:00Z</dcterms:created>
  <dc:creator>華</dc:creator>
  <cp:lastModifiedBy>lenovo</cp:lastModifiedBy>
  <dcterms:modified xsi:type="dcterms:W3CDTF">2024-01-31T02:35:44Z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C0513E0E82ED43BAB000A721796FB2AB_13</vt:lpwstr>
  </property>
</Properties>
</file>