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（一）采购清单</w:t>
      </w:r>
      <w:r>
        <w:rPr>
          <w:b/>
          <w:bCs/>
        </w:rPr>
        <w:t> </w:t>
      </w:r>
    </w:p>
    <w:p>
      <w:pPr>
        <w:pStyle w:val="2"/>
        <w:ind w:left="-708" w:leftChars="-337"/>
        <w:rPr>
          <w:b/>
          <w:bCs/>
          <w:color w:val="0000FF"/>
          <w:sz w:val="18"/>
          <w:szCs w:val="18"/>
        </w:rPr>
      </w:pPr>
      <w:r>
        <w:rPr>
          <w:rFonts w:hint="eastAsia"/>
          <w:b/>
          <w:bCs/>
        </w:rPr>
        <w:t xml:space="preserve">     </w:t>
      </w:r>
    </w:p>
    <w:tbl>
      <w:tblPr>
        <w:tblStyle w:val="9"/>
        <w:tblW w:w="85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2835"/>
        <w:gridCol w:w="764"/>
        <w:gridCol w:w="733"/>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67"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序号</w:t>
            </w:r>
          </w:p>
        </w:tc>
        <w:tc>
          <w:tcPr>
            <w:tcW w:w="1276"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服务名称</w:t>
            </w:r>
          </w:p>
        </w:tc>
        <w:tc>
          <w:tcPr>
            <w:tcW w:w="2835"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主要服务内容</w:t>
            </w:r>
          </w:p>
        </w:tc>
        <w:tc>
          <w:tcPr>
            <w:tcW w:w="764"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数量</w:t>
            </w:r>
          </w:p>
        </w:tc>
        <w:tc>
          <w:tcPr>
            <w:tcW w:w="733"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单位</w:t>
            </w:r>
          </w:p>
        </w:tc>
        <w:tc>
          <w:tcPr>
            <w:tcW w:w="1199"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单  价</w:t>
            </w:r>
          </w:p>
          <w:p>
            <w:pPr>
              <w:snapToGrid w:val="0"/>
              <w:spacing w:line="400" w:lineRule="exact"/>
              <w:jc w:val="center"/>
              <w:rPr>
                <w:rFonts w:ascii="宋体" w:hAnsi="宋体" w:cs="宋体"/>
                <w:sz w:val="28"/>
                <w:szCs w:val="28"/>
              </w:rPr>
            </w:pPr>
            <w:r>
              <w:rPr>
                <w:rFonts w:hint="eastAsia" w:ascii="宋体" w:hAnsi="宋体" w:cs="宋体"/>
                <w:sz w:val="28"/>
                <w:szCs w:val="28"/>
              </w:rPr>
              <w:t>（元）</w:t>
            </w:r>
          </w:p>
        </w:tc>
        <w:tc>
          <w:tcPr>
            <w:tcW w:w="1199"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金  额</w:t>
            </w:r>
          </w:p>
          <w:p>
            <w:pPr>
              <w:snapToGrid w:val="0"/>
              <w:spacing w:line="400" w:lineRule="exact"/>
              <w:jc w:val="center"/>
              <w:rPr>
                <w:rFonts w:ascii="宋体" w:hAnsi="宋体" w:cs="宋体"/>
                <w:sz w:val="28"/>
                <w:szCs w:val="28"/>
              </w:rPr>
            </w:pPr>
            <w:r>
              <w:rPr>
                <w:rFonts w:hint="eastAsia" w:ascii="宋体" w:hAnsi="宋体" w:cs="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7"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1</w:t>
            </w:r>
          </w:p>
        </w:tc>
        <w:tc>
          <w:tcPr>
            <w:tcW w:w="1276"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弱电拉线工程业务外包</w:t>
            </w:r>
          </w:p>
        </w:tc>
        <w:tc>
          <w:tcPr>
            <w:tcW w:w="2835"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弱电布线施工，包括网线、光纤的线路布设、弱电终端面板安装等试工服务及其使用的物料、线材提供</w:t>
            </w:r>
          </w:p>
        </w:tc>
        <w:tc>
          <w:tcPr>
            <w:tcW w:w="764" w:type="dxa"/>
          </w:tcPr>
          <w:p>
            <w:pPr>
              <w:snapToGrid w:val="0"/>
              <w:spacing w:line="400" w:lineRule="exact"/>
              <w:jc w:val="center"/>
              <w:rPr>
                <w:rFonts w:hint="eastAsia" w:ascii="宋体" w:hAnsi="宋体" w:cs="宋体"/>
                <w:sz w:val="28"/>
                <w:szCs w:val="28"/>
              </w:rPr>
            </w:pPr>
          </w:p>
          <w:p>
            <w:pPr>
              <w:snapToGrid w:val="0"/>
              <w:spacing w:line="400" w:lineRule="exact"/>
              <w:jc w:val="center"/>
              <w:rPr>
                <w:rFonts w:hint="eastAsia" w:ascii="宋体" w:hAnsi="宋体" w:cs="宋体"/>
                <w:sz w:val="28"/>
                <w:szCs w:val="28"/>
              </w:rPr>
            </w:pPr>
          </w:p>
          <w:p>
            <w:pPr>
              <w:snapToGrid w:val="0"/>
              <w:spacing w:line="400" w:lineRule="exact"/>
              <w:jc w:val="center"/>
              <w:rPr>
                <w:rFonts w:ascii="宋体" w:hAnsi="宋体" w:cs="宋体"/>
                <w:sz w:val="28"/>
                <w:szCs w:val="28"/>
              </w:rPr>
            </w:pPr>
            <w:r>
              <w:rPr>
                <w:rFonts w:hint="eastAsia" w:ascii="宋体" w:hAnsi="宋体" w:cs="宋体"/>
                <w:sz w:val="28"/>
                <w:szCs w:val="28"/>
              </w:rPr>
              <w:t>1</w:t>
            </w:r>
          </w:p>
        </w:tc>
        <w:tc>
          <w:tcPr>
            <w:tcW w:w="733" w:type="dxa"/>
          </w:tcPr>
          <w:p>
            <w:pPr>
              <w:snapToGrid w:val="0"/>
              <w:spacing w:line="400" w:lineRule="exact"/>
              <w:jc w:val="center"/>
              <w:rPr>
                <w:rFonts w:hint="eastAsia" w:ascii="宋体" w:hAnsi="宋体" w:cs="宋体"/>
                <w:sz w:val="28"/>
                <w:szCs w:val="28"/>
              </w:rPr>
            </w:pPr>
          </w:p>
          <w:p>
            <w:pPr>
              <w:snapToGrid w:val="0"/>
              <w:spacing w:line="400" w:lineRule="exact"/>
              <w:jc w:val="center"/>
              <w:rPr>
                <w:rFonts w:hint="eastAsia" w:ascii="宋体" w:hAnsi="宋体" w:cs="宋体"/>
                <w:sz w:val="28"/>
                <w:szCs w:val="28"/>
              </w:rPr>
            </w:pPr>
          </w:p>
          <w:p>
            <w:pPr>
              <w:snapToGrid w:val="0"/>
              <w:spacing w:line="400" w:lineRule="exact"/>
              <w:jc w:val="center"/>
              <w:rPr>
                <w:rFonts w:ascii="宋体" w:hAnsi="宋体" w:cs="宋体"/>
                <w:sz w:val="28"/>
                <w:szCs w:val="28"/>
              </w:rPr>
            </w:pPr>
            <w:r>
              <w:rPr>
                <w:rFonts w:hint="eastAsia" w:ascii="宋体" w:hAnsi="宋体" w:cs="宋体"/>
                <w:sz w:val="28"/>
                <w:szCs w:val="28"/>
              </w:rPr>
              <w:t>年</w:t>
            </w:r>
          </w:p>
        </w:tc>
        <w:tc>
          <w:tcPr>
            <w:tcW w:w="1199"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150000</w:t>
            </w:r>
          </w:p>
        </w:tc>
        <w:tc>
          <w:tcPr>
            <w:tcW w:w="1199"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73" w:type="dxa"/>
            <w:gridSpan w:val="7"/>
            <w:vAlign w:val="center"/>
          </w:tcPr>
          <w:p>
            <w:pPr>
              <w:snapToGrid w:val="0"/>
              <w:spacing w:line="400" w:lineRule="exact"/>
              <w:rPr>
                <w:rFonts w:ascii="宋体" w:hAnsi="宋体" w:cs="宋体"/>
                <w:sz w:val="28"/>
                <w:szCs w:val="28"/>
              </w:rPr>
            </w:pPr>
            <w:r>
              <w:rPr>
                <w:rFonts w:hint="eastAsia" w:ascii="宋体" w:hAnsi="宋体" w:cs="宋体"/>
                <w:sz w:val="28"/>
                <w:szCs w:val="28"/>
              </w:rPr>
              <w:t>人民币合计金额（大写）</w:t>
            </w:r>
            <w:r>
              <w:rPr>
                <w:rFonts w:hint="eastAsia" w:ascii="宋体" w:hAnsi="宋体" w:cs="宋体"/>
                <w:sz w:val="28"/>
                <w:szCs w:val="28"/>
                <w:lang w:eastAsia="zh-CN"/>
              </w:rPr>
              <w:t>壹</w:t>
            </w:r>
            <w:r>
              <w:rPr>
                <w:rFonts w:hint="eastAsia" w:ascii="宋体" w:hAnsi="宋体" w:cs="宋体"/>
                <w:sz w:val="28"/>
                <w:szCs w:val="28"/>
              </w:rPr>
              <w:t xml:space="preserve">拾伍万元整          （小写）150000              </w:t>
            </w:r>
          </w:p>
        </w:tc>
      </w:tr>
    </w:tbl>
    <w:p>
      <w:pPr>
        <w:widowControl/>
        <w:numPr>
          <w:ilvl w:val="0"/>
          <w:numId w:val="1"/>
        </w:numPr>
        <w:spacing w:line="360" w:lineRule="auto"/>
        <w:ind w:left="-708" w:leftChars="-337"/>
        <w:jc w:val="left"/>
      </w:pPr>
      <w:r>
        <w:rPr>
          <w:rFonts w:hint="eastAsia" w:cs="宋体"/>
          <w:b/>
          <w:bCs/>
          <w:kern w:val="0"/>
          <w:sz w:val="24"/>
          <w:szCs w:val="24"/>
        </w:rPr>
        <w:t>技术规格参数</w:t>
      </w:r>
    </w:p>
    <w:p>
      <w:pPr>
        <w:pStyle w:val="24"/>
        <w:spacing w:before="0" w:beforeAutospacing="0" w:after="0" w:afterAutospacing="0" w:line="240" w:lineRule="atLeast"/>
        <w:ind w:left="-706"/>
        <w:textAlignment w:val="baseline"/>
      </w:pPr>
      <w:r>
        <w:rPr>
          <w:rFonts w:hint="eastAsia"/>
        </w:rPr>
        <w:t xml:space="preserve">     </w:t>
      </w:r>
    </w:p>
    <w:tbl>
      <w:tblPr>
        <w:tblStyle w:val="9"/>
        <w:tblW w:w="8647" w:type="dxa"/>
        <w:tblInd w:w="250" w:type="dxa"/>
        <w:tblLayout w:type="autofit"/>
        <w:tblCellMar>
          <w:top w:w="0" w:type="dxa"/>
          <w:left w:w="108" w:type="dxa"/>
          <w:bottom w:w="0" w:type="dxa"/>
          <w:right w:w="108" w:type="dxa"/>
        </w:tblCellMar>
      </w:tblPr>
      <w:tblGrid>
        <w:gridCol w:w="567"/>
        <w:gridCol w:w="1418"/>
        <w:gridCol w:w="2126"/>
        <w:gridCol w:w="992"/>
        <w:gridCol w:w="709"/>
        <w:gridCol w:w="992"/>
        <w:gridCol w:w="992"/>
        <w:gridCol w:w="851"/>
      </w:tblGrid>
      <w:tr>
        <w:tblPrEx>
          <w:tblCellMar>
            <w:top w:w="0" w:type="dxa"/>
            <w:left w:w="108" w:type="dxa"/>
            <w:bottom w:w="0" w:type="dxa"/>
            <w:right w:w="108" w:type="dxa"/>
          </w:tblCellMar>
        </w:tblPrEx>
        <w:trPr>
          <w:trHeight w:val="375"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35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项目名称及项目特征描述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计量</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工程量</w:t>
            </w:r>
          </w:p>
        </w:tc>
        <w:tc>
          <w:tcPr>
            <w:tcW w:w="283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金额(元)</w:t>
            </w:r>
          </w:p>
        </w:tc>
      </w:tr>
      <w:tr>
        <w:tblPrEx>
          <w:tblCellMar>
            <w:top w:w="0" w:type="dxa"/>
            <w:left w:w="108" w:type="dxa"/>
            <w:bottom w:w="0" w:type="dxa"/>
            <w:right w:w="108" w:type="dxa"/>
          </w:tblCellMar>
        </w:tblPrEx>
        <w:trPr>
          <w:trHeight w:val="330"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技术参数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 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CellMar>
            <w:top w:w="0" w:type="dxa"/>
            <w:left w:w="108" w:type="dxa"/>
            <w:bottom w:w="0" w:type="dxa"/>
            <w:right w:w="108" w:type="dxa"/>
          </w:tblCellMar>
        </w:tblPrEx>
        <w:trPr>
          <w:trHeight w:val="36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配线架</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理线架</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1U</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网线</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六类网线</w:t>
            </w:r>
          </w:p>
          <w:p>
            <w:pPr>
              <w:widowControl/>
              <w:jc w:val="center"/>
              <w:rPr>
                <w:rFonts w:ascii="宋体" w:hAnsi="宋体" w:cs="宋体"/>
                <w:kern w:val="0"/>
                <w:sz w:val="20"/>
                <w:szCs w:val="20"/>
              </w:rPr>
            </w:pPr>
            <w:r>
              <w:rPr>
                <w:rFonts w:hint="eastAsia" w:ascii="宋体" w:hAnsi="宋体" w:cs="宋体"/>
                <w:kern w:val="0"/>
                <w:sz w:val="20"/>
                <w:szCs w:val="20"/>
              </w:rPr>
              <w:t>（大唐、安普康、普联）</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箱</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网线</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超五类网线</w:t>
            </w:r>
          </w:p>
          <w:p>
            <w:pPr>
              <w:widowControl/>
              <w:jc w:val="center"/>
              <w:rPr>
                <w:rFonts w:ascii="宋体" w:hAnsi="宋体" w:cs="宋体"/>
                <w:kern w:val="0"/>
                <w:sz w:val="20"/>
                <w:szCs w:val="20"/>
              </w:rPr>
            </w:pPr>
            <w:r>
              <w:rPr>
                <w:rFonts w:hint="eastAsia" w:ascii="宋体" w:hAnsi="宋体" w:cs="宋体"/>
                <w:kern w:val="0"/>
                <w:sz w:val="20"/>
                <w:szCs w:val="20"/>
              </w:rPr>
              <w:t>（大唐、安普康、普联）</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箱</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电话线</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四芯线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电话线</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二芯线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跳纤</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跳纤</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跳纤</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跳纤</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光纤盒</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跳纤</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模块</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网络模块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模块</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电话模块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面板</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单口面板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面板</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双口面板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面板</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电话面板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成品线</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六类成品线1.5米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成品线</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超五类成品线1.5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成品线</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电话成品线1.5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弱电箱</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4U</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各</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6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水晶头</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六类水晶头</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电话水晶头</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底盒</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86明装底盒</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线管</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PVC</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线槽</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PVC</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地脚线</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PVC</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胶粒</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扎带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螺丝</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钢钉</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标签</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管码</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包</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开孔</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354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安装调试(按实际施工情况、难易程度定价)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熔纤</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安装费用</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面板、模块、底盒等弱电点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5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线路布设</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室内布线，简易施工；根据实际情况商定，招标限制上限价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定上限价</w:t>
            </w:r>
          </w:p>
        </w:tc>
      </w:tr>
      <w:tr>
        <w:tblPrEx>
          <w:tblCellMar>
            <w:top w:w="0" w:type="dxa"/>
            <w:left w:w="108" w:type="dxa"/>
            <w:bottom w:w="0" w:type="dxa"/>
            <w:right w:w="108" w:type="dxa"/>
          </w:tblCellMar>
        </w:tblPrEx>
        <w:trPr>
          <w:trHeight w:val="76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线路布设（室外施工）</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室外高空施工，室内天花板较难施工；根据实际情况商定，招标限制上限价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定上限价</w:t>
            </w:r>
          </w:p>
        </w:tc>
      </w:tr>
    </w:tbl>
    <w:p>
      <w:pPr>
        <w:pStyle w:val="24"/>
        <w:spacing w:before="0" w:beforeAutospacing="0" w:after="0" w:afterAutospacing="0" w:line="240" w:lineRule="atLeast"/>
        <w:ind w:left="-706"/>
        <w:textAlignment w:val="baseline"/>
      </w:pPr>
    </w:p>
    <w:p>
      <w:pPr>
        <w:pStyle w:val="24"/>
        <w:spacing w:before="0" w:beforeAutospacing="0" w:after="0" w:afterAutospacing="0" w:line="240" w:lineRule="atLeast"/>
        <w:ind w:left="-706"/>
        <w:textAlignment w:val="baseline"/>
        <w:rPr>
          <w:rFonts w:ascii="微软雅黑" w:hAnsi="微软雅黑" w:eastAsia="微软雅黑"/>
          <w:color w:val="000000"/>
          <w:sz w:val="27"/>
          <w:szCs w:val="27"/>
        </w:rPr>
      </w:pPr>
    </w:p>
    <w:tbl>
      <w:tblPr>
        <w:tblStyle w:val="9"/>
        <w:tblW w:w="871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742"/>
        <w:gridCol w:w="1742"/>
        <w:gridCol w:w="1742"/>
        <w:gridCol w:w="1743"/>
        <w:gridCol w:w="174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ind w:firstLine="227"/>
              <w:textAlignment w:val="baseline"/>
              <w:rPr>
                <w:rFonts w:ascii="微软雅黑" w:hAnsi="微软雅黑" w:eastAsia="微软雅黑" w:cs="宋体"/>
                <w:color w:val="000000"/>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after="60" w:line="240" w:lineRule="atLeast"/>
              <w:textAlignment w:val="baseline"/>
              <w:rPr>
                <w:rFonts w:ascii="微软雅黑" w:hAnsi="微软雅黑" w:eastAsia="微软雅黑" w:cs="宋体"/>
                <w:color w:val="000000"/>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2"/>
            </w:pP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p>
        </w:tc>
      </w:tr>
    </w:tbl>
    <w:p>
      <w:pPr>
        <w:widowControl/>
        <w:spacing w:after="60" w:line="240" w:lineRule="atLeast"/>
        <w:jc w:val="left"/>
        <w:textAlignment w:val="baseline"/>
      </w:pPr>
      <w:r>
        <w:rPr>
          <w:rFonts w:hint="eastAsia" w:ascii="微软雅黑" w:hAnsi="微软雅黑" w:eastAsia="微软雅黑" w:cs="宋体"/>
          <w:color w:val="000000"/>
          <w:kern w:val="0"/>
          <w:sz w:val="27"/>
          <w:szCs w:val="27"/>
        </w:rPr>
        <w:t> </w:t>
      </w:r>
      <w:r>
        <w:rPr>
          <w:rFonts w:hint="eastAsia"/>
          <w:b/>
          <w:bCs/>
          <w:color w:val="0000FF"/>
          <w:sz w:val="18"/>
          <w:szCs w:val="18"/>
        </w:rPr>
        <w:t>（请以表格形式陈列......)</w:t>
      </w: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项目产品基本要求</w:t>
      </w:r>
    </w:p>
    <w:p>
      <w:pPr>
        <w:pStyle w:val="2"/>
        <w:ind w:left="-708" w:leftChars="-337"/>
        <w:rPr>
          <w:color w:val="auto"/>
        </w:rPr>
      </w:pPr>
      <w:r>
        <w:rPr>
          <w:rFonts w:hint="eastAsia"/>
          <w:color w:val="auto"/>
        </w:rPr>
        <w:t>1、投标人应保证所提供的货物或服务其任何一部分均不会侵犯任何第三方的专利权、商标权等，如在使用过程中出现的一切经济和法律责任均由投标人负责。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2、投标总价必须包含设备维修和设备及其配件运抵指定交货地点的各种费用和安装调校、售后服务、税金、验收检验及其它所有费用的总和，如另有要求请在投标文件中注明。</w:t>
      </w:r>
    </w:p>
    <w:p>
      <w:pPr>
        <w:pStyle w:val="2"/>
        <w:ind w:left="-708" w:leftChars="-337"/>
        <w:rPr>
          <w:rFonts w:cs="宋体"/>
          <w:b/>
          <w:bCs/>
        </w:rPr>
      </w:pPr>
      <w:r>
        <w:rPr>
          <w:rFonts w:hint="eastAsia" w:cs="宋体"/>
          <w:b/>
          <w:bCs/>
        </w:rPr>
        <w:t>（四）商务要求</w:t>
      </w:r>
    </w:p>
    <w:p>
      <w:pPr>
        <w:pStyle w:val="2"/>
        <w:ind w:left="-708" w:leftChars="-337"/>
        <w:rPr>
          <w:rFonts w:cs="宋体"/>
        </w:rPr>
      </w:pPr>
      <w:r>
        <w:rPr>
          <w:rFonts w:hint="eastAsia" w:cs="宋体"/>
          <w:b/>
          <w:bCs/>
        </w:rPr>
        <w:t>1、投标人资格要求</w:t>
      </w:r>
    </w:p>
    <w:p>
      <w:pPr>
        <w:pStyle w:val="2"/>
        <w:ind w:left="-708" w:leftChars="-337"/>
        <w:rPr>
          <w:rFonts w:cs="宋体"/>
        </w:rPr>
      </w:pPr>
      <w:r>
        <w:rPr>
          <w:rFonts w:hint="eastAsia" w:cs="宋体"/>
        </w:rPr>
        <w:t>1).必须是符合《中华人民共和国政府采购法》第二十二条之规定的独立法人，并具备统一社会信用代码；</w:t>
      </w:r>
    </w:p>
    <w:p>
      <w:pPr>
        <w:pStyle w:val="2"/>
        <w:ind w:left="-708" w:leftChars="-337"/>
        <w:rPr>
          <w:rFonts w:cs="宋体"/>
        </w:rPr>
      </w:pPr>
      <w:r>
        <w:rPr>
          <w:rFonts w:cs="宋体"/>
        </w:rPr>
        <w:t>2</w:t>
      </w:r>
      <w:r>
        <w:rPr>
          <w:rFonts w:hint="eastAsia" w:cs="宋体"/>
        </w:rPr>
        <w:t>).经营范围必须与本采购项目实质性相符；</w:t>
      </w:r>
    </w:p>
    <w:p>
      <w:pPr>
        <w:pStyle w:val="2"/>
        <w:ind w:left="-708" w:leftChars="-337"/>
        <w:rPr>
          <w:rFonts w:cs="宋体"/>
        </w:rPr>
      </w:pPr>
      <w:r>
        <w:rPr>
          <w:rFonts w:cs="宋体"/>
        </w:rPr>
        <w:t>3</w:t>
      </w:r>
      <w:r>
        <w:rPr>
          <w:rFonts w:hint="eastAsia" w:cs="宋体"/>
        </w:rPr>
        <w:t>).有固定的经营场所，有适应项目需要的专业技术人员，具备相关项目的供货能力和售后服务能力，具有良好的商业信誉和财务状况；</w:t>
      </w:r>
    </w:p>
    <w:p>
      <w:pPr>
        <w:pStyle w:val="2"/>
        <w:ind w:left="-708" w:leftChars="-337"/>
        <w:rPr>
          <w:rFonts w:cs="宋体"/>
        </w:rPr>
      </w:pPr>
      <w:r>
        <w:rPr>
          <w:rFonts w:cs="宋体"/>
        </w:rPr>
        <w:t>4</w:t>
      </w:r>
      <w:r>
        <w:rPr>
          <w:rFonts w:hint="eastAsia" w:cs="宋体"/>
        </w:rPr>
        <w:t>).提供营业执照、税务登记证、组织机构代码证复印件（盖章的），提供法人或被授权代表人身份证复印件；</w:t>
      </w:r>
    </w:p>
    <w:p>
      <w:pPr>
        <w:pStyle w:val="2"/>
        <w:ind w:left="-708" w:leftChars="-337"/>
        <w:rPr>
          <w:rFonts w:cs="宋体"/>
        </w:rPr>
      </w:pPr>
      <w:r>
        <w:rPr>
          <w:rFonts w:cs="宋体"/>
        </w:rPr>
        <w:t>5</w:t>
      </w:r>
      <w:r>
        <w:rPr>
          <w:rFonts w:hint="eastAsia" w:cs="宋体"/>
        </w:rPr>
        <w:t>).能提供经营业绩证明材料；</w:t>
      </w:r>
    </w:p>
    <w:p>
      <w:pPr>
        <w:pStyle w:val="2"/>
        <w:ind w:left="-708" w:leftChars="-337"/>
        <w:rPr>
          <w:rFonts w:cs="宋体"/>
        </w:rPr>
      </w:pPr>
      <w:r>
        <w:rPr>
          <w:rFonts w:cs="宋体"/>
        </w:rPr>
        <w:t>6</w:t>
      </w:r>
      <w:r>
        <w:rPr>
          <w:rFonts w:hint="eastAsia" w:cs="宋体"/>
        </w:rPr>
        <w:t>).参加本次政府采购活动前三年内，没有重大违法、违纪记录的声明；</w:t>
      </w:r>
    </w:p>
    <w:p>
      <w:pPr>
        <w:pStyle w:val="2"/>
        <w:ind w:left="-708" w:leftChars="-337"/>
        <w:rPr>
          <w:rFonts w:cs="宋体"/>
        </w:rPr>
      </w:pPr>
      <w:r>
        <w:rPr>
          <w:rFonts w:hint="eastAsia" w:cs="宋体"/>
        </w:rPr>
        <w:t>7). 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cs="宋体"/>
        </w:rPr>
      </w:pPr>
      <w:r>
        <w:rPr>
          <w:rFonts w:hint="eastAsia" w:cs="宋体"/>
        </w:rPr>
        <w:t>8).被列入我院投标人黑名单（在我院招投标活动中存在2次违规行为）未满3年的投标人将被拒绝其参与本次招投标活动。</w:t>
      </w:r>
    </w:p>
    <w:p>
      <w:pPr>
        <w:pStyle w:val="2"/>
        <w:ind w:left="-708" w:leftChars="-337"/>
        <w:rPr>
          <w:rFonts w:cs="宋体"/>
        </w:rPr>
      </w:pPr>
      <w:r>
        <w:rPr>
          <w:rFonts w:hint="eastAsia" w:cs="宋体"/>
        </w:rPr>
        <w:t>9).本次招标不接受联合体投标。</w:t>
      </w:r>
    </w:p>
    <w:p>
      <w:pPr>
        <w:pStyle w:val="2"/>
        <w:ind w:left="-708" w:leftChars="-337"/>
        <w:rPr>
          <w:rFonts w:cs="宋体"/>
          <w:color w:val="auto"/>
        </w:rPr>
      </w:pPr>
    </w:p>
    <w:p>
      <w:pPr>
        <w:pStyle w:val="2"/>
        <w:ind w:left="-708" w:leftChars="-337"/>
        <w:rPr>
          <w:rFonts w:cs="宋体"/>
          <w:b/>
          <w:bCs/>
        </w:rPr>
      </w:pPr>
      <w:r>
        <w:rPr>
          <w:rFonts w:hint="eastAsia" w:cs="宋体"/>
          <w:b/>
          <w:bCs/>
        </w:rPr>
        <w:t>2、投标产品资格要求</w:t>
      </w:r>
    </w:p>
    <w:p>
      <w:pPr>
        <w:pStyle w:val="2"/>
        <w:ind w:left="-708" w:leftChars="-337"/>
        <w:rPr>
          <w:rFonts w:cs="宋体"/>
        </w:rPr>
      </w:pPr>
      <w:r>
        <w:rPr>
          <w:rFonts w:hint="eastAsia" w:cs="宋体"/>
        </w:rPr>
        <w:t>1）本项目支持创新产品、节能优化产品、环境标识产品、中小企业发展等政府采购政策。</w:t>
      </w:r>
    </w:p>
    <w:p>
      <w:pPr>
        <w:pStyle w:val="2"/>
        <w:ind w:left="-708" w:leftChars="-337"/>
      </w:pPr>
      <w:r>
        <w:rPr>
          <w:rFonts w:hint="eastAsia"/>
          <w:b/>
          <w:bCs/>
        </w:rPr>
        <w:t>3、维保服务和资质</w:t>
      </w:r>
    </w:p>
    <w:p>
      <w:pPr>
        <w:pStyle w:val="2"/>
        <w:ind w:left="-708" w:leftChars="-337"/>
      </w:pPr>
      <w:r>
        <w:rPr>
          <w:rFonts w:hint="eastAsia"/>
        </w:rPr>
        <w:t>1）保障布设线路正常运行，需及时提供备用安装服务和备用配件。</w:t>
      </w:r>
    </w:p>
    <w:p>
      <w:pPr>
        <w:pStyle w:val="2"/>
        <w:ind w:left="-708" w:leftChars="-337"/>
      </w:pPr>
      <w:r>
        <w:rPr>
          <w:rFonts w:hint="eastAsia"/>
        </w:rPr>
        <w:t>2）投标人经营范围必须包含本标的涉及的线路施工、物料采购。</w:t>
      </w:r>
    </w:p>
    <w:p>
      <w:pPr>
        <w:pStyle w:val="2"/>
        <w:ind w:left="-708" w:leftChars="-337"/>
      </w:pPr>
      <w:r>
        <w:rPr>
          <w:rFonts w:hint="eastAsia" w:cs="宋体"/>
        </w:rPr>
        <w:t>3）服务地点为：</w:t>
      </w:r>
      <w:r>
        <w:rPr>
          <w:rFonts w:hint="eastAsia" w:cs="宋体"/>
          <w:highlight w:val="yellow"/>
        </w:rPr>
        <w:t>广西壮族自治区桂东人民医院</w:t>
      </w:r>
    </w:p>
    <w:p>
      <w:pPr>
        <w:pStyle w:val="2"/>
        <w:ind w:left="-708" w:leftChars="-337"/>
      </w:pPr>
      <w:r>
        <w:t xml:space="preserve">  </w:t>
      </w:r>
    </w:p>
    <w:p>
      <w:pPr>
        <w:pStyle w:val="2"/>
        <w:ind w:left="-708" w:leftChars="-337"/>
        <w:rPr>
          <w:b/>
          <w:bCs/>
        </w:rPr>
      </w:pPr>
      <w:r>
        <w:rPr>
          <w:rFonts w:hint="eastAsia"/>
          <w:b/>
          <w:bCs/>
        </w:rPr>
        <w:t>4、付款条件（进度和方式）：</w:t>
      </w:r>
      <w:r>
        <w:rPr>
          <w:b/>
          <w:bCs/>
        </w:rPr>
        <w:t xml:space="preserve"> </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按</w:t>
      </w:r>
      <w:r>
        <w:rPr>
          <w:rFonts w:hint="eastAsia" w:cs="宋体"/>
          <w:b/>
          <w:kern w:val="0"/>
          <w:sz w:val="24"/>
          <w:szCs w:val="24"/>
        </w:rPr>
        <w:t>实际施工工程量结算</w:t>
      </w:r>
      <w:r>
        <w:rPr>
          <w:rFonts w:hint="eastAsia" w:cs="宋体"/>
          <w:kern w:val="0"/>
          <w:sz w:val="24"/>
          <w:szCs w:val="24"/>
        </w:rPr>
        <w:t>，按周期（每个季度或每四个月，已合同约定为准）分批结算付款。如验收不合格以及发现伪劣产品等，招标人将视情形采取退货、拒付款、终止合同、索赔等措施，直至通过有关部门，依法维权。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30</w:t>
          </w:r>
          <w:bookmarkStart w:id="0" w:name="_GoBack"/>
          <w:bookmarkEnd w:id="0"/>
          <w:r>
            <w:rPr>
              <w:rFonts w:hint="eastAsia" w:cs="宋体"/>
              <w:color w:val="FF0000"/>
              <w:kern w:val="0"/>
              <w:sz w:val="24"/>
              <w:szCs w:val="24"/>
              <w:u w:val="single"/>
            </w:rPr>
            <w:t>个</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w:t>
      </w:r>
    </w:p>
    <w:p>
      <w:pPr>
        <w:pStyle w:val="2"/>
      </w:pP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rFonts w:cs="宋体"/>
          <w:kern w:val="0"/>
          <w:sz w:val="24"/>
          <w:szCs w:val="24"/>
        </w:rPr>
      </w:pPr>
      <w:r>
        <w:rPr>
          <w:rFonts w:hint="eastAsia" w:cs="宋体"/>
          <w:kern w:val="0"/>
          <w:sz w:val="24"/>
          <w:szCs w:val="24"/>
        </w:rPr>
        <w:t xml:space="preserve">1、评委会将对确定为实质性响应招标文件要求的投标文件进行评价和比较，评标方法采用 </w:t>
      </w:r>
      <w:r>
        <w:rPr>
          <w:rFonts w:hint="eastAsia" w:cs="宋体"/>
          <w:b/>
          <w:bCs/>
          <w:kern w:val="0"/>
          <w:sz w:val="24"/>
          <w:szCs w:val="24"/>
          <w:u w:val="single"/>
        </w:rPr>
        <w:t xml:space="preserve">最低评标价 </w:t>
      </w:r>
      <w:r>
        <w:rPr>
          <w:rFonts w:hint="eastAsia" w:cs="宋体"/>
          <w:kern w:val="0"/>
          <w:sz w:val="24"/>
          <w:szCs w:val="24"/>
        </w:rPr>
        <w:t>确定中标候选人。</w:t>
      </w:r>
    </w:p>
    <w:p>
      <w:pPr>
        <w:pStyle w:val="2"/>
        <w:ind w:firstLine="480" w:firstLineChars="200"/>
      </w:pPr>
      <w:r>
        <w:rPr>
          <w:rFonts w:hint="eastAsia"/>
        </w:rPr>
        <w:t>2、项目需求、质量标准和公司及人员资质等各项条款和要求，投标人必须满足或优于招标文件参数要求（符合或正偏离）；如有不满足或负偏离达的，将导致投标无效。</w:t>
      </w: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xMzI1ZTc0MWRiMTJlMmVjMGE2NDhjZjg0NDUwODIifQ=="/>
    <w:docVar w:name="KY_MEDREF_DOCUID" w:val="{642EBB7A-05DF-4F7F-990F-180E42AE779D}"/>
    <w:docVar w:name="KY_MEDREF_VERSION" w:val="3"/>
  </w:docVars>
  <w:rsids>
    <w:rsidRoot w:val="004C7EB2"/>
    <w:rsid w:val="000155DB"/>
    <w:rsid w:val="00066185"/>
    <w:rsid w:val="00080292"/>
    <w:rsid w:val="0008196D"/>
    <w:rsid w:val="00095D83"/>
    <w:rsid w:val="000A6C18"/>
    <w:rsid w:val="000B424D"/>
    <w:rsid w:val="000B7E2D"/>
    <w:rsid w:val="000E1AA6"/>
    <w:rsid w:val="00150440"/>
    <w:rsid w:val="00195877"/>
    <w:rsid w:val="001A025D"/>
    <w:rsid w:val="001A75FF"/>
    <w:rsid w:val="001D7C61"/>
    <w:rsid w:val="00204183"/>
    <w:rsid w:val="002104A1"/>
    <w:rsid w:val="00241CD6"/>
    <w:rsid w:val="002C5F34"/>
    <w:rsid w:val="002C7944"/>
    <w:rsid w:val="002F6AC3"/>
    <w:rsid w:val="00351A77"/>
    <w:rsid w:val="00354E71"/>
    <w:rsid w:val="003A3F20"/>
    <w:rsid w:val="003B7D62"/>
    <w:rsid w:val="003C3AB5"/>
    <w:rsid w:val="003E7DC1"/>
    <w:rsid w:val="004241B7"/>
    <w:rsid w:val="00425299"/>
    <w:rsid w:val="00462F4D"/>
    <w:rsid w:val="00474079"/>
    <w:rsid w:val="00482CD1"/>
    <w:rsid w:val="00495D2B"/>
    <w:rsid w:val="004C3803"/>
    <w:rsid w:val="004C7EB2"/>
    <w:rsid w:val="004D08F5"/>
    <w:rsid w:val="004D1844"/>
    <w:rsid w:val="004D2825"/>
    <w:rsid w:val="004F5A76"/>
    <w:rsid w:val="0050079F"/>
    <w:rsid w:val="005007DD"/>
    <w:rsid w:val="005C5682"/>
    <w:rsid w:val="005D491D"/>
    <w:rsid w:val="006015A5"/>
    <w:rsid w:val="00603D1D"/>
    <w:rsid w:val="006349AE"/>
    <w:rsid w:val="006471F0"/>
    <w:rsid w:val="00654BC6"/>
    <w:rsid w:val="00684BD7"/>
    <w:rsid w:val="006A4348"/>
    <w:rsid w:val="006E5543"/>
    <w:rsid w:val="00707A97"/>
    <w:rsid w:val="00762F0F"/>
    <w:rsid w:val="007814EA"/>
    <w:rsid w:val="007A5910"/>
    <w:rsid w:val="007F6F70"/>
    <w:rsid w:val="00800882"/>
    <w:rsid w:val="0082259E"/>
    <w:rsid w:val="00825B15"/>
    <w:rsid w:val="008471E9"/>
    <w:rsid w:val="00850DE6"/>
    <w:rsid w:val="008535F2"/>
    <w:rsid w:val="008553F8"/>
    <w:rsid w:val="00871D53"/>
    <w:rsid w:val="008A5DC5"/>
    <w:rsid w:val="008C34C7"/>
    <w:rsid w:val="008D164F"/>
    <w:rsid w:val="008D3A6F"/>
    <w:rsid w:val="00952484"/>
    <w:rsid w:val="009530DC"/>
    <w:rsid w:val="00991196"/>
    <w:rsid w:val="009B3A65"/>
    <w:rsid w:val="009D30D5"/>
    <w:rsid w:val="009F3B2A"/>
    <w:rsid w:val="00A024F5"/>
    <w:rsid w:val="00A03B6F"/>
    <w:rsid w:val="00A2105C"/>
    <w:rsid w:val="00A3329A"/>
    <w:rsid w:val="00A44D5C"/>
    <w:rsid w:val="00A61301"/>
    <w:rsid w:val="00A83F43"/>
    <w:rsid w:val="00A9201E"/>
    <w:rsid w:val="00AA5458"/>
    <w:rsid w:val="00AB1149"/>
    <w:rsid w:val="00AB3087"/>
    <w:rsid w:val="00AC0EA5"/>
    <w:rsid w:val="00AE2AD6"/>
    <w:rsid w:val="00B22A47"/>
    <w:rsid w:val="00B56A90"/>
    <w:rsid w:val="00B71892"/>
    <w:rsid w:val="00B8409A"/>
    <w:rsid w:val="00B959EB"/>
    <w:rsid w:val="00BA3521"/>
    <w:rsid w:val="00BC5BB9"/>
    <w:rsid w:val="00C2490B"/>
    <w:rsid w:val="00C33384"/>
    <w:rsid w:val="00C36661"/>
    <w:rsid w:val="00C762C8"/>
    <w:rsid w:val="00C97AD7"/>
    <w:rsid w:val="00CA47B0"/>
    <w:rsid w:val="00CB6404"/>
    <w:rsid w:val="00CC2DEE"/>
    <w:rsid w:val="00CD27A2"/>
    <w:rsid w:val="00CE0859"/>
    <w:rsid w:val="00CF1393"/>
    <w:rsid w:val="00D2685D"/>
    <w:rsid w:val="00D41CB5"/>
    <w:rsid w:val="00D57065"/>
    <w:rsid w:val="00DB5864"/>
    <w:rsid w:val="00DC4B54"/>
    <w:rsid w:val="00DF742F"/>
    <w:rsid w:val="00E02CF9"/>
    <w:rsid w:val="00E14108"/>
    <w:rsid w:val="00E36DB4"/>
    <w:rsid w:val="00E72BBE"/>
    <w:rsid w:val="00E9128D"/>
    <w:rsid w:val="00EB1C9B"/>
    <w:rsid w:val="00ED5546"/>
    <w:rsid w:val="00F036F7"/>
    <w:rsid w:val="00F21C77"/>
    <w:rsid w:val="00F42C21"/>
    <w:rsid w:val="00F51695"/>
    <w:rsid w:val="00F868BA"/>
    <w:rsid w:val="01124992"/>
    <w:rsid w:val="01CB43E2"/>
    <w:rsid w:val="02615DF0"/>
    <w:rsid w:val="03B56736"/>
    <w:rsid w:val="0A795D65"/>
    <w:rsid w:val="0CC05EEA"/>
    <w:rsid w:val="10C97A40"/>
    <w:rsid w:val="122B15C9"/>
    <w:rsid w:val="12C97D37"/>
    <w:rsid w:val="21B710F4"/>
    <w:rsid w:val="2218153E"/>
    <w:rsid w:val="25773183"/>
    <w:rsid w:val="26431704"/>
    <w:rsid w:val="26CD4569"/>
    <w:rsid w:val="27D01D3D"/>
    <w:rsid w:val="28110468"/>
    <w:rsid w:val="2E44559E"/>
    <w:rsid w:val="311834AF"/>
    <w:rsid w:val="318469E5"/>
    <w:rsid w:val="3194337D"/>
    <w:rsid w:val="3737378F"/>
    <w:rsid w:val="3806606D"/>
    <w:rsid w:val="397701BE"/>
    <w:rsid w:val="3B546CEC"/>
    <w:rsid w:val="3F8769CB"/>
    <w:rsid w:val="41366ED0"/>
    <w:rsid w:val="477926DC"/>
    <w:rsid w:val="48D85C25"/>
    <w:rsid w:val="4C1C5576"/>
    <w:rsid w:val="4D442BFB"/>
    <w:rsid w:val="4D781BD4"/>
    <w:rsid w:val="4DA009DA"/>
    <w:rsid w:val="4DA97E72"/>
    <w:rsid w:val="4DB9683E"/>
    <w:rsid w:val="50502E0F"/>
    <w:rsid w:val="589150FF"/>
    <w:rsid w:val="598A4F23"/>
    <w:rsid w:val="5D1A4465"/>
    <w:rsid w:val="67EF0C5A"/>
    <w:rsid w:val="6A513DD5"/>
    <w:rsid w:val="6BF540D9"/>
    <w:rsid w:val="6DD0797D"/>
    <w:rsid w:val="71754026"/>
    <w:rsid w:val="74B5471E"/>
    <w:rsid w:val="77E41C8F"/>
    <w:rsid w:val="77FF632E"/>
    <w:rsid w:val="7B036868"/>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Balloon Text"/>
    <w:basedOn w:val="1"/>
    <w:link w:val="23"/>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99"/>
    <w:rPr>
      <w:sz w:val="21"/>
      <w:szCs w:val="21"/>
    </w:rPr>
  </w:style>
  <w:style w:type="character" w:customStyle="1" w:styleId="13">
    <w:name w:val="批注文字 字符"/>
    <w:basedOn w:val="11"/>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8"/>
    <w:semiHidden/>
    <w:qFormat/>
    <w:uiPriority w:val="99"/>
    <w:rPr>
      <w:rFonts w:ascii="Times New Roman" w:hAnsi="Times New Roman" w:eastAsia="宋体" w:cs="Times New Roman"/>
      <w:b/>
      <w:bCs/>
      <w:szCs w:val="21"/>
    </w:rPr>
  </w:style>
  <w:style w:type="character" w:customStyle="1" w:styleId="16">
    <w:name w:val="纯文本 Char"/>
    <w:basedOn w:val="11"/>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Char"/>
    <w:basedOn w:val="11"/>
    <w:link w:val="7"/>
    <w:qFormat/>
    <w:uiPriority w:val="99"/>
    <w:rPr>
      <w:rFonts w:ascii="Times New Roman" w:hAnsi="Times New Roman" w:eastAsia="宋体" w:cs="Times New Roman"/>
      <w:sz w:val="18"/>
      <w:szCs w:val="18"/>
    </w:rPr>
  </w:style>
  <w:style w:type="character" w:customStyle="1" w:styleId="20">
    <w:name w:val="页脚 Char"/>
    <w:basedOn w:val="11"/>
    <w:link w:val="6"/>
    <w:qFormat/>
    <w:uiPriority w:val="99"/>
    <w:rPr>
      <w:rFonts w:ascii="Times New Roman" w:hAnsi="Times New Roman" w:eastAsia="宋体" w:cs="Times New Roman"/>
      <w:sz w:val="18"/>
      <w:szCs w:val="18"/>
    </w:rPr>
  </w:style>
  <w:style w:type="character" w:styleId="21">
    <w:name w:val="Placeholder Text"/>
    <w:basedOn w:val="11"/>
    <w:semiHidden/>
    <w:qFormat/>
    <w:uiPriority w:val="99"/>
    <w:rPr>
      <w:color w:val="808080"/>
    </w:rPr>
  </w:style>
  <w:style w:type="paragraph" w:customStyle="1" w:styleId="22">
    <w:name w:val="样式1"/>
    <w:basedOn w:val="1"/>
    <w:qFormat/>
    <w:uiPriority w:val="0"/>
  </w:style>
  <w:style w:type="character" w:customStyle="1" w:styleId="23">
    <w:name w:val="批注框文本 Char"/>
    <w:basedOn w:val="11"/>
    <w:link w:val="5"/>
    <w:semiHidden/>
    <w:qFormat/>
    <w:uiPriority w:val="99"/>
    <w:rPr>
      <w:rFonts w:ascii="Times New Roman" w:hAnsi="Times New Roman" w:eastAsia="宋体" w:cs="Times New Roman"/>
      <w:kern w:val="2"/>
      <w:sz w:val="18"/>
      <w:szCs w:val="18"/>
    </w:rPr>
  </w:style>
  <w:style w:type="paragraph" w:customStyle="1" w:styleId="24">
    <w:name w:va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15"/>
    <w:basedOn w:val="11"/>
    <w:qFormat/>
    <w:uiPriority w:val="0"/>
  </w:style>
  <w:style w:type="paragraph" w:customStyle="1" w:styleId="26">
    <w:name w:val="1-13-b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21-13-b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2"/>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102898"/>
    <w:rsid w:val="00155701"/>
    <w:rsid w:val="00185C36"/>
    <w:rsid w:val="001B2DBA"/>
    <w:rsid w:val="00227BC2"/>
    <w:rsid w:val="00333F58"/>
    <w:rsid w:val="00345C6C"/>
    <w:rsid w:val="003753C5"/>
    <w:rsid w:val="0048475D"/>
    <w:rsid w:val="00504912"/>
    <w:rsid w:val="007311C2"/>
    <w:rsid w:val="0080285A"/>
    <w:rsid w:val="00E71E95"/>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37D9BAF2F1940EB9595AE970FC2F9A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B618B-0E50-492F-8E38-E92790424DE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368</Words>
  <Characters>2099</Characters>
  <Lines>17</Lines>
  <Paragraphs>4</Paragraphs>
  <TotalTime>7835</TotalTime>
  <ScaleCrop>false</ScaleCrop>
  <LinksUpToDate>false</LinksUpToDate>
  <CharactersWithSpaces>2463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lenovo</cp:lastModifiedBy>
  <cp:lastPrinted>2023-07-06T01:38:00Z</cp:lastPrinted>
  <dcterms:modified xsi:type="dcterms:W3CDTF">2024-05-15T08:45:50Z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BC6B623858AD4EF6B8932C9852D63447</vt:lpwstr>
  </property>
</Properties>
</file>