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rFonts w:hint="eastAsia"/>
          <w:color w:val="FF0000"/>
          <w:sz w:val="21"/>
          <w:szCs w:val="21"/>
        </w:rPr>
      </w:pPr>
      <w:r>
        <w:rPr>
          <w:rFonts w:hint="eastAsia"/>
          <w:b/>
          <w:bCs/>
          <w:color w:val="FF0000"/>
          <w:sz w:val="21"/>
          <w:szCs w:val="21"/>
        </w:rPr>
        <w:t>★ 部分为核心参数</w:t>
      </w:r>
      <w:r>
        <w:rPr>
          <w:rFonts w:hint="eastAsia"/>
          <w:color w:val="FF0000"/>
          <w:sz w:val="21"/>
          <w:szCs w:val="21"/>
        </w:rPr>
        <w:t>：不满足视为无效投标；</w:t>
      </w:r>
    </w:p>
    <w:p>
      <w:pPr>
        <w:pStyle w:val="2"/>
        <w:ind w:left="-500" w:leftChars="-238" w:firstLine="477" w:firstLineChars="199"/>
        <w:rPr>
          <w:rFonts w:hint="eastAsia"/>
          <w:color w:val="FF0000"/>
          <w:sz w:val="21"/>
          <w:szCs w:val="21"/>
          <w:lang w:val="en-US" w:eastAsia="zh-CN"/>
        </w:rPr>
      </w:pPr>
      <w:r>
        <w:rPr>
          <w:rFonts w:hint="eastAsia" w:ascii="仿宋" w:hAnsi="仿宋" w:eastAsia="仿宋"/>
          <w:bCs/>
          <w:sz w:val="24"/>
          <w:szCs w:val="24"/>
        </w:rPr>
        <w:t>▲</w:t>
      </w: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pPr>
        <w:pStyle w:val="2"/>
        <w:ind w:left="-500" w:leftChars="-238" w:firstLine="420" w:firstLineChars="199"/>
        <w:rPr>
          <w:rFonts w:hint="eastAsia"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pPr>
        <w:pStyle w:val="2"/>
        <w:ind w:left="-708" w:leftChars="-337"/>
        <w:rPr>
          <w:rFonts w:cs="宋体"/>
          <w:b/>
          <w:bCs/>
          <w:sz w:val="28"/>
          <w:szCs w:val="28"/>
        </w:rPr>
      </w:pPr>
      <w:r>
        <w:rPr>
          <w:rFonts w:hint="eastAsia" w:cs="宋体"/>
          <w:b/>
          <w:bCs/>
          <w:sz w:val="28"/>
          <w:szCs w:val="28"/>
        </w:rPr>
        <w:t>一、采购清单、质量标准和要求</w:t>
      </w:r>
    </w:p>
    <w:p>
      <w:pPr>
        <w:pStyle w:val="2"/>
        <w:ind w:left="-708" w:leftChars="-337"/>
        <w:rPr>
          <w:rFonts w:hint="default" w:eastAsia="宋体"/>
          <w:b/>
          <w:bCs/>
          <w:vertAlign w:val="baseline"/>
          <w:lang w:val="en-US" w:eastAsia="zh-CN"/>
        </w:rPr>
      </w:pPr>
      <w:r>
        <w:rPr>
          <w:rFonts w:hint="eastAsia" w:cs="宋体"/>
          <w:b/>
          <w:bCs/>
        </w:rPr>
        <w:t>（一）采购清单</w:t>
      </w:r>
      <w:r>
        <w:rPr>
          <w:b/>
          <w:bCs/>
        </w:rPr>
        <w:t> </w:t>
      </w:r>
    </w:p>
    <w:tbl>
      <w:tblPr>
        <w:tblStyle w:val="12"/>
        <w:tblW w:w="955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200"/>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pStyle w:val="2"/>
              <w:jc w:val="both"/>
              <w:rPr>
                <w:rFonts w:hint="default" w:eastAsia="宋体"/>
                <w:b w:val="0"/>
                <w:bCs w:val="0"/>
                <w:vertAlign w:val="baseline"/>
                <w:lang w:val="en-US" w:eastAsia="zh-CN"/>
              </w:rPr>
            </w:pPr>
            <w:r>
              <w:rPr>
                <w:rFonts w:hint="eastAsia"/>
                <w:b w:val="0"/>
                <w:bCs w:val="0"/>
                <w:vertAlign w:val="baseline"/>
                <w:lang w:val="en-US" w:eastAsia="zh-CN"/>
              </w:rPr>
              <w:t>名称</w:t>
            </w:r>
          </w:p>
        </w:tc>
        <w:tc>
          <w:tcPr>
            <w:tcW w:w="1200" w:type="dxa"/>
          </w:tcPr>
          <w:p>
            <w:pPr>
              <w:pStyle w:val="2"/>
              <w:jc w:val="both"/>
              <w:rPr>
                <w:rFonts w:hint="default" w:eastAsia="宋体"/>
                <w:b w:val="0"/>
                <w:bCs w:val="0"/>
                <w:vertAlign w:val="baseline"/>
                <w:lang w:val="en-US" w:eastAsia="zh-CN"/>
              </w:rPr>
            </w:pPr>
            <w:r>
              <w:rPr>
                <w:rFonts w:hint="eastAsia"/>
                <w:b w:val="0"/>
                <w:bCs w:val="0"/>
                <w:vertAlign w:val="baseline"/>
                <w:lang w:val="en-US" w:eastAsia="zh-CN"/>
              </w:rPr>
              <w:t>数量</w:t>
            </w:r>
          </w:p>
        </w:tc>
        <w:tc>
          <w:tcPr>
            <w:tcW w:w="6330" w:type="dxa"/>
            <w:vAlign w:val="top"/>
          </w:tcPr>
          <w:p>
            <w:pPr>
              <w:pStyle w:val="2"/>
              <w:jc w:val="both"/>
              <w:rPr>
                <w:rFonts w:hint="default" w:eastAsia="宋体"/>
                <w:b w:val="0"/>
                <w:bCs w:val="0"/>
                <w:vertAlign w:val="baseline"/>
                <w:lang w:val="en-US" w:eastAsia="zh-CN"/>
              </w:rPr>
            </w:pPr>
            <w:r>
              <w:rPr>
                <w:rFonts w:hint="eastAsia" w:ascii="宋体" w:hAnsi="宋体" w:eastAsia="宋体" w:cs="宋体"/>
                <w:sz w:val="24"/>
                <w:szCs w:val="24"/>
                <w:lang w:eastAsia="zh-CN"/>
              </w:rPr>
              <w:t>简要技术需求及服务要求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025" w:type="dxa"/>
          </w:tcPr>
          <w:p>
            <w:pPr>
              <w:pStyle w:val="2"/>
              <w:jc w:val="both"/>
              <w:rPr>
                <w:rFonts w:hint="default" w:eastAsia="宋体"/>
                <w:b w:val="0"/>
                <w:bCs w:val="0"/>
                <w:sz w:val="24"/>
                <w:szCs w:val="24"/>
                <w:vertAlign w:val="baseline"/>
                <w:lang w:val="en-US" w:eastAsia="zh-CN"/>
              </w:rPr>
            </w:pPr>
            <w:r>
              <w:rPr>
                <w:rFonts w:hint="eastAsia" w:ascii="宋体" w:hAnsi="宋体" w:eastAsia="宋体" w:cs="宋体"/>
                <w:b w:val="0"/>
                <w:bCs w:val="0"/>
                <w:kern w:val="0"/>
                <w:sz w:val="24"/>
                <w:szCs w:val="24"/>
                <w:lang w:val="en-US" w:eastAsia="zh-CN"/>
              </w:rPr>
              <w:t>生日蛋糕（券）</w:t>
            </w:r>
          </w:p>
        </w:tc>
        <w:tc>
          <w:tcPr>
            <w:tcW w:w="1200" w:type="dxa"/>
          </w:tcPr>
          <w:p>
            <w:pPr>
              <w:pStyle w:val="2"/>
              <w:jc w:val="both"/>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约1500</w:t>
            </w:r>
          </w:p>
        </w:tc>
        <w:tc>
          <w:tcPr>
            <w:tcW w:w="6330" w:type="dxa"/>
            <w:vAlign w:val="top"/>
          </w:tcPr>
          <w:p>
            <w:pPr>
              <w:pStyle w:val="2"/>
              <w:jc w:val="both"/>
              <w:rPr>
                <w:rFonts w:hint="default" w:eastAsia="宋体"/>
                <w:b/>
                <w:bCs/>
                <w:sz w:val="24"/>
                <w:szCs w:val="24"/>
                <w:vertAlign w:val="baseline"/>
                <w:lang w:val="en-US" w:eastAsia="zh-CN"/>
              </w:rPr>
            </w:pPr>
            <w:r>
              <w:rPr>
                <w:rFonts w:hint="eastAsia" w:ascii="宋体" w:hAnsi="宋体" w:eastAsia="宋体" w:cs="宋体"/>
                <w:b w:val="0"/>
                <w:bCs w:val="0"/>
                <w:sz w:val="24"/>
                <w:szCs w:val="24"/>
                <w:lang w:eastAsia="zh-CN"/>
              </w:rPr>
              <w:t>详见</w:t>
            </w:r>
            <w:r>
              <w:rPr>
                <w:rFonts w:hint="eastAsia" w:ascii="宋体" w:hAnsi="宋体" w:cs="宋体"/>
                <w:b w:val="0"/>
                <w:bCs w:val="0"/>
                <w:kern w:val="0"/>
                <w:sz w:val="24"/>
                <w:szCs w:val="24"/>
                <w:lang w:eastAsia="zh-CN"/>
              </w:rPr>
              <w:t>质量标准和要</w:t>
            </w:r>
            <w:r>
              <w:rPr>
                <w:rFonts w:hint="eastAsia" w:ascii="宋体" w:hAnsi="宋体" w:eastAsia="宋体" w:cs="宋体"/>
                <w:b w:val="0"/>
                <w:bCs w:val="0"/>
                <w:kern w:val="0"/>
                <w:sz w:val="24"/>
                <w:szCs w:val="24"/>
              </w:rPr>
              <w:t>求</w:t>
            </w:r>
          </w:p>
        </w:tc>
      </w:tr>
    </w:tbl>
    <w:p>
      <w:pPr>
        <w:pStyle w:val="2"/>
        <w:ind w:left="-708" w:leftChars="-337"/>
        <w:rPr>
          <w:rFonts w:hint="eastAsia" w:eastAsia="宋体" w:cs="宋体"/>
          <w:b/>
          <w:bCs/>
          <w:sz w:val="28"/>
          <w:szCs w:val="28"/>
        </w:rPr>
      </w:pPr>
      <w:r>
        <w:rPr>
          <w:rFonts w:hint="eastAsia" w:eastAsia="宋体" w:cs="宋体"/>
          <w:b/>
          <w:bCs/>
          <w:sz w:val="28"/>
          <w:szCs w:val="28"/>
          <w:lang w:eastAsia="zh-CN"/>
        </w:rPr>
        <w:t>（二）质量标准和要</w:t>
      </w:r>
      <w:r>
        <w:rPr>
          <w:rFonts w:hint="eastAsia" w:eastAsia="宋体" w:cs="宋体"/>
          <w:b/>
          <w:bCs/>
          <w:sz w:val="28"/>
          <w:szCs w:val="28"/>
        </w:rPr>
        <w:t>求</w:t>
      </w:r>
    </w:p>
    <w:p>
      <w:pPr>
        <w:widowControl/>
        <w:spacing w:line="360" w:lineRule="auto"/>
        <w:ind w:left="-708" w:leftChars="-338" w:hanging="2"/>
        <w:jc w:val="left"/>
        <w:rPr>
          <w:rFonts w:hint="default"/>
          <w:kern w:val="0"/>
          <w:sz w:val="24"/>
          <w:szCs w:val="24"/>
          <w:lang w:val="en-US" w:eastAsia="zh-CN"/>
        </w:rPr>
      </w:pPr>
      <w:r>
        <w:rPr>
          <w:rFonts w:hint="eastAsia"/>
          <w:kern w:val="0"/>
          <w:sz w:val="24"/>
          <w:szCs w:val="24"/>
          <w:lang w:val="en-US" w:eastAsia="zh-CN"/>
        </w:rPr>
        <w:t xml:space="preserve">1.生日蛋糕：要求良质蛋糕，无异味，口感好，无焦糊。加工精度，标样对照：色泽、气味、口味正常。   </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2.职工凭蛋糕劵能够按需要购买生日蛋糕。</w:t>
      </w:r>
    </w:p>
    <w:p>
      <w:pPr>
        <w:widowControl/>
        <w:spacing w:line="360" w:lineRule="auto"/>
        <w:ind w:left="-708" w:leftChars="-338" w:hanging="2"/>
        <w:jc w:val="left"/>
        <w:rPr>
          <w:rFonts w:hint="default" w:ascii="Times New Roman" w:hAnsi="Times New Roman" w:eastAsia="宋体" w:cs="宋体"/>
          <w:b/>
          <w:bCs/>
          <w:color w:val="000000"/>
          <w:kern w:val="0"/>
          <w:sz w:val="28"/>
          <w:szCs w:val="28"/>
          <w:lang w:val="en-US" w:eastAsia="zh-CN" w:bidi="ar-SA"/>
        </w:rPr>
      </w:pPr>
      <w:r>
        <w:rPr>
          <w:rFonts w:hint="eastAsia" w:ascii="Times New Roman" w:hAnsi="Times New Roman" w:eastAsia="宋体" w:cs="宋体"/>
          <w:b/>
          <w:bCs/>
          <w:color w:val="000000"/>
          <w:kern w:val="0"/>
          <w:sz w:val="28"/>
          <w:szCs w:val="28"/>
          <w:lang w:val="en-US" w:eastAsia="zh-CN" w:bidi="ar-SA"/>
        </w:rPr>
        <w:t>(三)报价表（</w:t>
      </w:r>
      <w:r>
        <w:rPr>
          <w:rFonts w:hint="eastAsia" w:cs="宋体"/>
          <w:b/>
          <w:bCs/>
          <w:color w:val="000000"/>
          <w:kern w:val="0"/>
          <w:sz w:val="28"/>
          <w:szCs w:val="28"/>
          <w:lang w:val="en-US" w:eastAsia="zh-CN" w:bidi="ar-SA"/>
        </w:rPr>
        <w:t>详见</w:t>
      </w:r>
      <w:r>
        <w:rPr>
          <w:rFonts w:hint="eastAsia" w:ascii="Times New Roman" w:hAnsi="Times New Roman" w:eastAsia="宋体" w:cs="宋体"/>
          <w:b/>
          <w:bCs/>
          <w:color w:val="000000"/>
          <w:kern w:val="0"/>
          <w:sz w:val="28"/>
          <w:szCs w:val="28"/>
          <w:lang w:val="en-US" w:eastAsia="zh-CN" w:bidi="ar-SA"/>
        </w:rPr>
        <w:t>生日蛋糕劵协议）</w:t>
      </w:r>
    </w:p>
    <w:tbl>
      <w:tblPr>
        <w:tblStyle w:val="12"/>
        <w:tblW w:w="964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740"/>
        <w:gridCol w:w="2850"/>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pStyle w:val="2"/>
              <w:jc w:val="center"/>
              <w:rPr>
                <w:rFonts w:hint="default" w:eastAsia="宋体"/>
                <w:b/>
                <w:bCs/>
                <w:vertAlign w:val="baseline"/>
                <w:lang w:val="en-US" w:eastAsia="zh-CN"/>
              </w:rPr>
            </w:pPr>
            <w:r>
              <w:rPr>
                <w:rFonts w:hint="eastAsia"/>
                <w:b/>
                <w:bCs/>
                <w:vertAlign w:val="baseline"/>
                <w:lang w:val="en-US" w:eastAsia="zh-CN"/>
              </w:rPr>
              <w:t>名称</w:t>
            </w:r>
          </w:p>
        </w:tc>
        <w:tc>
          <w:tcPr>
            <w:tcW w:w="1740" w:type="dxa"/>
          </w:tcPr>
          <w:p>
            <w:pPr>
              <w:pStyle w:val="2"/>
              <w:jc w:val="center"/>
              <w:rPr>
                <w:rFonts w:hint="default" w:eastAsia="宋体"/>
                <w:b/>
                <w:bCs/>
                <w:vertAlign w:val="baseline"/>
                <w:lang w:val="en-US" w:eastAsia="zh-CN"/>
              </w:rPr>
            </w:pPr>
            <w:r>
              <w:rPr>
                <w:rFonts w:hint="eastAsia"/>
                <w:b/>
                <w:bCs/>
                <w:vertAlign w:val="baseline"/>
                <w:lang w:val="en-US" w:eastAsia="zh-CN"/>
              </w:rPr>
              <w:t>数量</w:t>
            </w:r>
          </w:p>
        </w:tc>
        <w:tc>
          <w:tcPr>
            <w:tcW w:w="2850" w:type="dxa"/>
            <w:vAlign w:val="top"/>
          </w:tcPr>
          <w:p>
            <w:pPr>
              <w:pStyle w:val="2"/>
              <w:jc w:val="center"/>
              <w:rPr>
                <w:rFonts w:hint="default" w:eastAsia="宋体"/>
                <w:b/>
                <w:bCs/>
                <w:vertAlign w:val="baseline"/>
                <w:lang w:val="en-US" w:eastAsia="zh-CN"/>
              </w:rPr>
            </w:pPr>
            <w:r>
              <w:rPr>
                <w:rFonts w:hint="eastAsia" w:ascii="宋体" w:hAnsi="宋体" w:cs="宋体"/>
                <w:b/>
                <w:bCs/>
                <w:sz w:val="24"/>
                <w:szCs w:val="24"/>
                <w:lang w:eastAsia="zh-CN"/>
              </w:rPr>
              <w:t>甲方实付金额</w:t>
            </w:r>
          </w:p>
        </w:tc>
        <w:tc>
          <w:tcPr>
            <w:tcW w:w="3300" w:type="dxa"/>
            <w:vAlign w:val="top"/>
          </w:tcPr>
          <w:p>
            <w:pPr>
              <w:pStyle w:val="2"/>
              <w:jc w:val="center"/>
              <w:rPr>
                <w:rFonts w:hint="eastAsia" w:ascii="宋体" w:hAnsi="宋体" w:cs="宋体"/>
                <w:b/>
                <w:bCs/>
                <w:sz w:val="24"/>
                <w:szCs w:val="24"/>
                <w:lang w:eastAsia="zh-CN"/>
              </w:rPr>
            </w:pPr>
            <w:r>
              <w:rPr>
                <w:rFonts w:hint="eastAsia" w:ascii="宋体" w:hAnsi="宋体" w:cs="宋体"/>
                <w:b/>
                <w:bCs/>
                <w:kern w:val="0"/>
                <w:sz w:val="24"/>
                <w:szCs w:val="24"/>
                <w:lang w:val="en-US" w:eastAsia="zh-CN"/>
              </w:rPr>
              <w:t>乙方</w:t>
            </w:r>
            <w:r>
              <w:rPr>
                <w:rFonts w:hint="eastAsia" w:ascii="宋体" w:hAnsi="宋体" w:eastAsia="宋体" w:cs="宋体"/>
                <w:b/>
                <w:bCs/>
                <w:kern w:val="0"/>
                <w:sz w:val="24"/>
                <w:szCs w:val="24"/>
                <w:lang w:val="en-US" w:eastAsia="zh-CN"/>
              </w:rPr>
              <w:t>生日蛋糕（券）</w:t>
            </w:r>
            <w:r>
              <w:rPr>
                <w:rFonts w:hint="eastAsia" w:ascii="宋体" w:hAnsi="宋体" w:cs="宋体"/>
                <w:b/>
                <w:bCs/>
                <w:kern w:val="0"/>
                <w:sz w:val="24"/>
                <w:szCs w:val="24"/>
                <w:lang w:val="en-US" w:eastAsia="zh-CN"/>
              </w:rPr>
              <w:t>面额报价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755" w:type="dxa"/>
          </w:tcPr>
          <w:p>
            <w:pPr>
              <w:pStyle w:val="2"/>
              <w:jc w:val="both"/>
              <w:rPr>
                <w:rFonts w:hint="default" w:eastAsia="宋体"/>
                <w:b w:val="0"/>
                <w:bCs w:val="0"/>
                <w:sz w:val="24"/>
                <w:szCs w:val="24"/>
                <w:vertAlign w:val="baseline"/>
                <w:lang w:val="en-US" w:eastAsia="zh-CN"/>
              </w:rPr>
            </w:pPr>
            <w:r>
              <w:rPr>
                <w:rFonts w:hint="eastAsia" w:ascii="宋体" w:hAnsi="宋体" w:eastAsia="宋体" w:cs="宋体"/>
                <w:b w:val="0"/>
                <w:bCs w:val="0"/>
                <w:kern w:val="0"/>
                <w:sz w:val="24"/>
                <w:szCs w:val="24"/>
                <w:lang w:val="en-US" w:eastAsia="zh-CN"/>
              </w:rPr>
              <w:t>生日蛋糕（券）</w:t>
            </w:r>
          </w:p>
        </w:tc>
        <w:tc>
          <w:tcPr>
            <w:tcW w:w="1740" w:type="dxa"/>
          </w:tcPr>
          <w:p>
            <w:pPr>
              <w:pStyle w:val="2"/>
              <w:jc w:val="both"/>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约1500人（以实际成交量为准）</w:t>
            </w:r>
          </w:p>
        </w:tc>
        <w:tc>
          <w:tcPr>
            <w:tcW w:w="2850" w:type="dxa"/>
            <w:vAlign w:val="top"/>
          </w:tcPr>
          <w:p>
            <w:pPr>
              <w:pStyle w:val="2"/>
              <w:jc w:val="both"/>
              <w:rPr>
                <w:rFonts w:hint="default" w:eastAsia="宋体"/>
                <w:b/>
                <w:bCs/>
                <w:sz w:val="24"/>
                <w:szCs w:val="24"/>
                <w:vertAlign w:val="baseline"/>
                <w:lang w:val="en-US" w:eastAsia="zh-CN"/>
              </w:rPr>
            </w:pPr>
            <w:r>
              <w:rPr>
                <w:rFonts w:hint="eastAsia"/>
                <w:sz w:val="28"/>
                <w:szCs w:val="28"/>
                <w:u w:val="none"/>
                <w:lang w:eastAsia="zh-CN"/>
              </w:rPr>
              <w:t>贰</w:t>
            </w:r>
            <w:r>
              <w:rPr>
                <w:rFonts w:hint="eastAsia"/>
                <w:sz w:val="28"/>
                <w:szCs w:val="28"/>
                <w:u w:val="none"/>
              </w:rPr>
              <w:t>佰元/每人</w:t>
            </w:r>
            <w:r>
              <w:rPr>
                <w:rFonts w:hint="eastAsia"/>
                <w:sz w:val="28"/>
                <w:szCs w:val="28"/>
                <w:u w:val="none"/>
                <w:lang w:val="en-US" w:eastAsia="zh-CN"/>
              </w:rPr>
              <w:t xml:space="preserve">  </w:t>
            </w:r>
            <w:r>
              <w:rPr>
                <w:rFonts w:hint="eastAsia"/>
                <w:sz w:val="28"/>
                <w:szCs w:val="28"/>
                <w:u w:val="none"/>
              </w:rPr>
              <w:t>（小写：</w:t>
            </w:r>
            <w:r>
              <w:rPr>
                <w:rFonts w:hint="eastAsia"/>
                <w:sz w:val="28"/>
                <w:szCs w:val="28"/>
                <w:u w:val="none"/>
                <w:lang w:val="en-US" w:eastAsia="zh-CN"/>
              </w:rPr>
              <w:t>200</w:t>
            </w:r>
            <w:r>
              <w:rPr>
                <w:rFonts w:hint="eastAsia"/>
                <w:sz w:val="28"/>
                <w:szCs w:val="28"/>
                <w:u w:val="none"/>
              </w:rPr>
              <w:t>.00元/人）</w:t>
            </w:r>
          </w:p>
        </w:tc>
        <w:tc>
          <w:tcPr>
            <w:tcW w:w="3300" w:type="dxa"/>
            <w:vAlign w:val="top"/>
          </w:tcPr>
          <w:p>
            <w:pPr>
              <w:pStyle w:val="2"/>
              <w:jc w:val="both"/>
              <w:rPr>
                <w:rFonts w:hint="eastAsia" w:ascii="宋体" w:hAnsi="宋体" w:eastAsia="宋体" w:cs="宋体"/>
                <w:b w:val="0"/>
                <w:bCs w:val="0"/>
                <w:sz w:val="24"/>
                <w:szCs w:val="24"/>
                <w:lang w:eastAsia="zh-CN"/>
              </w:rPr>
            </w:pPr>
          </w:p>
        </w:tc>
      </w:tr>
    </w:tbl>
    <w:p>
      <w:pPr>
        <w:pStyle w:val="2"/>
        <w:rPr>
          <w:rFonts w:hint="eastAsia"/>
          <w:lang w:val="en-US" w:eastAsia="zh-CN"/>
        </w:rPr>
      </w:pPr>
    </w:p>
    <w:p>
      <w:pPr>
        <w:widowControl/>
        <w:spacing w:line="360" w:lineRule="auto"/>
        <w:ind w:left="-708" w:leftChars="-338" w:hanging="2"/>
        <w:jc w:val="left"/>
        <w:rPr>
          <w:rFonts w:hint="eastAsia" w:ascii="Times New Roman" w:hAnsi="Times New Roman" w:eastAsia="宋体" w:cs="宋体"/>
          <w:b/>
          <w:bCs/>
          <w:color w:val="000000"/>
          <w:kern w:val="0"/>
          <w:sz w:val="28"/>
          <w:szCs w:val="28"/>
          <w:lang w:val="en-US" w:eastAsia="zh-CN" w:bidi="ar-SA"/>
        </w:rPr>
      </w:pPr>
      <w:r>
        <w:rPr>
          <w:rFonts w:hint="eastAsia" w:ascii="Times New Roman" w:hAnsi="Times New Roman" w:eastAsia="宋体" w:cs="宋体"/>
          <w:b/>
          <w:bCs/>
          <w:color w:val="000000"/>
          <w:kern w:val="0"/>
          <w:sz w:val="28"/>
          <w:szCs w:val="28"/>
          <w:lang w:val="en-US" w:eastAsia="zh-CN" w:bidi="ar-SA"/>
        </w:rPr>
        <w:t>二、招标、评标方式</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1.对所有投标方的材料标的物的报价、质量、资信、办厂规模与硬件设施四方面进行综合评价、选择，最后以综合评分法评选出最高分的应标单位确定为本次招标项目的中标单位。</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2.需附上样品图片</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样品图片包括：（1）生日卡片；（2）价值200元蛋糕的样品图片。</w:t>
      </w:r>
    </w:p>
    <w:p>
      <w:pPr>
        <w:widowControl/>
        <w:spacing w:line="360" w:lineRule="auto"/>
        <w:ind w:left="-708" w:leftChars="-338" w:hanging="2"/>
        <w:jc w:val="left"/>
        <w:rPr>
          <w:rFonts w:hint="eastAsia" w:ascii="Times New Roman" w:hAnsi="Times New Roman" w:eastAsia="宋体" w:cs="宋体"/>
          <w:b/>
          <w:bCs/>
          <w:color w:val="000000"/>
          <w:kern w:val="0"/>
          <w:sz w:val="28"/>
          <w:szCs w:val="28"/>
          <w:lang w:val="en-US" w:eastAsia="zh-CN" w:bidi="ar-SA"/>
        </w:rPr>
      </w:pPr>
      <w:r>
        <w:rPr>
          <w:rFonts w:hint="eastAsia" w:cs="宋体"/>
          <w:b/>
          <w:bCs/>
          <w:color w:val="000000"/>
          <w:kern w:val="0"/>
          <w:sz w:val="28"/>
          <w:szCs w:val="28"/>
          <w:lang w:val="en-US" w:eastAsia="zh-CN" w:bidi="ar-SA"/>
        </w:rPr>
        <w:t>三</w:t>
      </w:r>
      <w:r>
        <w:rPr>
          <w:rFonts w:hint="eastAsia" w:ascii="Times New Roman" w:hAnsi="Times New Roman" w:eastAsia="宋体" w:cs="宋体"/>
          <w:b/>
          <w:bCs/>
          <w:color w:val="000000"/>
          <w:kern w:val="0"/>
          <w:sz w:val="28"/>
          <w:szCs w:val="28"/>
          <w:lang w:val="en-US" w:eastAsia="zh-CN" w:bidi="ar-SA"/>
        </w:rPr>
        <w:t>、采购要求</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1．中标人按中标通知书指定的时间、地点与招标方签订合同。招标文件、中标人的投标书均为签订合同依据。</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2..具体合作协议待确定中标单位后另行商议，如因政策原因需撤销合作的互不追责。</w:t>
      </w:r>
    </w:p>
    <w:p>
      <w:pPr>
        <w:widowControl/>
        <w:spacing w:line="360" w:lineRule="auto"/>
        <w:ind w:left="-708" w:leftChars="-338" w:hanging="2"/>
        <w:jc w:val="left"/>
        <w:rPr>
          <w:kern w:val="0"/>
          <w:sz w:val="24"/>
          <w:szCs w:val="24"/>
        </w:rPr>
      </w:pPr>
      <w:r>
        <w:rPr>
          <w:rFonts w:hint="eastAsia" w:cs="宋体"/>
          <w:b/>
          <w:bCs/>
          <w:color w:val="000000"/>
          <w:kern w:val="0"/>
          <w:sz w:val="28"/>
          <w:szCs w:val="28"/>
          <w:lang w:val="en-US" w:eastAsia="zh-CN" w:bidi="ar-SA"/>
        </w:rPr>
        <w:t>四</w:t>
      </w:r>
      <w:r>
        <w:rPr>
          <w:rFonts w:hint="eastAsia" w:ascii="Times New Roman" w:hAnsi="Times New Roman" w:eastAsia="宋体" w:cs="宋体"/>
          <w:b/>
          <w:bCs/>
          <w:color w:val="000000"/>
          <w:kern w:val="0"/>
          <w:sz w:val="28"/>
          <w:szCs w:val="28"/>
          <w:lang w:val="en-US" w:eastAsia="zh-CN" w:bidi="ar-SA"/>
        </w:rPr>
        <w:t>、交货地点为：</w:t>
      </w:r>
      <w:r>
        <w:rPr>
          <w:rFonts w:hint="eastAsia" w:cs="宋体"/>
          <w:kern w:val="0"/>
          <w:sz w:val="24"/>
          <w:szCs w:val="24"/>
          <w:highlight w:val="yellow"/>
        </w:rPr>
        <w:t>广西壮族自治区桂东人民医院</w:t>
      </w:r>
      <w:r>
        <w:rPr>
          <w:rFonts w:hint="eastAsia" w:cs="宋体"/>
          <w:kern w:val="0"/>
          <w:sz w:val="24"/>
          <w:szCs w:val="24"/>
          <w:highlight w:val="yellow"/>
          <w:lang w:eastAsia="zh-CN"/>
        </w:rPr>
        <w:t>指定地点</w:t>
      </w:r>
      <w:r>
        <w:rPr>
          <w:kern w:val="0"/>
          <w:sz w:val="24"/>
          <w:szCs w:val="24"/>
        </w:rPr>
        <w:t xml:space="preserve">     </w:t>
      </w:r>
    </w:p>
    <w:p>
      <w:pPr>
        <w:widowControl/>
        <w:spacing w:line="360" w:lineRule="auto"/>
        <w:ind w:left="-708" w:leftChars="-338" w:hanging="2"/>
        <w:jc w:val="left"/>
        <w:rPr>
          <w:rFonts w:hint="eastAsia" w:ascii="Times New Roman" w:hAnsi="Times New Roman" w:eastAsia="宋体" w:cs="宋体"/>
          <w:b/>
          <w:bCs/>
          <w:color w:val="000000"/>
          <w:kern w:val="0"/>
          <w:sz w:val="28"/>
          <w:szCs w:val="28"/>
          <w:lang w:val="en-US" w:eastAsia="zh-CN" w:bidi="ar-SA"/>
        </w:rPr>
      </w:pPr>
      <w:r>
        <w:rPr>
          <w:rFonts w:hint="eastAsia" w:cs="宋体"/>
          <w:b/>
          <w:bCs/>
          <w:color w:val="000000"/>
          <w:kern w:val="0"/>
          <w:sz w:val="28"/>
          <w:szCs w:val="28"/>
          <w:lang w:val="en-US" w:eastAsia="zh-CN" w:bidi="ar-SA"/>
        </w:rPr>
        <w:t>五</w:t>
      </w:r>
      <w:r>
        <w:rPr>
          <w:rFonts w:hint="eastAsia" w:ascii="Times New Roman" w:hAnsi="Times New Roman" w:eastAsia="宋体" w:cs="宋体"/>
          <w:b/>
          <w:bCs/>
          <w:color w:val="000000"/>
          <w:kern w:val="0"/>
          <w:sz w:val="28"/>
          <w:szCs w:val="28"/>
          <w:lang w:val="en-US" w:eastAsia="zh-CN" w:bidi="ar-SA"/>
        </w:rPr>
        <w:t>、付款方式：</w:t>
      </w:r>
    </w:p>
    <w:p>
      <w:pPr>
        <w:widowControl/>
        <w:spacing w:line="360" w:lineRule="auto"/>
        <w:ind w:left="-468" w:leftChars="-223" w:firstLine="477" w:firstLineChars="199"/>
        <w:jc w:val="left"/>
        <w:rPr>
          <w:rFonts w:hint="eastAsia"/>
          <w:kern w:val="0"/>
          <w:sz w:val="24"/>
          <w:szCs w:val="24"/>
          <w:lang w:val="en-US" w:eastAsia="zh-CN"/>
        </w:rPr>
      </w:pPr>
      <w:r>
        <w:rPr>
          <w:rFonts w:hint="eastAsia"/>
          <w:kern w:val="0"/>
          <w:sz w:val="24"/>
          <w:szCs w:val="24"/>
          <w:lang w:val="en-US" w:eastAsia="zh-CN"/>
        </w:rPr>
        <w:t>无预付采购金，收到医院职工生日蛋糕（劵）后，按签订合同数量结算，两个月内一次性付清款项。</w:t>
      </w:r>
    </w:p>
    <w:p>
      <w:pPr>
        <w:widowControl/>
        <w:spacing w:line="360" w:lineRule="auto"/>
        <w:ind w:left="-708" w:leftChars="-338" w:hanging="2"/>
        <w:jc w:val="left"/>
        <w:rPr>
          <w:rFonts w:hint="eastAsia" w:ascii="Times New Roman" w:hAnsi="Times New Roman" w:eastAsia="宋体" w:cs="宋体"/>
          <w:b/>
          <w:bCs/>
          <w:color w:val="000000"/>
          <w:kern w:val="0"/>
          <w:sz w:val="28"/>
          <w:szCs w:val="28"/>
          <w:lang w:val="en-US" w:eastAsia="zh-CN" w:bidi="ar-SA"/>
        </w:rPr>
      </w:pPr>
      <w:r>
        <w:rPr>
          <w:rFonts w:hint="eastAsia" w:cs="宋体"/>
          <w:b/>
          <w:bCs/>
          <w:color w:val="000000"/>
          <w:kern w:val="0"/>
          <w:sz w:val="28"/>
          <w:szCs w:val="28"/>
          <w:lang w:val="en-US" w:eastAsia="zh-CN" w:bidi="ar-SA"/>
        </w:rPr>
        <w:t>六</w:t>
      </w:r>
      <w:r>
        <w:rPr>
          <w:rFonts w:hint="eastAsia" w:ascii="Times New Roman" w:hAnsi="Times New Roman" w:eastAsia="宋体" w:cs="宋体"/>
          <w:b/>
          <w:bCs/>
          <w:color w:val="000000"/>
          <w:kern w:val="0"/>
          <w:sz w:val="28"/>
          <w:szCs w:val="28"/>
          <w:lang w:val="en-US" w:eastAsia="zh-CN" w:bidi="ar-SA"/>
        </w:rPr>
        <w:t>、重新招标：</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有下列情形之一的，招标人将重新招标：</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1、投标截止时间止，投标人少于3个的；</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2、经评标工作小组评审后否决所有投标的。</w:t>
      </w:r>
    </w:p>
    <w:p>
      <w:pPr>
        <w:widowControl/>
        <w:spacing w:line="360" w:lineRule="auto"/>
        <w:ind w:left="-708" w:leftChars="-338" w:hanging="2"/>
        <w:jc w:val="left"/>
        <w:rPr>
          <w:rFonts w:hint="eastAsia"/>
          <w:kern w:val="0"/>
          <w:sz w:val="24"/>
          <w:szCs w:val="24"/>
          <w:lang w:val="en-US" w:eastAsia="zh-CN"/>
        </w:rPr>
      </w:pPr>
      <w:r>
        <w:rPr>
          <w:rFonts w:hint="eastAsia" w:cs="宋体"/>
          <w:b/>
          <w:bCs/>
          <w:color w:val="000000"/>
          <w:kern w:val="0"/>
          <w:sz w:val="28"/>
          <w:szCs w:val="28"/>
          <w:lang w:val="en-US" w:eastAsia="zh-CN" w:bidi="ar-SA"/>
        </w:rPr>
        <w:t>七</w:t>
      </w:r>
      <w:r>
        <w:rPr>
          <w:rFonts w:hint="eastAsia" w:ascii="Times New Roman" w:hAnsi="Times New Roman" w:eastAsia="宋体" w:cs="宋体"/>
          <w:b/>
          <w:bCs/>
          <w:color w:val="000000"/>
          <w:kern w:val="0"/>
          <w:sz w:val="28"/>
          <w:szCs w:val="28"/>
          <w:lang w:val="en-US" w:eastAsia="zh-CN" w:bidi="ar-SA"/>
        </w:rPr>
        <w:t>、投标注意事项：</w:t>
      </w:r>
      <w:r>
        <w:rPr>
          <w:rFonts w:hint="eastAsia"/>
          <w:kern w:val="0"/>
          <w:sz w:val="24"/>
          <w:szCs w:val="24"/>
          <w:lang w:val="en-US" w:eastAsia="zh-CN"/>
        </w:rPr>
        <w:t>有下列情形之一的，评标小组否决其投标：</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（一）投标文件未经投标单位盖章和单位负责人签字；</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（二）投标联合体没有提交共同投标协议；</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（三）投标人不符合国家或者招标文件规定的资格条件；</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（四）同一投标人提交两个以上不同的投标文件或者投标报价，但招标文件要求提交备选投标的除外；</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（五）投标报价低于成本或者高于招标文件设定的最高投标限价；</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（六）投标文件没有对招标文件的实质性要求和条件作出响应；</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（七）投标人有串通投标、弄虚作假、行贿等违法行为。</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（八）有下列情形之一的视为投标人相互串通投标，投标文件将被视为无效</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1.不同投标人的投标文件由同一单位或者个人编制；或不同投标人报名的IP地址一致的;</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2.不同投标人委托同一单位或者个人办理投标事宜;</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3.不同的投标人的投标文件载明的项目管理员为同一个人;</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4.不同投标人的投标文件异常一致或投标报价呈规律性差异;</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5.不同投标人的投标文件相互混装;</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6.不同投标人的投标保证金从同一单位或者个人账户转出。</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（九）供应商有下列情形之一的，属于恶意串通行为</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1.供应商直接或者间接从采购人或者采购代理机构处获得其他供应商的相关信息并修改其投标文件或者响应文件;</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2.供应商按照采购人或者采购代理机构的授意撤换、修改投标文件或者响应文件;</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3.供应商之间协商报价、技术方案等投标文件或者响应文件的实质性内容;</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4.属于同一集团、协会、商会等组织成员的供应商按照该组织要求协同参加政府采购活动;</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5.供应商之间事先约定一致抬高或者压低投标报价,或者在招标项目中事先约定轮流以高价位或者低价位中标,或者事先约定由某一特定供应商中标,然后再参加投标;</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6.供应商之间商定部分供应商放弃参加政府采购活动或者放弃中标;</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7.供应商与采购人或者采购代理机构之间、供应商相互之间，为谋求特定供应商中标或者排斥其他供应商的其他串通行为。</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4"/>
          <w:szCs w:val="24"/>
          <w:lang w:eastAsia="zh-CN"/>
        </w:rPr>
        <w:t>八</w:t>
      </w:r>
      <w:r>
        <w:rPr>
          <w:rFonts w:hint="eastAsia" w:cs="宋体"/>
          <w:b/>
          <w:bCs/>
          <w:kern w:val="0"/>
          <w:sz w:val="28"/>
          <w:szCs w:val="28"/>
        </w:rPr>
        <w:t>、合同签订</w:t>
      </w:r>
    </w:p>
    <w:p>
      <w:pPr>
        <w:widowControl/>
        <w:spacing w:line="360" w:lineRule="auto"/>
        <w:ind w:left="-708" w:leftChars="-338" w:hanging="2"/>
        <w:jc w:val="left"/>
      </w:pPr>
      <w:r>
        <w:rPr>
          <w:rFonts w:hint="eastAsia" w:cs="宋体"/>
          <w:kern w:val="0"/>
          <w:sz w:val="24"/>
          <w:szCs w:val="24"/>
        </w:rPr>
        <w:t>招标人和中标人应当自公示结束后</w:t>
      </w:r>
      <w:sdt>
        <w:sdtPr>
          <w:rPr>
            <w:rFonts w:hint="default" w:cs="宋体"/>
            <w:kern w:val="0"/>
            <w:sz w:val="24"/>
            <w:szCs w:val="24"/>
            <w:lang w:val="en-US"/>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lang w:val="en-US"/>
          </w:rPr>
        </w:sdtEndPr>
        <w:sdtContent>
          <w:r>
            <w:rPr>
              <w:rFonts w:hint="eastAsia" w:cs="宋体"/>
              <w:kern w:val="0"/>
              <w:sz w:val="24"/>
              <w:szCs w:val="24"/>
              <w:lang w:val="en-US" w:eastAsia="zh-CN"/>
            </w:rPr>
            <w:t xml:space="preserve">30 </w:t>
          </w:r>
        </w:sdtContent>
      </w:sdt>
      <w:r>
        <w:rPr>
          <w:rFonts w:hint="eastAsia" w:cs="宋体"/>
          <w:color w:val="FF0000"/>
          <w:kern w:val="0"/>
          <w:sz w:val="24"/>
          <w:szCs w:val="24"/>
          <w:u w:val="single"/>
          <w:lang w:val="en-US" w:eastAsia="zh-CN"/>
        </w:rPr>
        <w:t>个</w:t>
      </w:r>
      <w:r>
        <w:rPr>
          <w:rFonts w:hint="eastAsia" w:cs="宋体"/>
          <w:kern w:val="0"/>
          <w:sz w:val="24"/>
          <w:szCs w:val="24"/>
          <w:lang w:val="en-US" w:eastAsia="zh-CN"/>
        </w:rPr>
        <w:t>历日</w:t>
      </w:r>
      <w:r>
        <w:rPr>
          <w:rFonts w:hint="eastAsia" w:cs="宋体"/>
          <w:kern w:val="0"/>
          <w:sz w:val="24"/>
          <w:szCs w:val="24"/>
        </w:rPr>
        <w:t>内签订采购合同。</w:t>
      </w:r>
      <w:bookmarkStart w:id="16" w:name="_GoBack"/>
      <w:bookmarkEnd w:id="16"/>
    </w:p>
    <w:p>
      <w:pPr>
        <w:widowControl/>
        <w:spacing w:line="360" w:lineRule="auto"/>
        <w:ind w:left="-708" w:leftChars="-338" w:hanging="2"/>
        <w:jc w:val="left"/>
        <w:rPr>
          <w:rFonts w:cs="宋体"/>
          <w:b/>
          <w:bCs/>
          <w:kern w:val="0"/>
          <w:sz w:val="28"/>
          <w:szCs w:val="28"/>
        </w:rPr>
      </w:pPr>
      <w:r>
        <w:rPr>
          <w:rFonts w:hint="eastAsia" w:cs="宋体"/>
          <w:b/>
          <w:bCs/>
          <w:kern w:val="0"/>
          <w:sz w:val="28"/>
          <w:szCs w:val="28"/>
          <w:lang w:eastAsia="zh-CN"/>
        </w:rPr>
        <w:t>八</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p>
    <w:p>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b/>
          <w:bCs/>
          <w:kern w:val="0"/>
          <w:sz w:val="24"/>
          <w:szCs w:val="24"/>
          <w:u w:val="single"/>
        </w:rPr>
        <w:t xml:space="preserve"> </w:t>
      </w:r>
      <w:sdt>
        <w:sdtPr>
          <w:rPr>
            <w:rFonts w:hint="eastAsia" w:cs="宋体"/>
            <w:b/>
            <w:bCs/>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b/>
            <w:bCs/>
            <w:kern w:val="0"/>
            <w:sz w:val="24"/>
            <w:szCs w:val="24"/>
            <w:u w:val="single"/>
          </w:rPr>
        </w:sdtEndPr>
        <w:sdtContent>
          <w:r>
            <w:rPr>
              <w:rFonts w:hint="eastAsia" w:cs="宋体"/>
              <w:b/>
              <w:bCs/>
              <w:kern w:val="0"/>
              <w:sz w:val="24"/>
              <w:szCs w:val="24"/>
              <w:u w:val="single"/>
              <w:lang w:eastAsia="zh-CN"/>
            </w:rPr>
            <w:t>综合评分法</w:t>
          </w:r>
        </w:sdtContent>
      </w:sdt>
      <w:r>
        <w:rPr>
          <w:rFonts w:cs="宋体"/>
          <w:kern w:val="0"/>
          <w:sz w:val="24"/>
          <w:szCs w:val="24"/>
          <w:u w:val="single"/>
        </w:rPr>
        <w:t xml:space="preserve"> </w:t>
      </w:r>
      <w:r>
        <w:rPr>
          <w:rFonts w:hint="eastAsia" w:cs="宋体"/>
          <w:kern w:val="0"/>
          <w:sz w:val="24"/>
          <w:szCs w:val="24"/>
        </w:rPr>
        <w:t>确定中标候选人。</w:t>
      </w:r>
    </w:p>
    <w:p>
      <w:pPr>
        <w:pStyle w:val="2"/>
        <w:rPr>
          <w:rFonts w:hint="eastAsia" w:ascii="Times New Roman" w:hAnsi="Times New Roman" w:eastAsia="宋体" w:cs="宋体"/>
          <w:b/>
          <w:bCs/>
          <w:color w:val="auto"/>
          <w:kern w:val="0"/>
          <w:sz w:val="28"/>
          <w:szCs w:val="28"/>
          <w:lang w:val="en-US" w:eastAsia="zh-CN" w:bidi="ar-SA"/>
        </w:rPr>
      </w:pPr>
      <w:r>
        <w:rPr>
          <w:rFonts w:hint="eastAsia" w:ascii="Times New Roman" w:hAnsi="Times New Roman" w:eastAsia="宋体" w:cs="宋体"/>
          <w:b/>
          <w:bCs/>
          <w:color w:val="auto"/>
          <w:kern w:val="0"/>
          <w:sz w:val="28"/>
          <w:szCs w:val="28"/>
          <w:lang w:val="en-US" w:eastAsia="zh-CN" w:bidi="ar-SA"/>
        </w:rPr>
        <w:t>二、具体评分标准</w:t>
      </w:r>
    </w:p>
    <w:tbl>
      <w:tblPr>
        <w:tblStyle w:val="11"/>
        <w:tblpPr w:leftFromText="180" w:rightFromText="180" w:vertAnchor="text" w:horzAnchor="page" w:tblpX="1132" w:tblpY="605"/>
        <w:tblOverlap w:val="never"/>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
        <w:gridCol w:w="960"/>
        <w:gridCol w:w="7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dxa"/>
            <w:vAlign w:val="center"/>
          </w:tcPr>
          <w:p>
            <w:pPr>
              <w:pStyle w:val="5"/>
              <w:spacing w:line="400" w:lineRule="exact"/>
              <w:outlineLvl w:val="0"/>
              <w:rPr>
                <w:rFonts w:hAnsi="宋体" w:eastAsia="宋体" w:cs="新宋体"/>
                <w:color w:val="000000" w:themeColor="text1"/>
                <w:sz w:val="18"/>
                <w:szCs w:val="18"/>
                <w14:textFill>
                  <w14:solidFill>
                    <w14:schemeClr w14:val="tx1"/>
                  </w14:solidFill>
                </w14:textFill>
              </w:rPr>
            </w:pPr>
            <w:bookmarkStart w:id="0" w:name="_Toc21817"/>
            <w:bookmarkStart w:id="1" w:name="_Toc26507"/>
            <w:r>
              <w:rPr>
                <w:rFonts w:hint="eastAsia" w:hAnsi="宋体" w:eastAsia="宋体" w:cs="新宋体"/>
                <w:color w:val="000000" w:themeColor="text1"/>
                <w:sz w:val="18"/>
                <w:szCs w:val="18"/>
                <w14:textFill>
                  <w14:solidFill>
                    <w14:schemeClr w14:val="tx1"/>
                  </w14:solidFill>
                </w14:textFill>
              </w:rPr>
              <w:t>1</w:t>
            </w:r>
            <w:bookmarkEnd w:id="0"/>
            <w:bookmarkEnd w:id="1"/>
          </w:p>
        </w:tc>
        <w:tc>
          <w:tcPr>
            <w:tcW w:w="960" w:type="dxa"/>
            <w:vAlign w:val="center"/>
          </w:tcPr>
          <w:p>
            <w:pPr>
              <w:pStyle w:val="5"/>
              <w:spacing w:line="400" w:lineRule="exact"/>
              <w:outlineLvl w:val="0"/>
              <w:rPr>
                <w:rFonts w:hAnsi="宋体" w:eastAsia="宋体" w:cs="新宋体"/>
                <w:color w:val="000000" w:themeColor="text1"/>
                <w:sz w:val="18"/>
                <w:szCs w:val="18"/>
                <w14:textFill>
                  <w14:solidFill>
                    <w14:schemeClr w14:val="tx1"/>
                  </w14:solidFill>
                </w14:textFill>
              </w:rPr>
            </w:pPr>
            <w:bookmarkStart w:id="2" w:name="_Toc9891"/>
            <w:bookmarkStart w:id="3" w:name="_Toc11429"/>
            <w:r>
              <w:rPr>
                <w:rFonts w:hint="eastAsia" w:hAnsi="宋体" w:eastAsia="宋体" w:cs="新宋体"/>
                <w:color w:val="000000" w:themeColor="text1"/>
                <w:sz w:val="18"/>
                <w:szCs w:val="18"/>
                <w14:textFill>
                  <w14:solidFill>
                    <w14:schemeClr w14:val="tx1"/>
                  </w14:solidFill>
                </w14:textFill>
              </w:rPr>
              <w:t>价格分</w:t>
            </w:r>
            <w:r>
              <w:rPr>
                <w:rFonts w:hint="eastAsia" w:hAnsi="宋体" w:eastAsia="宋体" w:cs="新宋体"/>
                <w:color w:val="000000" w:themeColor="text1"/>
                <w:sz w:val="18"/>
                <w:szCs w:val="18"/>
                <w:lang w:eastAsia="zh-CN"/>
                <w14:textFill>
                  <w14:solidFill>
                    <w14:schemeClr w14:val="tx1"/>
                  </w14:solidFill>
                </w14:textFill>
              </w:rPr>
              <w:t>（</w:t>
            </w:r>
            <w:r>
              <w:rPr>
                <w:rFonts w:hint="eastAsia" w:hAnsi="宋体" w:eastAsia="宋体" w:cs="新宋体"/>
                <w:color w:val="000000" w:themeColor="text1"/>
                <w:sz w:val="18"/>
                <w:szCs w:val="18"/>
                <w14:textFill>
                  <w14:solidFill>
                    <w14:schemeClr w14:val="tx1"/>
                  </w14:solidFill>
                </w14:textFill>
              </w:rPr>
              <w:t>40分）</w:t>
            </w:r>
            <w:bookmarkEnd w:id="2"/>
            <w:bookmarkEnd w:id="3"/>
          </w:p>
        </w:tc>
        <w:tc>
          <w:tcPr>
            <w:tcW w:w="7934" w:type="dxa"/>
          </w:tcPr>
          <w:p>
            <w:pPr>
              <w:pStyle w:val="5"/>
              <w:spacing w:line="400" w:lineRule="exact"/>
              <w:outlineLvl w:val="0"/>
              <w:rPr>
                <w:rFonts w:hAnsi="宋体" w:eastAsia="宋体" w:cs="新宋体"/>
                <w:color w:val="000000" w:themeColor="text1"/>
                <w:sz w:val="18"/>
                <w:szCs w:val="18"/>
                <w14:textFill>
                  <w14:solidFill>
                    <w14:schemeClr w14:val="tx1"/>
                  </w14:solidFill>
                </w14:textFill>
              </w:rPr>
            </w:pPr>
            <w:r>
              <w:rPr>
                <w:rStyle w:val="20"/>
                <w:rFonts w:hint="default" w:cs="新宋体"/>
                <w:color w:val="000000" w:themeColor="text1"/>
                <w:sz w:val="18"/>
                <w:szCs w:val="18"/>
                <w14:textFill>
                  <w14:solidFill>
                    <w14:schemeClr w14:val="tx1"/>
                  </w14:solidFill>
                </w14:textFill>
              </w:rPr>
              <w:t>价格分采用低价优先法计算，即满足投标文件要求且投标价格最低的投标报价为评标基价，其价格分为满分。其他投标人的价格分统一按照下列公式计算：</w:t>
            </w:r>
          </w:p>
          <w:p>
            <w:pPr>
              <w:pStyle w:val="5"/>
              <w:spacing w:line="400" w:lineRule="exact"/>
              <w:ind w:left="321" w:hanging="181" w:hangingChars="100"/>
              <w:outlineLvl w:val="0"/>
              <w:rPr>
                <w:rFonts w:hAnsi="宋体" w:eastAsia="宋体" w:cs="新宋体"/>
                <w:color w:val="000000" w:themeColor="text1"/>
                <w:sz w:val="18"/>
                <w:szCs w:val="18"/>
                <w14:textFill>
                  <w14:solidFill>
                    <w14:schemeClr w14:val="tx1"/>
                  </w14:solidFill>
                </w14:textFill>
              </w:rPr>
            </w:pPr>
            <w:r>
              <w:rPr>
                <w:rStyle w:val="20"/>
                <w:rFonts w:hint="default" w:cs="新宋体"/>
                <w:b/>
                <w:color w:val="000000" w:themeColor="text1"/>
                <w:sz w:val="18"/>
                <w:szCs w:val="18"/>
                <w14:textFill>
                  <w14:solidFill>
                    <w14:schemeClr w14:val="tx1"/>
                  </w14:solidFill>
                </w14:textFill>
              </w:rPr>
              <w:t>投标报价得分=（评标基准价/投标报价）×40</w:t>
            </w:r>
            <w:r>
              <w:rPr>
                <w:rStyle w:val="20"/>
                <w:rFonts w:hint="default" w:cs="新宋体"/>
                <w:color w:val="000000" w:themeColor="text1"/>
                <w:sz w:val="18"/>
                <w:szCs w:val="18"/>
                <w14:textFill>
                  <w14:solidFill>
                    <w14:schemeClr w14:val="tx1"/>
                  </w14:solidFill>
                </w14:textFill>
              </w:rPr>
              <w:t>评标过程中，不得去掉报价中的最高报价和最低报价。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03" w:type="dxa"/>
            <w:vMerge w:val="restart"/>
            <w:vAlign w:val="center"/>
          </w:tcPr>
          <w:p>
            <w:pPr>
              <w:pStyle w:val="5"/>
              <w:spacing w:line="400" w:lineRule="exact"/>
              <w:jc w:val="center"/>
              <w:outlineLvl w:val="0"/>
              <w:rPr>
                <w:rFonts w:hAnsi="宋体" w:eastAsia="宋体" w:cs="新宋体"/>
                <w:color w:val="000000" w:themeColor="text1"/>
                <w:sz w:val="18"/>
                <w:szCs w:val="18"/>
                <w14:textFill>
                  <w14:solidFill>
                    <w14:schemeClr w14:val="tx1"/>
                  </w14:solidFill>
                </w14:textFill>
              </w:rPr>
            </w:pPr>
            <w:bookmarkStart w:id="4" w:name="_Toc898"/>
            <w:bookmarkStart w:id="5" w:name="_Toc8323"/>
            <w:r>
              <w:rPr>
                <w:rFonts w:hint="eastAsia" w:hAnsi="宋体" w:eastAsia="宋体" w:cs="新宋体"/>
                <w:color w:val="000000" w:themeColor="text1"/>
                <w:sz w:val="18"/>
                <w:szCs w:val="18"/>
                <w14:textFill>
                  <w14:solidFill>
                    <w14:schemeClr w14:val="tx1"/>
                  </w14:solidFill>
                </w14:textFill>
              </w:rPr>
              <w:t>2</w:t>
            </w:r>
            <w:bookmarkEnd w:id="4"/>
            <w:bookmarkEnd w:id="5"/>
          </w:p>
        </w:tc>
        <w:tc>
          <w:tcPr>
            <w:tcW w:w="960" w:type="dxa"/>
            <w:vMerge w:val="restart"/>
            <w:vAlign w:val="center"/>
          </w:tcPr>
          <w:p>
            <w:pPr>
              <w:pStyle w:val="5"/>
              <w:spacing w:line="400" w:lineRule="exact"/>
              <w:jc w:val="center"/>
              <w:outlineLvl w:val="0"/>
              <w:rPr>
                <w:rFonts w:hAnsi="宋体" w:eastAsia="宋体" w:cs="新宋体"/>
                <w:color w:val="000000" w:themeColor="text1"/>
                <w:sz w:val="18"/>
                <w:szCs w:val="18"/>
                <w14:textFill>
                  <w14:solidFill>
                    <w14:schemeClr w14:val="tx1"/>
                  </w14:solidFill>
                </w14:textFill>
              </w:rPr>
            </w:pPr>
            <w:bookmarkStart w:id="6" w:name="_Toc23942"/>
            <w:bookmarkStart w:id="7" w:name="_Toc27562"/>
            <w:r>
              <w:rPr>
                <w:rFonts w:hint="eastAsia" w:hAnsi="宋体" w:eastAsia="宋体" w:cs="新宋体"/>
                <w:color w:val="000000" w:themeColor="text1"/>
                <w:sz w:val="18"/>
                <w:szCs w:val="18"/>
                <w14:textFill>
                  <w14:solidFill>
                    <w14:schemeClr w14:val="tx1"/>
                  </w14:solidFill>
                </w14:textFill>
              </w:rPr>
              <w:t>质量技术分（满分</w:t>
            </w:r>
            <w:r>
              <w:rPr>
                <w:rFonts w:hint="eastAsia" w:hAnsi="宋体" w:eastAsia="宋体" w:cs="新宋体"/>
                <w:color w:val="000000" w:themeColor="text1"/>
                <w:sz w:val="18"/>
                <w:szCs w:val="18"/>
                <w:lang w:val="en-US" w:eastAsia="zh-CN"/>
                <w14:textFill>
                  <w14:solidFill>
                    <w14:schemeClr w14:val="tx1"/>
                  </w14:solidFill>
                </w14:textFill>
              </w:rPr>
              <w:t>38</w:t>
            </w:r>
            <w:r>
              <w:rPr>
                <w:rFonts w:hint="eastAsia" w:hAnsi="宋体" w:eastAsia="宋体" w:cs="新宋体"/>
                <w:color w:val="000000" w:themeColor="text1"/>
                <w:sz w:val="18"/>
                <w:szCs w:val="18"/>
                <w14:textFill>
                  <w14:solidFill>
                    <w14:schemeClr w14:val="tx1"/>
                  </w14:solidFill>
                </w14:textFill>
              </w:rPr>
              <w:t>分）</w:t>
            </w:r>
            <w:bookmarkEnd w:id="6"/>
            <w:bookmarkEnd w:id="7"/>
          </w:p>
        </w:tc>
        <w:tc>
          <w:tcPr>
            <w:tcW w:w="7934" w:type="dxa"/>
          </w:tcPr>
          <w:p>
            <w:pPr>
              <w:spacing w:line="400" w:lineRule="exact"/>
              <w:rPr>
                <w:rFonts w:ascii="宋体" w:hAnsi="宋体" w:eastAsia="宋体" w:cs="新宋体"/>
                <w:color w:val="000000" w:themeColor="text1"/>
                <w:kern w:val="0"/>
                <w:sz w:val="18"/>
                <w:szCs w:val="18"/>
                <w14:textFill>
                  <w14:solidFill>
                    <w14:schemeClr w14:val="tx1"/>
                  </w14:solidFill>
                </w14:textFill>
              </w:rPr>
            </w:pPr>
            <w:r>
              <w:rPr>
                <w:rFonts w:hint="eastAsia" w:ascii="宋体" w:hAnsi="宋体" w:eastAsia="宋体" w:cs="新宋体"/>
                <w:color w:val="000000" w:themeColor="text1"/>
                <w:kern w:val="0"/>
                <w:sz w:val="18"/>
                <w:szCs w:val="18"/>
                <w14:textFill>
                  <w14:solidFill>
                    <w14:schemeClr w14:val="tx1"/>
                  </w14:solidFill>
                </w14:textFill>
              </w:rPr>
              <w:t>1）根据投标单位在梧州的店面分布情况，以满足职工购买需求，从店面的规模数量、交通便利情况、环境卫生等方面横向比较综合评分。 （ 满分 10 分）优秀得 8.1-10 分，良好得6.1-8 分， 一般得0-6 分。</w:t>
            </w:r>
          </w:p>
          <w:p>
            <w:pPr>
              <w:spacing w:line="400" w:lineRule="exact"/>
              <w:rPr>
                <w:rFonts w:hAnsi="宋体" w:eastAsia="宋体" w:cs="新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2）生日蛋糕（劵）管理</w:t>
            </w:r>
            <w:r>
              <w:rPr>
                <w:rFonts w:hint="eastAsia" w:ascii="宋体" w:hAnsi="宋体" w:eastAsia="宋体" w:cs="新宋体"/>
                <w:color w:val="000000" w:themeColor="text1"/>
                <w:kern w:val="0"/>
                <w:sz w:val="18"/>
                <w:szCs w:val="18"/>
                <w14:textFill>
                  <w14:solidFill>
                    <w14:schemeClr w14:val="tx1"/>
                  </w14:solidFill>
                </w14:textFill>
              </w:rPr>
              <w:t>方面：确保所提供的生日蛋糕劵能正常使用，如出现</w:t>
            </w:r>
            <w:r>
              <w:rPr>
                <w:rFonts w:hint="eastAsia" w:ascii="宋体" w:hAnsi="宋体" w:eastAsia="宋体" w:cs="宋体"/>
                <w:color w:val="000000" w:themeColor="text1"/>
                <w:kern w:val="0"/>
                <w:sz w:val="18"/>
                <w:szCs w:val="18"/>
                <w14:textFill>
                  <w14:solidFill>
                    <w14:schemeClr w14:val="tx1"/>
                  </w14:solidFill>
                </w14:textFill>
              </w:rPr>
              <w:t>蛋糕（劵）与规定面额不相符或不慎丢失时，经确认后能协助快速更正或补办。从管理方面</w:t>
            </w:r>
            <w:r>
              <w:rPr>
                <w:rFonts w:hint="eastAsia" w:ascii="宋体" w:hAnsi="宋体" w:eastAsia="宋体" w:cs="新宋体"/>
                <w:color w:val="000000" w:themeColor="text1"/>
                <w:kern w:val="0"/>
                <w:sz w:val="18"/>
                <w:szCs w:val="18"/>
                <w14:textFill>
                  <w14:solidFill>
                    <w14:schemeClr w14:val="tx1"/>
                  </w14:solidFill>
                </w14:textFill>
              </w:rPr>
              <w:t>横向比较综合评分（ 满分 10 分） 。 （ 满分 10 分）优秀得 8.1-10 分，良好得6.1-8 分， 一般得0-6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dxa"/>
            <w:vMerge w:val="continue"/>
          </w:tcPr>
          <w:p>
            <w:pPr>
              <w:pStyle w:val="5"/>
              <w:spacing w:line="400" w:lineRule="exact"/>
              <w:outlineLvl w:val="0"/>
              <w:rPr>
                <w:rFonts w:hAnsi="宋体" w:eastAsia="宋体" w:cs="新宋体"/>
                <w:color w:val="000000" w:themeColor="text1"/>
                <w:sz w:val="18"/>
                <w:szCs w:val="18"/>
                <w14:textFill>
                  <w14:solidFill>
                    <w14:schemeClr w14:val="tx1"/>
                  </w14:solidFill>
                </w14:textFill>
              </w:rPr>
            </w:pPr>
          </w:p>
        </w:tc>
        <w:tc>
          <w:tcPr>
            <w:tcW w:w="960" w:type="dxa"/>
            <w:vMerge w:val="continue"/>
          </w:tcPr>
          <w:p>
            <w:pPr>
              <w:pStyle w:val="5"/>
              <w:spacing w:line="400" w:lineRule="exact"/>
              <w:outlineLvl w:val="0"/>
              <w:rPr>
                <w:rFonts w:hAnsi="宋体" w:eastAsia="宋体" w:cs="新宋体"/>
                <w:color w:val="000000" w:themeColor="text1"/>
                <w:sz w:val="18"/>
                <w:szCs w:val="18"/>
                <w14:textFill>
                  <w14:solidFill>
                    <w14:schemeClr w14:val="tx1"/>
                  </w14:solidFill>
                </w14:textFill>
              </w:rPr>
            </w:pPr>
          </w:p>
        </w:tc>
        <w:tc>
          <w:tcPr>
            <w:tcW w:w="7934" w:type="dxa"/>
          </w:tcPr>
          <w:p>
            <w:pPr>
              <w:pStyle w:val="5"/>
              <w:spacing w:line="400" w:lineRule="exact"/>
              <w:ind w:firstLine="360" w:firstLineChars="200"/>
              <w:outlineLvl w:val="0"/>
              <w:rPr>
                <w:rFonts w:hint="eastAsia" w:hAnsi="宋体" w:eastAsia="宋体" w:cs="新宋体"/>
                <w:color w:val="000000" w:themeColor="text1"/>
                <w:kern w:val="0"/>
                <w:sz w:val="18"/>
                <w:szCs w:val="18"/>
                <w:lang w:eastAsia="zh-CN"/>
                <w14:textFill>
                  <w14:solidFill>
                    <w14:schemeClr w14:val="tx1"/>
                  </w14:solidFill>
                </w14:textFill>
              </w:rPr>
            </w:pPr>
            <w:bookmarkStart w:id="8" w:name="_Toc1924"/>
            <w:bookmarkStart w:id="9" w:name="_Toc10134"/>
            <w:r>
              <w:rPr>
                <w:rFonts w:hint="eastAsia" w:hAnsi="宋体" w:eastAsia="宋体" w:cs="新宋体"/>
                <w:color w:val="000000" w:themeColor="text1"/>
                <w:kern w:val="0"/>
                <w:sz w:val="18"/>
                <w:szCs w:val="18"/>
                <w14:textFill>
                  <w14:solidFill>
                    <w14:schemeClr w14:val="tx1"/>
                  </w14:solidFill>
                </w14:textFill>
              </w:rPr>
              <w:t>根据投标人提供的各项管理制度， 包括但不限于采购管理、仓储管理、 售后服务管理、应急管理等制度的完善性、 可行性、 实用性等方面所有投标人横向比较综合评分。</w:t>
            </w:r>
          </w:p>
          <w:p>
            <w:pPr>
              <w:pStyle w:val="5"/>
              <w:numPr>
                <w:ilvl w:val="0"/>
                <w:numId w:val="1"/>
              </w:numPr>
              <w:spacing w:line="400" w:lineRule="exact"/>
              <w:ind w:left="105" w:leftChars="0" w:firstLine="0" w:firstLineChars="0"/>
              <w:outlineLvl w:val="0"/>
              <w:rPr>
                <w:rFonts w:hint="eastAsia" w:hAnsi="宋体" w:eastAsia="宋体" w:cs="新宋体"/>
                <w:color w:val="000000" w:themeColor="text1"/>
                <w:kern w:val="0"/>
                <w:sz w:val="18"/>
                <w:szCs w:val="18"/>
                <w14:textFill>
                  <w14:solidFill>
                    <w14:schemeClr w14:val="tx1"/>
                  </w14:solidFill>
                </w14:textFill>
              </w:rPr>
            </w:pPr>
            <w:r>
              <w:rPr>
                <w:rFonts w:hint="eastAsia" w:hAnsi="宋体" w:eastAsia="宋体" w:cs="新宋体"/>
                <w:color w:val="000000" w:themeColor="text1"/>
                <w:kern w:val="0"/>
                <w:sz w:val="18"/>
                <w:szCs w:val="18"/>
                <w14:textFill>
                  <w14:solidFill>
                    <w14:schemeClr w14:val="tx1"/>
                  </w14:solidFill>
                </w14:textFill>
              </w:rPr>
              <w:t>优秀（12.1～18分）：投标人提供的各项管理制度全面， 完整，完善， 可行性高， 实用性强；</w:t>
            </w:r>
          </w:p>
          <w:p>
            <w:pPr>
              <w:pStyle w:val="5"/>
              <w:numPr>
                <w:ilvl w:val="0"/>
                <w:numId w:val="1"/>
              </w:numPr>
              <w:spacing w:line="400" w:lineRule="exact"/>
              <w:ind w:left="105" w:leftChars="0" w:firstLine="0" w:firstLineChars="0"/>
              <w:outlineLvl w:val="0"/>
              <w:rPr>
                <w:rFonts w:hint="eastAsia" w:hAnsi="宋体" w:eastAsia="宋体" w:cs="新宋体"/>
                <w:color w:val="000000" w:themeColor="text1"/>
                <w:kern w:val="0"/>
                <w:sz w:val="18"/>
                <w:szCs w:val="18"/>
                <w14:textFill>
                  <w14:solidFill>
                    <w14:schemeClr w14:val="tx1"/>
                  </w14:solidFill>
                </w14:textFill>
              </w:rPr>
            </w:pPr>
            <w:r>
              <w:rPr>
                <w:rFonts w:hint="eastAsia" w:hAnsi="宋体" w:eastAsia="宋体" w:cs="新宋体"/>
                <w:color w:val="000000" w:themeColor="text1"/>
                <w:kern w:val="0"/>
                <w:sz w:val="18"/>
                <w:szCs w:val="18"/>
                <w14:textFill>
                  <w14:solidFill>
                    <w14:schemeClr w14:val="tx1"/>
                  </w14:solidFill>
                </w14:textFill>
              </w:rPr>
              <w:t>良好（6.1～12分）：投标人提供的各项管理制度较全面， 较完整， 较完善， 可行性较好；</w:t>
            </w:r>
          </w:p>
          <w:p>
            <w:pPr>
              <w:pStyle w:val="5"/>
              <w:numPr>
                <w:ilvl w:val="0"/>
                <w:numId w:val="0"/>
              </w:numPr>
              <w:spacing w:line="400" w:lineRule="exact"/>
              <w:ind w:left="105" w:leftChars="0"/>
              <w:outlineLvl w:val="0"/>
              <w:rPr>
                <w:rFonts w:hAnsi="宋体" w:eastAsia="宋体" w:cs="新宋体"/>
                <w:color w:val="000000" w:themeColor="text1"/>
                <w:sz w:val="18"/>
                <w:szCs w:val="18"/>
                <w14:textFill>
                  <w14:solidFill>
                    <w14:schemeClr w14:val="tx1"/>
                  </w14:solidFill>
                </w14:textFill>
              </w:rPr>
            </w:pPr>
            <w:r>
              <w:rPr>
                <w:rFonts w:hint="eastAsia" w:hAnsi="宋体" w:eastAsia="宋体" w:cs="新宋体"/>
                <w:color w:val="000000" w:themeColor="text1"/>
                <w:kern w:val="0"/>
                <w:sz w:val="18"/>
                <w:szCs w:val="18"/>
                <w14:textFill>
                  <w14:solidFill>
                    <w14:schemeClr w14:val="tx1"/>
                  </w14:solidFill>
                </w14:textFill>
              </w:rPr>
              <w:t>3）一般（0～6分）：投标人提供的各项管理制度简单， 可行性一般。</w:t>
            </w:r>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dxa"/>
            <w:vAlign w:val="center"/>
          </w:tcPr>
          <w:p>
            <w:pPr>
              <w:pStyle w:val="5"/>
              <w:spacing w:line="400" w:lineRule="exact"/>
              <w:jc w:val="center"/>
              <w:outlineLvl w:val="0"/>
              <w:rPr>
                <w:rFonts w:hAnsi="宋体" w:eastAsia="宋体" w:cs="新宋体"/>
                <w:color w:val="000000" w:themeColor="text1"/>
                <w:sz w:val="18"/>
                <w:szCs w:val="18"/>
                <w14:textFill>
                  <w14:solidFill>
                    <w14:schemeClr w14:val="tx1"/>
                  </w14:solidFill>
                </w14:textFill>
              </w:rPr>
            </w:pPr>
            <w:bookmarkStart w:id="10" w:name="_Toc6121"/>
            <w:bookmarkStart w:id="11" w:name="_Toc26741"/>
            <w:r>
              <w:rPr>
                <w:rFonts w:hint="eastAsia" w:hAnsi="宋体" w:eastAsia="宋体" w:cs="新宋体"/>
                <w:color w:val="000000" w:themeColor="text1"/>
                <w:sz w:val="18"/>
                <w:szCs w:val="18"/>
                <w14:textFill>
                  <w14:solidFill>
                    <w14:schemeClr w14:val="tx1"/>
                  </w14:solidFill>
                </w14:textFill>
              </w:rPr>
              <w:t>3</w:t>
            </w:r>
            <w:bookmarkEnd w:id="10"/>
            <w:bookmarkEnd w:id="11"/>
          </w:p>
        </w:tc>
        <w:tc>
          <w:tcPr>
            <w:tcW w:w="960" w:type="dxa"/>
            <w:vAlign w:val="center"/>
          </w:tcPr>
          <w:p>
            <w:pPr>
              <w:pStyle w:val="5"/>
              <w:spacing w:line="400" w:lineRule="exact"/>
              <w:jc w:val="center"/>
              <w:outlineLvl w:val="0"/>
              <w:rPr>
                <w:rFonts w:hAnsi="宋体" w:eastAsia="宋体" w:cs="新宋体"/>
                <w:color w:val="000000" w:themeColor="text1"/>
                <w:sz w:val="18"/>
                <w:szCs w:val="18"/>
                <w14:textFill>
                  <w14:solidFill>
                    <w14:schemeClr w14:val="tx1"/>
                  </w14:solidFill>
                </w14:textFill>
              </w:rPr>
            </w:pPr>
            <w:bookmarkStart w:id="12" w:name="_Toc20446"/>
            <w:bookmarkStart w:id="13" w:name="_Toc3457"/>
            <w:r>
              <w:rPr>
                <w:rFonts w:hint="eastAsia" w:hAnsi="宋体" w:eastAsia="宋体" w:cs="新宋体"/>
                <w:color w:val="000000" w:themeColor="text1"/>
                <w:sz w:val="18"/>
                <w:szCs w:val="18"/>
                <w14:textFill>
                  <w14:solidFill>
                    <w14:schemeClr w14:val="tx1"/>
                  </w14:solidFill>
                </w14:textFill>
              </w:rPr>
              <w:t>企业实力、信誉及业绩分（22分）</w:t>
            </w:r>
            <w:bookmarkEnd w:id="12"/>
            <w:bookmarkEnd w:id="13"/>
          </w:p>
        </w:tc>
        <w:tc>
          <w:tcPr>
            <w:tcW w:w="7934" w:type="dxa"/>
          </w:tcPr>
          <w:p>
            <w:pPr>
              <w:pStyle w:val="5"/>
              <w:numPr>
                <w:ilvl w:val="0"/>
                <w:numId w:val="2"/>
              </w:numPr>
              <w:spacing w:line="400" w:lineRule="exact"/>
              <w:outlineLvl w:val="0"/>
              <w:rPr>
                <w:rFonts w:hAnsi="宋体" w:eastAsia="宋体"/>
                <w:color w:val="000000" w:themeColor="text1"/>
                <w:sz w:val="18"/>
                <w:szCs w:val="18"/>
                <w14:textFill>
                  <w14:solidFill>
                    <w14:schemeClr w14:val="tx1"/>
                  </w14:solidFill>
                </w14:textFill>
              </w:rPr>
            </w:pPr>
            <w:bookmarkStart w:id="14" w:name="_Toc7585"/>
            <w:bookmarkStart w:id="15" w:name="_Toc11002"/>
            <w:r>
              <w:rPr>
                <w:rFonts w:hint="eastAsia" w:hAnsi="宋体" w:eastAsia="宋体"/>
                <w:color w:val="000000" w:themeColor="text1"/>
                <w:sz w:val="18"/>
                <w:szCs w:val="18"/>
                <w14:textFill>
                  <w14:solidFill>
                    <w14:schemeClr w14:val="tx1"/>
                  </w14:solidFill>
                </w14:textFill>
              </w:rPr>
              <w:t>品牌市场认可度较高（7-6分）</w:t>
            </w:r>
            <w:r>
              <w:rPr>
                <w:rFonts w:hint="eastAsia" w:hAnsi="宋体" w:eastAsia="宋体"/>
                <w:color w:val="000000" w:themeColor="text1"/>
                <w:sz w:val="18"/>
                <w:szCs w:val="18"/>
                <w:lang w:eastAsia="zh-CN"/>
                <w14:textFill>
                  <w14:solidFill>
                    <w14:schemeClr w14:val="tx1"/>
                  </w14:solidFill>
                </w14:textFill>
              </w:rPr>
              <w:t>、</w:t>
            </w:r>
            <w:r>
              <w:rPr>
                <w:rFonts w:hint="eastAsia" w:hAnsi="宋体" w:eastAsia="宋体"/>
                <w:color w:val="000000" w:themeColor="text1"/>
                <w:sz w:val="18"/>
                <w:szCs w:val="18"/>
                <w14:textFill>
                  <w14:solidFill>
                    <w14:schemeClr w14:val="tx1"/>
                  </w14:solidFill>
                </w14:textFill>
              </w:rPr>
              <w:t>认可度一般（3-2分）</w:t>
            </w:r>
            <w:r>
              <w:rPr>
                <w:rFonts w:hint="eastAsia" w:hAnsi="宋体" w:eastAsia="宋体"/>
                <w:color w:val="000000" w:themeColor="text1"/>
                <w:sz w:val="18"/>
                <w:szCs w:val="18"/>
                <w:lang w:eastAsia="zh-CN"/>
                <w14:textFill>
                  <w14:solidFill>
                    <w14:schemeClr w14:val="tx1"/>
                  </w14:solidFill>
                </w14:textFill>
              </w:rPr>
              <w:t>、</w:t>
            </w:r>
            <w:r>
              <w:rPr>
                <w:rFonts w:hint="eastAsia" w:hAnsi="宋体" w:eastAsia="宋体"/>
                <w:color w:val="000000" w:themeColor="text1"/>
                <w:sz w:val="18"/>
                <w:szCs w:val="18"/>
                <w14:textFill>
                  <w14:solidFill>
                    <w14:schemeClr w14:val="tx1"/>
                  </w14:solidFill>
                </w14:textFill>
              </w:rPr>
              <w:t>不知名（0-1分）</w:t>
            </w:r>
          </w:p>
          <w:p>
            <w:pPr>
              <w:spacing w:line="340" w:lineRule="exact"/>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eastAsia="宋体" w:cs="新宋体"/>
                <w:color w:val="000000" w:themeColor="text1"/>
                <w:kern w:val="0"/>
                <w:sz w:val="18"/>
                <w:szCs w:val="18"/>
                <w14:textFill>
                  <w14:solidFill>
                    <w14:schemeClr w14:val="tx1"/>
                  </w14:solidFill>
                </w14:textFill>
              </w:rPr>
              <w:t>2）</w:t>
            </w:r>
            <w:r>
              <w:rPr>
                <w:rFonts w:hint="eastAsia" w:ascii="宋体" w:hAnsi="宋体" w:eastAsia="宋体"/>
                <w:color w:val="000000" w:themeColor="text1"/>
                <w:sz w:val="18"/>
                <w:szCs w:val="18"/>
                <w14:textFill>
                  <w14:solidFill>
                    <w14:schemeClr w14:val="tx1"/>
                  </w14:solidFill>
                </w14:textFill>
              </w:rPr>
              <w:t>投标产品经国家权威部门授予的荣誉，国家级（2分</w:t>
            </w:r>
            <w:r>
              <w:rPr>
                <w:rFonts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lang w:eastAsia="zh-CN"/>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省级(1分)</w:t>
            </w:r>
            <w:r>
              <w:rPr>
                <w:rFonts w:hint="eastAsia" w:ascii="宋体" w:hAnsi="宋体" w:eastAsia="宋体"/>
                <w:color w:val="000000" w:themeColor="text1"/>
                <w:sz w:val="18"/>
                <w:szCs w:val="18"/>
                <w:lang w:eastAsia="zh-CN"/>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同一荣誉以最高分，不重复计分</w:t>
            </w:r>
          </w:p>
          <w:p>
            <w:pPr>
              <w:spacing w:line="340" w:lineRule="exact"/>
              <w:rPr>
                <w:rFonts w:ascii="宋体" w:hAnsi="宋体" w:eastAsia="宋体"/>
                <w:color w:val="000000" w:themeColor="text1"/>
                <w:sz w:val="18"/>
                <w:szCs w:val="18"/>
                <w14:textFill>
                  <w14:solidFill>
                    <w14:schemeClr w14:val="tx1"/>
                  </w14:solidFill>
                </w14:textFill>
              </w:rPr>
            </w:pPr>
            <w:r>
              <w:rPr>
                <w:rFonts w:hint="eastAsia" w:ascii="宋体" w:hAnsi="宋体" w:eastAsia="宋体" w:cs="新宋体"/>
                <w:color w:val="000000" w:themeColor="text1"/>
                <w:kern w:val="0"/>
                <w:sz w:val="18"/>
                <w:szCs w:val="18"/>
                <w14:textFill>
                  <w14:solidFill>
                    <w14:schemeClr w14:val="tx1"/>
                  </w14:solidFill>
                </w14:textFill>
              </w:rPr>
              <w:t>3</w:t>
            </w:r>
            <w:bookmarkEnd w:id="14"/>
            <w:bookmarkEnd w:id="15"/>
            <w:r>
              <w:rPr>
                <w:rFonts w:hint="eastAsia" w:ascii="宋体" w:hAnsi="宋体" w:eastAsia="宋体" w:cs="新宋体"/>
                <w:color w:val="000000" w:themeColor="text1"/>
                <w:kern w:val="0"/>
                <w:sz w:val="18"/>
                <w:szCs w:val="18"/>
                <w:lang w:eastAsia="zh-CN"/>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投标人注册资金、流动资金、年销售额等方面按较大（3分）</w:t>
            </w:r>
            <w:r>
              <w:rPr>
                <w:rFonts w:hint="eastAsia" w:ascii="宋体" w:hAnsi="宋体" w:eastAsia="宋体"/>
                <w:color w:val="000000" w:themeColor="text1"/>
                <w:sz w:val="18"/>
                <w:szCs w:val="18"/>
                <w:lang w:eastAsia="zh-CN"/>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一般（1分）</w:t>
            </w:r>
            <w:r>
              <w:rPr>
                <w:rFonts w:hint="eastAsia" w:ascii="宋体" w:hAnsi="宋体" w:eastAsia="宋体"/>
                <w:color w:val="000000" w:themeColor="text1"/>
                <w:sz w:val="18"/>
                <w:szCs w:val="18"/>
                <w:lang w:eastAsia="zh-CN"/>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较小（0分）</w:t>
            </w:r>
          </w:p>
          <w:p>
            <w:pPr>
              <w:spacing w:line="340" w:lineRule="exac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4）生产经营场地面积、仓储面积、运输设备等方面按较大较多（3分）</w:t>
            </w:r>
            <w:r>
              <w:rPr>
                <w:rFonts w:hint="eastAsia" w:ascii="宋体" w:hAnsi="宋体" w:eastAsia="宋体"/>
                <w:color w:val="000000" w:themeColor="text1"/>
                <w:sz w:val="18"/>
                <w:szCs w:val="18"/>
                <w:lang w:eastAsia="zh-CN"/>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一般（1分）</w:t>
            </w:r>
            <w:r>
              <w:rPr>
                <w:rFonts w:hint="eastAsia" w:ascii="宋体" w:hAnsi="宋体" w:eastAsia="宋体"/>
                <w:color w:val="000000" w:themeColor="text1"/>
                <w:sz w:val="18"/>
                <w:szCs w:val="18"/>
                <w:lang w:eastAsia="zh-CN"/>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较小（0分）</w:t>
            </w:r>
          </w:p>
          <w:p>
            <w:pPr>
              <w:spacing w:line="340" w:lineRule="exac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5）投标人获得ISO9000国际质量管理体系认证得（1）分</w:t>
            </w:r>
            <w:r>
              <w:rPr>
                <w:rFonts w:hint="eastAsia" w:ascii="宋体" w:hAnsi="宋体" w:eastAsia="宋体"/>
                <w:color w:val="000000" w:themeColor="text1"/>
                <w:sz w:val="18"/>
                <w:szCs w:val="18"/>
                <w:lang w:eastAsia="zh-CN"/>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 xml:space="preserve">IS014000环境管理体系认证得（1）分）  </w:t>
            </w:r>
          </w:p>
          <w:p>
            <w:pPr>
              <w:pStyle w:val="5"/>
              <w:spacing w:line="400" w:lineRule="exact"/>
              <w:outlineLvl w:val="0"/>
              <w:rPr>
                <w:rFonts w:hAnsi="宋体" w:eastAsia="宋体" w:cs="新宋体"/>
                <w:color w:val="000000" w:themeColor="text1"/>
                <w:kern w:val="0"/>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6）投标人类似本项目的大单位的供货经验，批量供应量较大、单位较多等（5分）</w:t>
            </w:r>
            <w:r>
              <w:rPr>
                <w:rFonts w:hint="eastAsia" w:hAnsi="宋体" w:eastAsia="宋体"/>
                <w:color w:val="000000" w:themeColor="text1"/>
                <w:sz w:val="18"/>
                <w:szCs w:val="18"/>
                <w:lang w:eastAsia="zh-CN"/>
                <w14:textFill>
                  <w14:solidFill>
                    <w14:schemeClr w14:val="tx1"/>
                  </w14:solidFill>
                </w14:textFill>
              </w:rPr>
              <w:t>、</w:t>
            </w:r>
            <w:r>
              <w:rPr>
                <w:rFonts w:hint="eastAsia" w:hAnsi="宋体" w:eastAsia="宋体"/>
                <w:color w:val="000000" w:themeColor="text1"/>
                <w:sz w:val="18"/>
                <w:szCs w:val="18"/>
                <w14:textFill>
                  <w14:solidFill>
                    <w14:schemeClr w14:val="tx1"/>
                  </w14:solidFill>
                </w14:textFill>
              </w:rPr>
              <w:t>一般（3分）</w:t>
            </w:r>
            <w:r>
              <w:rPr>
                <w:rFonts w:hint="eastAsia" w:hAnsi="宋体" w:eastAsia="宋体"/>
                <w:color w:val="000000" w:themeColor="text1"/>
                <w:sz w:val="18"/>
                <w:szCs w:val="18"/>
                <w:lang w:eastAsia="zh-CN"/>
                <w14:textFill>
                  <w14:solidFill>
                    <w14:schemeClr w14:val="tx1"/>
                  </w14:solidFill>
                </w14:textFill>
              </w:rPr>
              <w:t>、</w:t>
            </w:r>
            <w:r>
              <w:rPr>
                <w:rFonts w:hint="eastAsia" w:hAnsi="宋体" w:eastAsia="宋体"/>
                <w:color w:val="000000" w:themeColor="text1"/>
                <w:sz w:val="18"/>
                <w:szCs w:val="18"/>
                <w14:textFill>
                  <w14:solidFill>
                    <w14:schemeClr w14:val="tx1"/>
                  </w14:solidFill>
                </w14:textFill>
              </w:rPr>
              <w:t>较小（0分</w:t>
            </w:r>
            <w:r>
              <w:rPr>
                <w:rFonts w:hint="eastAsia" w:hAnsi="宋体" w:eastAsia="宋体"/>
                <w:color w:val="000000" w:themeColor="text1"/>
                <w:sz w:val="18"/>
                <w:szCs w:val="18"/>
                <w:lang w:eastAsia="zh-CN"/>
                <w14:textFill>
                  <w14:solidFill>
                    <w14:schemeClr w14:val="tx1"/>
                  </w14:solidFill>
                </w14:textFill>
              </w:rPr>
              <w:t>，</w:t>
            </w:r>
            <w:r>
              <w:rPr>
                <w:rFonts w:hint="eastAsia" w:hAnsi="宋体" w:eastAsia="宋体"/>
                <w:color w:val="000000" w:themeColor="text1"/>
                <w:sz w:val="18"/>
                <w:szCs w:val="18"/>
                <w14:textFill>
                  <w14:solidFill>
                    <w14:schemeClr w14:val="tx1"/>
                  </w14:solidFill>
                </w14:textFill>
              </w:rPr>
              <w:t>）酌情给分（提供2015年及以后的不同用户的合同复印件、原件随带备查）</w:t>
            </w:r>
          </w:p>
        </w:tc>
      </w:tr>
    </w:tbl>
    <w:p>
      <w:pPr>
        <w:pStyle w:val="2"/>
      </w:pPr>
    </w:p>
    <w:p>
      <w:pPr>
        <w:pStyle w:val="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0F595"/>
    <w:multiLevelType w:val="singleLevel"/>
    <w:tmpl w:val="D3B0F595"/>
    <w:lvl w:ilvl="0" w:tentative="0">
      <w:start w:val="1"/>
      <w:numFmt w:val="decimal"/>
      <w:suff w:val="nothing"/>
      <w:lvlText w:val="%1）"/>
      <w:lvlJc w:val="left"/>
    </w:lvl>
  </w:abstractNum>
  <w:abstractNum w:abstractNumId="1">
    <w:nsid w:val="5DF1A160"/>
    <w:multiLevelType w:val="singleLevel"/>
    <w:tmpl w:val="5DF1A160"/>
    <w:lvl w:ilvl="0" w:tentative="0">
      <w:start w:val="1"/>
      <w:numFmt w:val="decimal"/>
      <w:suff w:val="space"/>
      <w:lvlText w:val="%1）"/>
      <w:lvlJc w:val="left"/>
      <w:pPr>
        <w:ind w:left="105"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wMWM2ZjJkZTkwNjM1NTI5ZTljYzc2MjFhYTcxMmM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431C4"/>
    <w:rsid w:val="00654BC6"/>
    <w:rsid w:val="00684BD7"/>
    <w:rsid w:val="006E5543"/>
    <w:rsid w:val="00707A97"/>
    <w:rsid w:val="007814EA"/>
    <w:rsid w:val="007A5910"/>
    <w:rsid w:val="007F6F70"/>
    <w:rsid w:val="00825B15"/>
    <w:rsid w:val="008553F8"/>
    <w:rsid w:val="00890AAE"/>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207795D"/>
    <w:rsid w:val="04A66578"/>
    <w:rsid w:val="04F07B21"/>
    <w:rsid w:val="05876C02"/>
    <w:rsid w:val="05D709AC"/>
    <w:rsid w:val="06D05B2E"/>
    <w:rsid w:val="07D63618"/>
    <w:rsid w:val="080E5475"/>
    <w:rsid w:val="08646E76"/>
    <w:rsid w:val="09C53074"/>
    <w:rsid w:val="09C85F7A"/>
    <w:rsid w:val="0A0362F9"/>
    <w:rsid w:val="0A0C672F"/>
    <w:rsid w:val="0B821581"/>
    <w:rsid w:val="0BC91684"/>
    <w:rsid w:val="0DDF6528"/>
    <w:rsid w:val="0EAF35B4"/>
    <w:rsid w:val="0FBD18F4"/>
    <w:rsid w:val="10C44FE5"/>
    <w:rsid w:val="10C97A40"/>
    <w:rsid w:val="10D00951"/>
    <w:rsid w:val="11F0177A"/>
    <w:rsid w:val="122B15C9"/>
    <w:rsid w:val="140D1AAC"/>
    <w:rsid w:val="144B713C"/>
    <w:rsid w:val="14552F20"/>
    <w:rsid w:val="14A4200E"/>
    <w:rsid w:val="14B06448"/>
    <w:rsid w:val="14BA18FD"/>
    <w:rsid w:val="16DE1BA1"/>
    <w:rsid w:val="17BE7C25"/>
    <w:rsid w:val="1A5D5E77"/>
    <w:rsid w:val="1ADD6755"/>
    <w:rsid w:val="1BC41961"/>
    <w:rsid w:val="1BD17F27"/>
    <w:rsid w:val="1C7A583D"/>
    <w:rsid w:val="1CDA5E97"/>
    <w:rsid w:val="1D087260"/>
    <w:rsid w:val="1E7B30DA"/>
    <w:rsid w:val="1EDE7406"/>
    <w:rsid w:val="1F947BE9"/>
    <w:rsid w:val="202F1D5D"/>
    <w:rsid w:val="204E6A4B"/>
    <w:rsid w:val="214F4DED"/>
    <w:rsid w:val="2218153E"/>
    <w:rsid w:val="22BD2FB3"/>
    <w:rsid w:val="232D2BFE"/>
    <w:rsid w:val="23F9728E"/>
    <w:rsid w:val="246B74DB"/>
    <w:rsid w:val="24F34B9B"/>
    <w:rsid w:val="250709CF"/>
    <w:rsid w:val="251A729B"/>
    <w:rsid w:val="252E3513"/>
    <w:rsid w:val="26582593"/>
    <w:rsid w:val="26A34BB6"/>
    <w:rsid w:val="26A36964"/>
    <w:rsid w:val="284D7976"/>
    <w:rsid w:val="286F0F4E"/>
    <w:rsid w:val="2911436E"/>
    <w:rsid w:val="2B646453"/>
    <w:rsid w:val="2D68718B"/>
    <w:rsid w:val="2E44559E"/>
    <w:rsid w:val="2F853EAB"/>
    <w:rsid w:val="2FA71273"/>
    <w:rsid w:val="31153599"/>
    <w:rsid w:val="3194337D"/>
    <w:rsid w:val="32110C25"/>
    <w:rsid w:val="32C229CA"/>
    <w:rsid w:val="34642367"/>
    <w:rsid w:val="34853AA5"/>
    <w:rsid w:val="34CC4FFC"/>
    <w:rsid w:val="3737378F"/>
    <w:rsid w:val="3806606D"/>
    <w:rsid w:val="38C93665"/>
    <w:rsid w:val="38F605A0"/>
    <w:rsid w:val="397701BE"/>
    <w:rsid w:val="3A0D261A"/>
    <w:rsid w:val="3A922124"/>
    <w:rsid w:val="3ACC5F8D"/>
    <w:rsid w:val="3B5B69F6"/>
    <w:rsid w:val="3C8B5A78"/>
    <w:rsid w:val="3CE60193"/>
    <w:rsid w:val="3D1B32A0"/>
    <w:rsid w:val="3F376133"/>
    <w:rsid w:val="3F5D12BF"/>
    <w:rsid w:val="41366ED0"/>
    <w:rsid w:val="417601A2"/>
    <w:rsid w:val="41B25855"/>
    <w:rsid w:val="4286740D"/>
    <w:rsid w:val="42D10E7F"/>
    <w:rsid w:val="42F56341"/>
    <w:rsid w:val="44133457"/>
    <w:rsid w:val="45883236"/>
    <w:rsid w:val="46BA3873"/>
    <w:rsid w:val="480C5CBF"/>
    <w:rsid w:val="48C4580F"/>
    <w:rsid w:val="492E435B"/>
    <w:rsid w:val="492F5696"/>
    <w:rsid w:val="4A5F5F83"/>
    <w:rsid w:val="4AB10DA0"/>
    <w:rsid w:val="4AB35768"/>
    <w:rsid w:val="4C7F2195"/>
    <w:rsid w:val="4E7A2EF9"/>
    <w:rsid w:val="4EA77BEE"/>
    <w:rsid w:val="4ECB1B2D"/>
    <w:rsid w:val="51077C3F"/>
    <w:rsid w:val="51976B19"/>
    <w:rsid w:val="52EA0FEF"/>
    <w:rsid w:val="539B006B"/>
    <w:rsid w:val="54263430"/>
    <w:rsid w:val="56081EDF"/>
    <w:rsid w:val="56CA0C54"/>
    <w:rsid w:val="56CD7199"/>
    <w:rsid w:val="58AB32D2"/>
    <w:rsid w:val="58BA59F2"/>
    <w:rsid w:val="590F1AB3"/>
    <w:rsid w:val="591B2794"/>
    <w:rsid w:val="59D2663D"/>
    <w:rsid w:val="5B017D8A"/>
    <w:rsid w:val="5B4517BC"/>
    <w:rsid w:val="5BA7747E"/>
    <w:rsid w:val="5BCB48E6"/>
    <w:rsid w:val="5BD2436E"/>
    <w:rsid w:val="5CA22C3E"/>
    <w:rsid w:val="5CD96603"/>
    <w:rsid w:val="5CDE2BD0"/>
    <w:rsid w:val="5E116BDB"/>
    <w:rsid w:val="5EC0115A"/>
    <w:rsid w:val="5ED56A95"/>
    <w:rsid w:val="5FBF1411"/>
    <w:rsid w:val="5FBF74F7"/>
    <w:rsid w:val="601E082E"/>
    <w:rsid w:val="60433DF0"/>
    <w:rsid w:val="60A26D69"/>
    <w:rsid w:val="61DA42C9"/>
    <w:rsid w:val="622562E9"/>
    <w:rsid w:val="62FE6288"/>
    <w:rsid w:val="648F0FD0"/>
    <w:rsid w:val="65312DB1"/>
    <w:rsid w:val="659C46CE"/>
    <w:rsid w:val="66122DE8"/>
    <w:rsid w:val="66C8679B"/>
    <w:rsid w:val="67840CA7"/>
    <w:rsid w:val="67DF6AF4"/>
    <w:rsid w:val="68861BB7"/>
    <w:rsid w:val="689E42BA"/>
    <w:rsid w:val="68C10ACC"/>
    <w:rsid w:val="691F78D0"/>
    <w:rsid w:val="69333123"/>
    <w:rsid w:val="69745986"/>
    <w:rsid w:val="6AAD6A36"/>
    <w:rsid w:val="6B7C465A"/>
    <w:rsid w:val="6C465394"/>
    <w:rsid w:val="6DD0797D"/>
    <w:rsid w:val="711F7F62"/>
    <w:rsid w:val="71747D49"/>
    <w:rsid w:val="722A12B4"/>
    <w:rsid w:val="727E6F0A"/>
    <w:rsid w:val="74017DF2"/>
    <w:rsid w:val="74B5471E"/>
    <w:rsid w:val="75661EAC"/>
    <w:rsid w:val="76D6141B"/>
    <w:rsid w:val="778C3E77"/>
    <w:rsid w:val="77C67389"/>
    <w:rsid w:val="7923015C"/>
    <w:rsid w:val="79FC3536"/>
    <w:rsid w:val="7A4F56C9"/>
    <w:rsid w:val="7BF429B9"/>
    <w:rsid w:val="7BFD4C92"/>
    <w:rsid w:val="7CBA6985"/>
    <w:rsid w:val="7E176B90"/>
    <w:rsid w:val="7FC56F79"/>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6"/>
    <w:qFormat/>
    <w:uiPriority w:val="99"/>
    <w:pPr>
      <w:jc w:val="left"/>
    </w:pPr>
  </w:style>
  <w:style w:type="paragraph" w:styleId="4">
    <w:name w:val="Body Text"/>
    <w:basedOn w:val="1"/>
    <w:next w:val="1"/>
    <w:unhideWhenUsed/>
    <w:qFormat/>
    <w:uiPriority w:val="0"/>
    <w:pPr>
      <w:spacing w:after="120"/>
    </w:pPr>
  </w:style>
  <w:style w:type="paragraph" w:styleId="5">
    <w:name w:val="Plain Text"/>
    <w:basedOn w:val="1"/>
    <w:link w:val="18"/>
    <w:qFormat/>
    <w:uiPriority w:val="99"/>
    <w:rPr>
      <w:rFonts w:ascii="宋体" w:hAnsi="Courier New"/>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0" w:after="225" w:afterAutospacing="0"/>
      <w:ind w:left="0" w:right="0"/>
      <w:jc w:val="left"/>
    </w:pPr>
    <w:rPr>
      <w:rFonts w:hint="eastAsia" w:ascii="微软雅黑" w:hAnsi="微软雅黑" w:eastAsia="微软雅黑" w:cs="微软雅黑"/>
      <w:kern w:val="0"/>
      <w:sz w:val="24"/>
      <w:lang w:val="en-US" w:eastAsia="zh-CN" w:bidi="ar"/>
    </w:rPr>
  </w:style>
  <w:style w:type="paragraph" w:styleId="9">
    <w:name w:val="annotation subject"/>
    <w:basedOn w:val="3"/>
    <w:next w:val="3"/>
    <w:link w:val="17"/>
    <w:semiHidden/>
    <w:unhideWhenUsed/>
    <w:qFormat/>
    <w:uiPriority w:val="99"/>
    <w:rPr>
      <w:b/>
      <w:bCs/>
    </w:rPr>
  </w:style>
  <w:style w:type="paragraph" w:styleId="10">
    <w:name w:val="Body Text First Indent"/>
    <w:basedOn w:val="4"/>
    <w:unhideWhenUsed/>
    <w:qFormat/>
    <w:uiPriority w:val="99"/>
    <w:pPr>
      <w:ind w:firstLine="420" w:firstLineChars="100"/>
    </w:pPr>
  </w:style>
  <w:style w:type="table" w:styleId="12">
    <w:name w:val="Table Grid"/>
    <w:basedOn w:val="11"/>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qFormat/>
    <w:uiPriority w:val="99"/>
    <w:rPr>
      <w:sz w:val="21"/>
      <w:szCs w:val="21"/>
    </w:rPr>
  </w:style>
  <w:style w:type="character" w:customStyle="1" w:styleId="15">
    <w:name w:val="批注文字 字符"/>
    <w:basedOn w:val="13"/>
    <w:qFormat/>
    <w:uiPriority w:val="99"/>
    <w:rPr>
      <w:rFonts w:ascii="Times New Roman" w:hAnsi="Times New Roman" w:eastAsia="宋体" w:cs="Times New Roman"/>
      <w:szCs w:val="21"/>
    </w:rPr>
  </w:style>
  <w:style w:type="character" w:customStyle="1" w:styleId="16">
    <w:name w:val="批注文字 字符1"/>
    <w:link w:val="3"/>
    <w:semiHidden/>
    <w:qFormat/>
    <w:uiPriority w:val="99"/>
    <w:rPr>
      <w:rFonts w:ascii="Times New Roman" w:hAnsi="Times New Roman" w:eastAsia="宋体" w:cs="Times New Roman"/>
      <w:szCs w:val="21"/>
    </w:rPr>
  </w:style>
  <w:style w:type="character" w:customStyle="1" w:styleId="17">
    <w:name w:val="批注主题 字符"/>
    <w:basedOn w:val="16"/>
    <w:link w:val="9"/>
    <w:semiHidden/>
    <w:qFormat/>
    <w:uiPriority w:val="99"/>
    <w:rPr>
      <w:rFonts w:ascii="Times New Roman" w:hAnsi="Times New Roman" w:eastAsia="宋体" w:cs="Times New Roman"/>
      <w:b/>
      <w:bCs/>
      <w:szCs w:val="21"/>
    </w:rPr>
  </w:style>
  <w:style w:type="character" w:customStyle="1" w:styleId="18">
    <w:name w:val="纯文本 字符"/>
    <w:basedOn w:val="13"/>
    <w:link w:val="5"/>
    <w:qFormat/>
    <w:uiPriority w:val="99"/>
    <w:rPr>
      <w:rFonts w:ascii="宋体" w:hAnsi="Courier New" w:eastAsia="宋体" w:cs="Times New Roman"/>
      <w:szCs w:val="21"/>
    </w:rPr>
  </w:style>
  <w:style w:type="paragraph" w:customStyle="1" w:styleId="19">
    <w:name w:val="表格文字"/>
    <w:basedOn w:val="1"/>
    <w:qFormat/>
    <w:uiPriority w:val="0"/>
    <w:pPr>
      <w:spacing w:before="25" w:after="25"/>
      <w:jc w:val="left"/>
    </w:pPr>
    <w:rPr>
      <w:rFonts w:ascii="Calibri" w:hAnsi="Calibri"/>
      <w:bCs/>
      <w:spacing w:val="10"/>
      <w:kern w:val="0"/>
      <w:sz w:val="24"/>
      <w:szCs w:val="20"/>
    </w:rPr>
  </w:style>
  <w:style w:type="character" w:customStyle="1" w:styleId="20">
    <w:name w:val="fontstyle01"/>
    <w:qFormat/>
    <w:uiPriority w:val="0"/>
    <w:rPr>
      <w:rFonts w:hint="eastAsia" w:ascii="宋体" w:hAnsi="宋体" w:eastAsia="宋体"/>
      <w:color w:val="000000"/>
      <w:sz w:val="24"/>
      <w:szCs w:val="24"/>
    </w:rPr>
  </w:style>
  <w:style w:type="character" w:customStyle="1" w:styleId="21">
    <w:name w:val="页眉 字符"/>
    <w:basedOn w:val="13"/>
    <w:link w:val="7"/>
    <w:qFormat/>
    <w:uiPriority w:val="99"/>
    <w:rPr>
      <w:rFonts w:ascii="Times New Roman" w:hAnsi="Times New Roman" w:eastAsia="宋体" w:cs="Times New Roman"/>
      <w:sz w:val="18"/>
      <w:szCs w:val="18"/>
    </w:rPr>
  </w:style>
  <w:style w:type="character" w:customStyle="1" w:styleId="22">
    <w:name w:val="页脚 字符"/>
    <w:basedOn w:val="13"/>
    <w:link w:val="6"/>
    <w:qFormat/>
    <w:uiPriority w:val="99"/>
    <w:rPr>
      <w:rFonts w:ascii="Times New Roman" w:hAnsi="Times New Roman" w:eastAsia="宋体" w:cs="Times New Roman"/>
      <w:sz w:val="18"/>
      <w:szCs w:val="18"/>
    </w:rPr>
  </w:style>
  <w:style w:type="character" w:styleId="23">
    <w:name w:val="Placeholder Text"/>
    <w:basedOn w:val="13"/>
    <w:semiHidden/>
    <w:qFormat/>
    <w:uiPriority w:val="99"/>
    <w:rPr>
      <w:color w:val="808080"/>
    </w:rPr>
  </w:style>
  <w:style w:type="paragraph" w:customStyle="1" w:styleId="24">
    <w:name w:val="样式1"/>
    <w:basedOn w:val="1"/>
    <w:qFormat/>
    <w:uiPriority w:val="0"/>
  </w:style>
  <w:style w:type="paragraph" w:customStyle="1" w:styleId="25">
    <w:name w:val="列出段落1"/>
    <w:basedOn w:val="1"/>
    <w:qFormat/>
    <w:uiPriority w:val="34"/>
    <w:pPr>
      <w:ind w:firstLine="420"/>
    </w:pPr>
  </w:style>
  <w:style w:type="paragraph" w:customStyle="1"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2482</Words>
  <Characters>2574</Characters>
  <Lines>26</Lines>
  <Paragraphs>7</Paragraphs>
  <TotalTime>1</TotalTime>
  <ScaleCrop>false</ScaleCrop>
  <LinksUpToDate>false</LinksUpToDate>
  <CharactersWithSpaces>2629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lenovo</cp:lastModifiedBy>
  <cp:lastPrinted>2021-01-18T07:59:00Z</cp:lastPrinted>
  <dcterms:modified xsi:type="dcterms:W3CDTF">2024-06-24T08:11:52Z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530341C43AEF48B6BD2D245A82FEDE8F</vt:lpwstr>
  </property>
</Properties>
</file>