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2"/>
        <w:ind w:left="-708" w:leftChars="-337"/>
        <w:rPr>
          <w:rFonts w:cs="宋体"/>
          <w:b/>
          <w:bCs/>
          <w:sz w:val="28"/>
          <w:szCs w:val="28"/>
        </w:rPr>
      </w:pPr>
      <w:r>
        <w:rPr>
          <w:rFonts w:hint="eastAsia" w:cs="宋体"/>
          <w:b/>
          <w:bCs/>
          <w:sz w:val="28"/>
          <w:szCs w:val="28"/>
        </w:rPr>
        <w:t>一、采购清单、技术规格参数、质量标准和要求</w:t>
      </w:r>
    </w:p>
    <w:p>
      <w:pPr>
        <w:pStyle w:val="2"/>
        <w:ind w:left="-708" w:leftChars="-337"/>
        <w:rPr>
          <w:b/>
          <w:bCs/>
        </w:rPr>
      </w:pPr>
      <w:r>
        <w:rPr>
          <w:rFonts w:hint="eastAsia" w:cs="宋体"/>
          <w:b/>
          <w:bCs/>
        </w:rPr>
        <w:t>（一）</w:t>
      </w:r>
      <w:r>
        <w:rPr>
          <w:rFonts w:hint="eastAsia" w:cs="宋体"/>
          <w:b/>
          <w:bCs/>
          <w:lang w:eastAsia="zh-CN"/>
        </w:rPr>
        <w:t>采购需求：</w:t>
      </w:r>
      <w:r>
        <w:rPr>
          <w:b/>
          <w:bCs/>
        </w:rPr>
        <w:t> </w:t>
      </w:r>
    </w:p>
    <w:p>
      <w:pPr>
        <w:pStyle w:val="2"/>
        <w:ind w:left="-708" w:leftChars="-337" w:firstLine="480"/>
        <w:rPr>
          <w:rFonts w:ascii="新宋体" w:hAnsi="新宋体" w:eastAsia="新宋体" w:cs="新宋体"/>
          <w:bCs/>
          <w:szCs w:val="21"/>
          <w:lang w:bidi="ar"/>
        </w:rPr>
      </w:pPr>
      <w:r>
        <w:rPr>
          <w:rFonts w:hint="eastAsia"/>
        </w:rPr>
        <w:t>1</w:t>
      </w:r>
      <w:r>
        <w:rPr>
          <w:rFonts w:hint="eastAsia"/>
          <w:b/>
          <w:bCs/>
        </w:rPr>
        <w:t>.</w:t>
      </w:r>
      <w:r>
        <w:rPr>
          <w:rFonts w:hint="eastAsia"/>
          <w:bCs/>
        </w:rPr>
        <w:t>本项目对</w:t>
      </w:r>
      <w:r>
        <w:rPr>
          <w:rFonts w:hint="eastAsia"/>
          <w:bCs/>
          <w:lang w:eastAsia="zh-CN"/>
        </w:rPr>
        <w:t>广西壮族自治区桂东人民医院国家传染病智能监测预警前置软件服务器（第</w:t>
      </w:r>
      <w:r>
        <w:rPr>
          <w:rFonts w:hint="eastAsia"/>
          <w:bCs/>
          <w:lang w:val="en-US" w:eastAsia="zh-CN"/>
        </w:rPr>
        <w:t>2次）</w:t>
      </w:r>
      <w:bookmarkStart w:id="0" w:name="_GoBack"/>
      <w:bookmarkEnd w:id="0"/>
      <w:r>
        <w:rPr>
          <w:rFonts w:hint="eastAsia"/>
          <w:bCs/>
          <w:lang w:val="en-US" w:eastAsia="zh-CN"/>
        </w:rPr>
        <w:t>。提供三年软、硬件维保服务</w:t>
      </w:r>
      <w:r>
        <w:rPr>
          <w:rFonts w:hint="eastAsia" w:ascii="新宋体" w:hAnsi="新宋体" w:eastAsia="新宋体" w:cs="新宋体"/>
          <w:bCs/>
          <w:szCs w:val="21"/>
          <w:lang w:bidi="ar"/>
        </w:rPr>
        <w:t>。</w:t>
      </w:r>
    </w:p>
    <w:p>
      <w:pPr>
        <w:pStyle w:val="2"/>
        <w:ind w:left="-708" w:leftChars="-337" w:firstLine="480"/>
        <w:rPr>
          <w:rFonts w:hint="eastAsia" w:eastAsia="新宋体"/>
          <w:b/>
          <w:bCs/>
          <w:lang w:eastAsia="zh-CN"/>
        </w:rPr>
      </w:pPr>
      <w:r>
        <w:rPr>
          <w:rFonts w:hint="eastAsia" w:ascii="新宋体" w:hAnsi="新宋体" w:eastAsia="新宋体" w:cs="新宋体"/>
          <w:bCs/>
          <w:szCs w:val="21"/>
          <w:lang w:val="en-US" w:eastAsia="zh-CN" w:bidi="ar"/>
        </w:rPr>
        <w:t>2</w:t>
      </w:r>
      <w:r>
        <w:rPr>
          <w:rFonts w:hint="eastAsia" w:ascii="新宋体" w:hAnsi="新宋体" w:eastAsia="新宋体" w:cs="新宋体"/>
          <w:bCs/>
          <w:szCs w:val="21"/>
          <w:lang w:bidi="ar"/>
        </w:rPr>
        <w:t>.本项目预算总金额：</w:t>
      </w:r>
      <w:r>
        <w:rPr>
          <w:rFonts w:hint="eastAsia" w:ascii="新宋体" w:hAnsi="新宋体" w:eastAsia="新宋体" w:cs="新宋体"/>
          <w:bCs/>
          <w:szCs w:val="21"/>
          <w:lang w:val="en-US" w:eastAsia="zh-CN" w:bidi="ar"/>
        </w:rPr>
        <w:t>3</w:t>
      </w:r>
      <w:r>
        <w:rPr>
          <w:rFonts w:hint="eastAsia" w:ascii="新宋体" w:hAnsi="新宋体" w:eastAsia="新宋体" w:cs="新宋体"/>
          <w:bCs/>
          <w:szCs w:val="21"/>
          <w:lang w:bidi="ar"/>
        </w:rPr>
        <w:t>万元</w:t>
      </w:r>
      <w:r>
        <w:rPr>
          <w:rFonts w:hint="eastAsia" w:ascii="新宋体" w:hAnsi="新宋体" w:eastAsia="新宋体" w:cs="新宋体"/>
          <w:bCs/>
          <w:szCs w:val="21"/>
          <w:lang w:eastAsia="zh-CN" w:bidi="ar"/>
        </w:rPr>
        <w:t>整</w:t>
      </w:r>
    </w:p>
    <w:p>
      <w:pPr>
        <w:widowControl/>
        <w:numPr>
          <w:ilvl w:val="0"/>
          <w:numId w:val="1"/>
        </w:numPr>
        <w:spacing w:line="360" w:lineRule="auto"/>
        <w:ind w:left="-708" w:leftChars="-337"/>
        <w:jc w:val="left"/>
        <w:rPr>
          <w:rFonts w:hint="default"/>
          <w:lang w:val="en-US" w:eastAsia="zh-CN"/>
        </w:rPr>
      </w:pPr>
      <w:r>
        <w:rPr>
          <w:rFonts w:hint="eastAsia" w:cs="宋体"/>
          <w:b/>
          <w:bCs/>
          <w:kern w:val="0"/>
          <w:sz w:val="24"/>
          <w:szCs w:val="24"/>
        </w:rPr>
        <w:t>技术规格参数</w:t>
      </w:r>
    </w:p>
    <w:p>
      <w:pPr>
        <w:pStyle w:val="2"/>
        <w:ind w:left="-708" w:leftChars="-337"/>
        <w:rPr>
          <w:rFonts w:hint="default"/>
          <w:lang w:val="en-US" w:eastAsia="zh-CN"/>
        </w:rPr>
      </w:pPr>
      <w:r>
        <w:rPr>
          <w:rFonts w:hint="eastAsia"/>
          <w:lang w:val="en-US" w:eastAsia="zh-CN"/>
        </w:rPr>
        <w:t xml:space="preserve">     </w:t>
      </w:r>
    </w:p>
    <w:tbl>
      <w:tblPr>
        <w:tblStyle w:val="10"/>
        <w:tblW w:w="7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707"/>
        <w:gridCol w:w="515"/>
        <w:gridCol w:w="458"/>
        <w:gridCol w:w="5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436" w:type="dxa"/>
            <w:shd w:val="clear" w:color="auto" w:fill="auto"/>
            <w:vAlign w:val="center"/>
          </w:tcPr>
          <w:p>
            <w:pPr>
              <w:jc w:val="center"/>
              <w:rPr>
                <w:rFonts w:ascii="宋体" w:hAnsi="宋体" w:eastAsia="宋体" w:cs="宋体"/>
                <w:b/>
                <w:bCs/>
                <w:color w:val="000000"/>
                <w:szCs w:val="21"/>
              </w:rPr>
            </w:pPr>
            <w:r>
              <w:rPr>
                <w:rFonts w:hint="eastAsia" w:ascii="宋体" w:hAnsi="宋体" w:eastAsia="宋体" w:cs="宋体"/>
                <w:b/>
                <w:bCs/>
                <w:color w:val="000000"/>
                <w:szCs w:val="21"/>
              </w:rPr>
              <w:t>项号</w:t>
            </w:r>
          </w:p>
        </w:tc>
        <w:tc>
          <w:tcPr>
            <w:tcW w:w="707" w:type="dxa"/>
            <w:vAlign w:val="center"/>
          </w:tcPr>
          <w:p>
            <w:pPr>
              <w:jc w:val="center"/>
              <w:rPr>
                <w:rFonts w:ascii="宋体" w:hAnsi="宋体" w:eastAsia="宋体" w:cs="宋体"/>
                <w:b/>
                <w:bCs/>
                <w:color w:val="000000"/>
                <w:szCs w:val="21"/>
              </w:rPr>
            </w:pPr>
            <w:r>
              <w:rPr>
                <w:rFonts w:hint="eastAsia" w:ascii="宋体" w:hAnsi="宋体" w:eastAsia="宋体" w:cs="宋体"/>
                <w:b/>
                <w:bCs/>
                <w:color w:val="000000"/>
                <w:szCs w:val="21"/>
              </w:rPr>
              <w:t>货物名称</w:t>
            </w:r>
          </w:p>
        </w:tc>
        <w:tc>
          <w:tcPr>
            <w:tcW w:w="515" w:type="dxa"/>
            <w:vAlign w:val="center"/>
          </w:tcPr>
          <w:p>
            <w:pPr>
              <w:jc w:val="center"/>
              <w:rPr>
                <w:rFonts w:ascii="宋体" w:hAnsi="宋体" w:eastAsia="宋体" w:cs="宋体"/>
                <w:b/>
                <w:bCs/>
                <w:color w:val="000000"/>
                <w:szCs w:val="21"/>
              </w:rPr>
            </w:pPr>
            <w:r>
              <w:rPr>
                <w:rFonts w:hint="eastAsia" w:ascii="宋体" w:hAnsi="宋体" w:eastAsia="宋体" w:cs="宋体"/>
                <w:b/>
                <w:bCs/>
                <w:color w:val="000000"/>
                <w:szCs w:val="21"/>
              </w:rPr>
              <w:t>数量</w:t>
            </w:r>
          </w:p>
        </w:tc>
        <w:tc>
          <w:tcPr>
            <w:tcW w:w="458" w:type="dxa"/>
            <w:vAlign w:val="center"/>
          </w:tcPr>
          <w:p>
            <w:pPr>
              <w:jc w:val="center"/>
              <w:rPr>
                <w:rFonts w:ascii="宋体" w:hAnsi="宋体" w:eastAsia="宋体"/>
                <w:b/>
                <w:bCs/>
                <w:color w:val="000000"/>
                <w:szCs w:val="21"/>
              </w:rPr>
            </w:pPr>
            <w:r>
              <w:rPr>
                <w:rFonts w:hint="eastAsia" w:ascii="宋体" w:hAnsi="宋体" w:eastAsia="宋体"/>
                <w:b/>
                <w:bCs/>
                <w:color w:val="000000"/>
                <w:szCs w:val="21"/>
              </w:rPr>
              <w:t>单位</w:t>
            </w:r>
          </w:p>
        </w:tc>
        <w:tc>
          <w:tcPr>
            <w:tcW w:w="5290" w:type="dxa"/>
            <w:shd w:val="clear" w:color="auto" w:fill="auto"/>
            <w:vAlign w:val="center"/>
          </w:tcPr>
          <w:p>
            <w:pPr>
              <w:jc w:val="center"/>
              <w:rPr>
                <w:rFonts w:ascii="宋体" w:hAnsi="宋体" w:eastAsia="宋体" w:cs="宋体"/>
                <w:b/>
                <w:bCs/>
                <w:color w:val="000000"/>
                <w:szCs w:val="21"/>
              </w:rPr>
            </w:pPr>
            <w:r>
              <w:rPr>
                <w:rFonts w:hint="eastAsia" w:ascii="宋体" w:hAnsi="宋体" w:eastAsia="宋体"/>
                <w:b/>
                <w:bCs/>
                <w:color w:val="000000"/>
                <w:szCs w:val="21"/>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36" w:type="dxa"/>
            <w:shd w:val="clear" w:color="auto" w:fill="auto"/>
            <w:vAlign w:val="center"/>
          </w:tcPr>
          <w:p>
            <w:pPr>
              <w:jc w:val="center"/>
              <w:rPr>
                <w:rFonts w:ascii="宋体" w:hAnsi="宋体" w:eastAsia="宋体" w:cs="宋体"/>
                <w:color w:val="000000"/>
                <w:szCs w:val="21"/>
              </w:rPr>
            </w:pPr>
            <w:r>
              <w:rPr>
                <w:rFonts w:ascii="宋体" w:hAnsi="宋体" w:eastAsia="宋体" w:cs="宋体"/>
                <w:color w:val="000000"/>
                <w:szCs w:val="21"/>
              </w:rPr>
              <w:t>1</w:t>
            </w:r>
          </w:p>
        </w:tc>
        <w:tc>
          <w:tcPr>
            <w:tcW w:w="707" w:type="dxa"/>
            <w:vAlign w:val="center"/>
          </w:tcPr>
          <w:p>
            <w:pPr>
              <w:rPr>
                <w:rFonts w:hint="eastAsia" w:ascii="宋体" w:hAnsi="宋体" w:eastAsia="宋体" w:cs="宋体"/>
                <w:bCs/>
                <w:color w:val="000000"/>
                <w:szCs w:val="21"/>
                <w:lang w:val="en-US" w:eastAsia="zh-CN"/>
              </w:rPr>
            </w:pPr>
            <w:r>
              <w:rPr>
                <w:rFonts w:hint="eastAsia" w:ascii="宋体" w:hAnsi="宋体" w:cs="宋体"/>
                <w:bCs/>
                <w:color w:val="000000"/>
                <w:szCs w:val="21"/>
                <w:lang w:eastAsia="zh-CN"/>
              </w:rPr>
              <w:t>国产服务器</w:t>
            </w:r>
          </w:p>
        </w:tc>
        <w:tc>
          <w:tcPr>
            <w:tcW w:w="515" w:type="dxa"/>
            <w:vAlign w:val="center"/>
          </w:tcPr>
          <w:p>
            <w:pPr>
              <w:jc w:val="center"/>
              <w:rPr>
                <w:rFonts w:ascii="宋体" w:hAnsi="宋体" w:eastAsia="宋体" w:cs="宋体"/>
                <w:bCs/>
                <w:color w:val="000000"/>
                <w:szCs w:val="21"/>
              </w:rPr>
            </w:pPr>
            <w:r>
              <w:rPr>
                <w:rFonts w:hint="eastAsia" w:ascii="宋体" w:hAnsi="宋体" w:eastAsia="宋体" w:cs="宋体"/>
                <w:bCs/>
                <w:color w:val="000000"/>
                <w:szCs w:val="21"/>
              </w:rPr>
              <w:t>1</w:t>
            </w:r>
          </w:p>
        </w:tc>
        <w:tc>
          <w:tcPr>
            <w:tcW w:w="458" w:type="dxa"/>
            <w:vAlign w:val="center"/>
          </w:tcPr>
          <w:p>
            <w:pPr>
              <w:jc w:val="center"/>
              <w:rPr>
                <w:rFonts w:ascii="宋体" w:hAnsi="宋体" w:eastAsia="宋体" w:cs="宋体"/>
                <w:bCs/>
                <w:color w:val="000000"/>
                <w:szCs w:val="21"/>
              </w:rPr>
            </w:pPr>
            <w:r>
              <w:rPr>
                <w:rFonts w:hint="eastAsia" w:ascii="宋体" w:hAnsi="宋体" w:eastAsia="宋体" w:cs="宋体"/>
                <w:bCs/>
                <w:color w:val="000000"/>
                <w:szCs w:val="21"/>
              </w:rPr>
              <w:t>套</w:t>
            </w:r>
          </w:p>
        </w:tc>
        <w:tc>
          <w:tcPr>
            <w:tcW w:w="5290" w:type="dxa"/>
            <w:shd w:val="clear" w:color="auto" w:fill="auto"/>
            <w:vAlign w:val="center"/>
          </w:tcPr>
          <w:p>
            <w:pPr>
              <w:rPr>
                <w:rFonts w:hint="eastAsia"/>
              </w:rPr>
            </w:pPr>
            <w:r>
              <w:rPr>
                <w:rFonts w:hint="eastAsia"/>
              </w:rPr>
              <w:t>服务器软硬件运行配置的基本要求如下：</w:t>
            </w:r>
          </w:p>
          <w:p>
            <w:pPr>
              <w:pStyle w:val="24"/>
              <w:widowControl w:val="0"/>
              <w:numPr>
                <w:ilvl w:val="0"/>
                <w:numId w:val="0"/>
              </w:numPr>
              <w:spacing w:after="0"/>
              <w:jc w:val="both"/>
              <w:rPr>
                <w:rFonts w:hint="eastAsia"/>
              </w:rPr>
            </w:pPr>
            <w:r>
              <w:rPr>
                <w:rFonts w:hint="eastAsia"/>
              </w:rPr>
              <w:t>★（一）CPU：采用国产自研CPU，三级医院物理核数≥64；</w:t>
            </w:r>
          </w:p>
          <w:p>
            <w:pPr>
              <w:pStyle w:val="24"/>
              <w:widowControl w:val="0"/>
              <w:numPr>
                <w:ilvl w:val="0"/>
                <w:numId w:val="0"/>
              </w:numPr>
              <w:spacing w:after="0"/>
              <w:jc w:val="both"/>
              <w:rPr>
                <w:rFonts w:hint="eastAsia"/>
              </w:rPr>
            </w:pPr>
            <w:r>
              <w:rPr>
                <w:rFonts w:hint="eastAsia"/>
              </w:rPr>
              <w:t>★（二）内存：三级医院≥256GB；</w:t>
            </w:r>
          </w:p>
          <w:p>
            <w:pPr>
              <w:pStyle w:val="24"/>
              <w:widowControl w:val="0"/>
              <w:numPr>
                <w:ilvl w:val="0"/>
                <w:numId w:val="0"/>
              </w:numPr>
              <w:spacing w:after="0"/>
              <w:jc w:val="both"/>
              <w:rPr>
                <w:rFonts w:hint="eastAsia"/>
              </w:rPr>
            </w:pPr>
            <w:r>
              <w:rPr>
                <w:rFonts w:hint="eastAsia"/>
              </w:rPr>
              <w:t>★（三）存储空间：≥1T，存储介质类型：SSD；</w:t>
            </w:r>
          </w:p>
          <w:p>
            <w:pPr>
              <w:pStyle w:val="24"/>
              <w:widowControl w:val="0"/>
              <w:numPr>
                <w:ilvl w:val="0"/>
                <w:numId w:val="0"/>
              </w:numPr>
              <w:spacing w:after="0"/>
              <w:jc w:val="both"/>
              <w:rPr>
                <w:rFonts w:hint="eastAsia"/>
              </w:rPr>
            </w:pPr>
            <w:r>
              <w:rPr>
                <w:rFonts w:hint="eastAsia"/>
              </w:rPr>
              <w:t>★（四）配置双网卡，方便连接院内网络环境和外部网络；</w:t>
            </w:r>
          </w:p>
          <w:p>
            <w:pPr>
              <w:pStyle w:val="24"/>
              <w:widowControl w:val="0"/>
              <w:numPr>
                <w:ilvl w:val="0"/>
                <w:numId w:val="0"/>
              </w:numPr>
              <w:spacing w:after="0"/>
              <w:jc w:val="both"/>
              <w:rPr>
                <w:rFonts w:hint="eastAsia" w:eastAsia="宋体"/>
                <w:lang w:eastAsia="zh-CN"/>
              </w:rPr>
            </w:pPr>
            <w:r>
              <w:rPr>
                <w:rFonts w:hint="eastAsia"/>
              </w:rPr>
              <w:t>（五）GPU卡或NPU支持</w:t>
            </w:r>
            <w:r>
              <w:rPr>
                <w:rFonts w:hint="eastAsia"/>
                <w:lang w:eastAsia="zh-CN"/>
              </w:rPr>
              <w:t>。</w:t>
            </w:r>
          </w:p>
          <w:p>
            <w:pPr>
              <w:pStyle w:val="24"/>
              <w:widowControl w:val="0"/>
              <w:numPr>
                <w:ilvl w:val="0"/>
                <w:numId w:val="0"/>
              </w:numPr>
              <w:spacing w:after="0"/>
              <w:jc w:val="both"/>
              <w:rPr>
                <w:rFonts w:hint="eastAsia"/>
              </w:rPr>
            </w:pPr>
            <w:r>
              <w:rPr>
                <w:rFonts w:hint="eastAsia"/>
              </w:rPr>
              <w:t>★（六）操作系统：使用麒麟、欧拉、统信等国产操作系统的服务器版；</w:t>
            </w:r>
          </w:p>
          <w:p>
            <w:pPr>
              <w:pStyle w:val="24"/>
              <w:widowControl w:val="0"/>
              <w:numPr>
                <w:ilvl w:val="0"/>
                <w:numId w:val="0"/>
              </w:numPr>
              <w:spacing w:after="0"/>
              <w:jc w:val="both"/>
              <w:rPr>
                <w:rFonts w:hint="eastAsia"/>
              </w:rPr>
            </w:pPr>
            <w:r>
              <w:rPr>
                <w:rFonts w:hint="eastAsia"/>
              </w:rPr>
              <w:t>★（七）数据库支持：配备OpenGauss或同等</w:t>
            </w:r>
          </w:p>
          <w:p>
            <w:pPr>
              <w:rPr>
                <w:rFonts w:hint="eastAsia"/>
              </w:rPr>
            </w:pPr>
            <w:r>
              <w:rPr>
                <w:rFonts w:hint="eastAsia"/>
              </w:rPr>
              <w:t>架构的数据库，服务器需支持运行此架构数据库。</w:t>
            </w:r>
          </w:p>
          <w:p>
            <w:pPr>
              <w:pStyle w:val="2"/>
              <w:rPr>
                <w:rFonts w:hint="eastAsia" w:eastAsia="宋体"/>
                <w:lang w:eastAsia="zh-CN"/>
              </w:rPr>
            </w:pPr>
            <w:r>
              <w:rPr>
                <w:rFonts w:hint="eastAsia"/>
              </w:rPr>
              <w:t>★（</w:t>
            </w:r>
            <w:r>
              <w:rPr>
                <w:rFonts w:hint="eastAsia"/>
                <w:lang w:eastAsia="zh-CN"/>
              </w:rPr>
              <w:t>八</w:t>
            </w:r>
            <w:r>
              <w:rPr>
                <w:rFonts w:hint="eastAsia"/>
              </w:rPr>
              <w:t>）</w:t>
            </w:r>
            <w:r>
              <w:rPr>
                <w:rFonts w:hint="eastAsia"/>
                <w:lang w:eastAsia="zh-CN"/>
              </w:rPr>
              <w:t>产品的技术指标及要求为原厂出厂配置，可通过机身序列号在厂商官网查询相关信息。</w:t>
            </w:r>
          </w:p>
        </w:tc>
      </w:tr>
    </w:tbl>
    <w:p>
      <w:pPr>
        <w:pStyle w:val="2"/>
        <w:ind w:left="-708" w:leftChars="-337"/>
        <w:rPr>
          <w:rFonts w:hint="default"/>
          <w:lang w:val="en-US" w:eastAsia="zh-CN"/>
        </w:rPr>
      </w:pPr>
    </w:p>
    <w:p>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lang w:val="en-US" w:eastAsia="zh-CN"/>
        </w:rPr>
        <w:t>项目</w:t>
      </w:r>
      <w:r>
        <w:rPr>
          <w:rFonts w:hint="eastAsia" w:cs="宋体"/>
          <w:b/>
          <w:bCs/>
          <w:color w:val="000000"/>
          <w:kern w:val="0"/>
          <w:sz w:val="24"/>
          <w:szCs w:val="24"/>
        </w:rPr>
        <w:t>基本要求</w:t>
      </w:r>
    </w:p>
    <w:p>
      <w:pPr>
        <w:pStyle w:val="2"/>
        <w:numPr>
          <w:ilvl w:val="0"/>
          <w:numId w:val="0"/>
        </w:numPr>
        <w:ind w:leftChars="-337" w:firstLine="480" w:firstLineChars="200"/>
        <w:rPr>
          <w:rFonts w:hint="eastAsia" w:ascii="宋体" w:hAnsi="宋体" w:eastAsia="宋体" w:cs="宋体"/>
          <w:lang w:val="en-US" w:eastAsia="zh-CN"/>
        </w:rPr>
      </w:pPr>
      <w:r>
        <w:rPr>
          <w:rFonts w:hint="eastAsia" w:ascii="宋体" w:hAnsi="宋体" w:cs="宋体"/>
          <w:lang w:val="en-US" w:eastAsia="zh-CN"/>
        </w:rPr>
        <w:t>由于服务器使用的特殊性需供货商安装、配置国产系统以及国产数据库，配合传染病相关的监测预警前置软件调试服务，直至满足医院业务系统使用为止</w:t>
      </w:r>
      <w:r>
        <w:rPr>
          <w:rFonts w:hint="eastAsia" w:ascii="宋体" w:hAnsi="宋体" w:eastAsia="宋体" w:cs="宋体"/>
          <w:lang w:val="en-US" w:eastAsia="zh-CN"/>
        </w:rPr>
        <w:t>。</w:t>
      </w:r>
      <w:r>
        <w:rPr>
          <w:rFonts w:hint="eastAsia" w:ascii="宋体" w:hAnsi="宋体" w:cs="宋体"/>
          <w:lang w:val="en-US" w:eastAsia="zh-CN"/>
        </w:rPr>
        <w:t>供货商需提供3年硬件维保+3年软件维护升级服务。</w:t>
      </w:r>
    </w:p>
    <w:p>
      <w:pPr>
        <w:pStyle w:val="2"/>
        <w:numPr>
          <w:ilvl w:val="0"/>
          <w:numId w:val="0"/>
        </w:numPr>
        <w:ind w:leftChars="-337" w:firstLine="482" w:firstLineChars="200"/>
        <w:rPr>
          <w:rFonts w:hint="eastAsia" w:cs="宋体"/>
          <w:b/>
          <w:bCs/>
        </w:rPr>
      </w:pPr>
      <w:r>
        <w:rPr>
          <w:rFonts w:hint="eastAsia" w:ascii="Times New Roman" w:hAnsi="Times New Roman" w:eastAsia="宋体" w:cs="宋体"/>
          <w:b/>
          <w:bCs/>
          <w:color w:val="000000"/>
          <w:kern w:val="0"/>
          <w:sz w:val="24"/>
          <w:szCs w:val="24"/>
          <w:lang w:val="en-US" w:eastAsia="zh-CN" w:bidi="ar-SA"/>
        </w:rPr>
        <w:t>（四）</w:t>
      </w:r>
      <w:r>
        <w:rPr>
          <w:rFonts w:hint="eastAsia" w:cs="宋体"/>
          <w:b/>
          <w:bCs/>
        </w:rPr>
        <w:t>商务要求</w:t>
      </w:r>
    </w:p>
    <w:tbl>
      <w:tblPr>
        <w:tblStyle w:val="10"/>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848" w:type="dxa"/>
            <w:vAlign w:val="center"/>
          </w:tcPr>
          <w:p>
            <w:pPr>
              <w:widowControl/>
              <w:spacing w:line="276" w:lineRule="auto"/>
              <w:jc w:val="center"/>
              <w:rPr>
                <w:rFonts w:ascii="宋体" w:hAnsi="宋体"/>
                <w:b/>
              </w:rPr>
            </w:pPr>
            <w:r>
              <w:rPr>
                <w:rFonts w:hint="eastAsia" w:ascii="宋体" w:hAnsi="宋体" w:cs="宋体"/>
                <w:b/>
              </w:rPr>
              <w:t>采购总预算</w:t>
            </w:r>
          </w:p>
        </w:tc>
        <w:tc>
          <w:tcPr>
            <w:tcW w:w="7938" w:type="dxa"/>
            <w:vAlign w:val="center"/>
          </w:tcPr>
          <w:p>
            <w:pPr>
              <w:widowControl/>
              <w:spacing w:line="276" w:lineRule="auto"/>
              <w:jc w:val="left"/>
              <w:rPr>
                <w:rFonts w:ascii="宋体" w:hAnsi="宋体"/>
                <w:b/>
              </w:rPr>
            </w:pPr>
            <w:r>
              <w:rPr>
                <w:rFonts w:hint="eastAsia" w:ascii="宋体" w:hAnsi="宋体" w:cs="宋体"/>
              </w:rPr>
              <w:t>人民币 ￥</w:t>
            </w:r>
            <w:r>
              <w:rPr>
                <w:rFonts w:hint="eastAsia" w:ascii="宋体" w:hAnsi="宋体" w:cs="宋体"/>
                <w:lang w:val="en-US" w:eastAsia="zh-CN"/>
              </w:rPr>
              <w:t>3</w:t>
            </w:r>
            <w:r>
              <w:rPr>
                <w:rFonts w:hint="eastAsia" w:ascii="宋体" w:hAnsi="宋体" w:cs="宋体"/>
              </w:rPr>
              <w:t>000</w:t>
            </w:r>
            <w:r>
              <w:rPr>
                <w:rFonts w:hint="eastAsia" w:ascii="宋体" w:hAnsi="宋体" w:cs="宋体"/>
                <w:lang w:val="en-US" w:eastAsia="zh-CN"/>
              </w:rPr>
              <w:t>0</w:t>
            </w:r>
            <w:r>
              <w:rPr>
                <w:rFonts w:hint="eastAsia" w:ascii="宋体" w:hAnsi="宋体" w:cs="宋体"/>
              </w:rPr>
              <w:t>.00（大写：</w:t>
            </w:r>
            <w:r>
              <w:rPr>
                <w:rFonts w:hint="eastAsia" w:ascii="宋体" w:hAnsi="宋体" w:cs="宋体"/>
                <w:lang w:val="en-US" w:eastAsia="zh-CN"/>
              </w:rPr>
              <w:t>叁</w:t>
            </w:r>
            <w:r>
              <w:rPr>
                <w:rFonts w:hint="eastAsia" w:ascii="宋体" w:hAnsi="宋体" w:cs="宋体"/>
              </w:rPr>
              <w:t xml:space="preserve">万元整） </w:t>
            </w:r>
            <w:r>
              <w:rPr>
                <w:rFonts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48" w:type="dxa"/>
            <w:vAlign w:val="center"/>
          </w:tcPr>
          <w:p>
            <w:pPr>
              <w:widowControl/>
              <w:spacing w:line="276" w:lineRule="auto"/>
              <w:jc w:val="center"/>
              <w:rPr>
                <w:rFonts w:ascii="宋体" w:hAnsi="宋体" w:cs="宋体"/>
                <w:b/>
              </w:rPr>
            </w:pPr>
            <w:r>
              <w:rPr>
                <w:rFonts w:hint="eastAsia" w:ascii="宋体" w:hAnsi="宋体" w:cs="宋体"/>
                <w:b/>
              </w:rPr>
              <w:t>报价要求</w:t>
            </w:r>
          </w:p>
        </w:tc>
        <w:tc>
          <w:tcPr>
            <w:tcW w:w="7938" w:type="dxa"/>
            <w:vAlign w:val="center"/>
          </w:tcPr>
          <w:p>
            <w:pPr>
              <w:spacing w:line="276" w:lineRule="auto"/>
              <w:ind w:right="-57" w:rightChars="-27" w:firstLine="420"/>
              <w:jc w:val="left"/>
              <w:rPr>
                <w:rFonts w:ascii="宋体" w:hAnsi="宋体"/>
              </w:rPr>
            </w:pPr>
            <w:r>
              <w:rPr>
                <w:rFonts w:ascii="宋体" w:hAnsi="宋体"/>
              </w:rPr>
              <w:t>1.</w:t>
            </w:r>
            <w:r>
              <w:rPr>
                <w:rFonts w:hint="eastAsia" w:ascii="宋体" w:hAnsi="宋体"/>
              </w:rPr>
              <w:t>本次报价执行包干报价，即报价应包括服务人员的劳务费、差旅费、服务费、测评</w:t>
            </w:r>
            <w:r>
              <w:rPr>
                <w:rFonts w:ascii="宋体" w:hAnsi="宋体"/>
              </w:rPr>
              <w:t>费、</w:t>
            </w:r>
            <w:r>
              <w:rPr>
                <w:rFonts w:hint="eastAsia" w:ascii="宋体" w:hAnsi="宋体"/>
              </w:rPr>
              <w:t>税费、整改服务费等，以及其他所有可能产生的费用，除本报价外采购人不再另外支付任何费用。</w:t>
            </w:r>
          </w:p>
          <w:p>
            <w:pPr>
              <w:widowControl/>
              <w:spacing w:line="276" w:lineRule="auto"/>
              <w:ind w:firstLine="422"/>
              <w:jc w:val="left"/>
              <w:rPr>
                <w:rFonts w:ascii="宋体" w:hAnsi="宋体" w:cs="宋体"/>
              </w:rPr>
            </w:pPr>
            <w:r>
              <w:rPr>
                <w:rFonts w:ascii="宋体" w:hAnsi="宋体"/>
                <w:b/>
                <w:bCs/>
              </w:rPr>
              <w:t>2.</w:t>
            </w:r>
            <w:r>
              <w:rPr>
                <w:rFonts w:hint="eastAsia" w:ascii="宋体" w:hAnsi="宋体"/>
                <w:b/>
                <w:bCs/>
              </w:rPr>
              <w:t>报价特别说明：各竞价人首次总价不能超过采购总预算</w:t>
            </w:r>
            <w:r>
              <w:rPr>
                <w:rFonts w:ascii="宋体" w:hAnsi="宋体"/>
                <w:b/>
                <w:bCs/>
              </w:rPr>
              <w:t>价</w:t>
            </w:r>
            <w:r>
              <w:rPr>
                <w:rFonts w:hint="eastAsia" w:ascii="宋体" w:hAnsi="宋体"/>
                <w:b/>
                <w:bCs/>
              </w:rPr>
              <w:t>，否则竞价无效。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848" w:type="dxa"/>
            <w:vAlign w:val="center"/>
          </w:tcPr>
          <w:p>
            <w:pPr>
              <w:snapToGrid w:val="0"/>
              <w:spacing w:line="276" w:lineRule="auto"/>
              <w:ind w:firstLine="422"/>
              <w:rPr>
                <w:rFonts w:ascii="宋体" w:hAnsi="宋体"/>
                <w:b/>
              </w:rPr>
            </w:pPr>
          </w:p>
          <w:p>
            <w:pPr>
              <w:snapToGrid w:val="0"/>
              <w:spacing w:line="276" w:lineRule="auto"/>
              <w:ind w:firstLine="422"/>
              <w:rPr>
                <w:rFonts w:ascii="宋体" w:hAnsi="宋体"/>
                <w:b/>
              </w:rPr>
            </w:pPr>
          </w:p>
          <w:p>
            <w:pPr>
              <w:snapToGrid w:val="0"/>
              <w:spacing w:line="276" w:lineRule="auto"/>
              <w:ind w:firstLine="422"/>
              <w:rPr>
                <w:rFonts w:ascii="宋体" w:hAnsi="宋体"/>
                <w:b/>
              </w:rPr>
            </w:pPr>
          </w:p>
          <w:p>
            <w:pPr>
              <w:snapToGrid w:val="0"/>
              <w:spacing w:line="276" w:lineRule="auto"/>
              <w:ind w:firstLine="422"/>
              <w:rPr>
                <w:rFonts w:ascii="宋体" w:hAnsi="宋体"/>
                <w:bCs/>
              </w:rPr>
            </w:pPr>
            <w:r>
              <w:rPr>
                <w:rFonts w:hint="eastAsia" w:ascii="宋体" w:hAnsi="宋体"/>
                <w:b/>
              </w:rPr>
              <w:t>基本要求</w:t>
            </w:r>
          </w:p>
        </w:tc>
        <w:tc>
          <w:tcPr>
            <w:tcW w:w="7938" w:type="dxa"/>
            <w:vAlign w:val="center"/>
          </w:tcPr>
          <w:p>
            <w:pPr>
              <w:spacing w:line="276" w:lineRule="auto"/>
              <w:ind w:firstLine="420"/>
            </w:pPr>
            <w:r>
              <w:rPr>
                <w:rFonts w:hint="eastAsia"/>
              </w:rPr>
              <w:t>1.产品及服务应符合本采购文件的技术要求，如没有提及适用标准，则应符合中华人民共和国国家标准或行业标准，如果中华人民共和国没有相关标准的，则采用货物来源国适用的官方标准。这些标准必须是有关机构发布的最新版本的标准。</w:t>
            </w:r>
          </w:p>
          <w:p>
            <w:pPr>
              <w:spacing w:line="276" w:lineRule="auto"/>
              <w:ind w:firstLine="420"/>
            </w:pPr>
            <w:r>
              <w:rPr>
                <w:rFonts w:hint="eastAsia"/>
              </w:rPr>
              <w:t>2.成交供应商应保证竞价产品涉及到的知识产权和所提供的相关技术资料是合法取得，并享有完整的知识产权，不会因为需方的使用而被责令停止使用、追偿或要求赔偿损失，如出现此情况，一切经济和法律责任均由成交人承担。</w:t>
            </w:r>
          </w:p>
          <w:p>
            <w:pPr>
              <w:spacing w:line="276" w:lineRule="auto"/>
              <w:ind w:firstLine="420"/>
            </w:pPr>
            <w:r>
              <w:t>3.</w:t>
            </w:r>
            <w:r>
              <w:rPr>
                <w:rFonts w:hint="eastAsia"/>
              </w:rPr>
              <w:t>成交</w:t>
            </w:r>
            <w:r>
              <w:t>供应商</w:t>
            </w:r>
            <w:r>
              <w:rPr>
                <w:rFonts w:hint="eastAsia"/>
              </w:rPr>
              <w:t>的响应文件应列明详细的产品及所提供的服务内容，技术文件应包括产品的主要性能技术参数、适用范围等。</w:t>
            </w:r>
          </w:p>
          <w:p>
            <w:pPr>
              <w:spacing w:line="276" w:lineRule="auto"/>
              <w:ind w:firstLine="409" w:firstLineChars="195"/>
            </w:pPr>
            <w:r>
              <w:t>4.</w:t>
            </w:r>
            <w:r>
              <w:rPr>
                <w:rFonts w:hint="eastAsia"/>
              </w:rPr>
              <w:t>未尽事宜按国家现行有关规范、标准执行。</w:t>
            </w:r>
          </w:p>
          <w:p>
            <w:pPr>
              <w:spacing w:line="276" w:lineRule="auto"/>
              <w:ind w:firstLine="420"/>
            </w:pPr>
            <w:r>
              <w:t>5.</w:t>
            </w:r>
            <w:r>
              <w:rPr>
                <w:rFonts w:hint="eastAsia"/>
              </w:rPr>
              <w:t>采购人在中华人民共和国境内使用成交供应商提供的产品及服务时免受第三方提出的侵犯其专利权或其它知识产权的起诉。如果第三方提出侵权指控，成交人应承担由此而引起的一切法律责任和费用。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848" w:type="dxa"/>
            <w:vAlign w:val="center"/>
          </w:tcPr>
          <w:p>
            <w:pPr>
              <w:spacing w:line="276" w:lineRule="auto"/>
              <w:jc w:val="center"/>
              <w:rPr>
                <w:rFonts w:ascii="宋体" w:hAnsi="宋体"/>
                <w:b/>
              </w:rPr>
            </w:pPr>
            <w:r>
              <w:rPr>
                <w:rFonts w:hint="eastAsia" w:ascii="宋体" w:hAnsi="宋体"/>
                <w:b/>
              </w:rPr>
              <w:t>交付时间及地点</w:t>
            </w:r>
          </w:p>
        </w:tc>
        <w:tc>
          <w:tcPr>
            <w:tcW w:w="7938" w:type="dxa"/>
          </w:tcPr>
          <w:p>
            <w:pPr>
              <w:spacing w:line="276" w:lineRule="auto"/>
              <w:ind w:right="-57" w:rightChars="-27"/>
              <w:jc w:val="left"/>
              <w:rPr>
                <w:rFonts w:ascii="宋体" w:hAnsi="宋体"/>
              </w:rPr>
            </w:pPr>
            <w:r>
              <w:rPr>
                <w:rFonts w:hint="eastAsia" w:ascii="宋体" w:hAnsi="宋体"/>
              </w:rPr>
              <w:t>交付时间：</w:t>
            </w:r>
            <w:r>
              <w:rPr>
                <w:rFonts w:ascii="宋体" w:hAnsi="宋体" w:cstheme="minorHAnsi"/>
                <w:szCs w:val="21"/>
              </w:rPr>
              <w:t>自签订合同之日起30个工作日内，完成设备的安装部署、调试和集成工作</w:t>
            </w:r>
            <w:r>
              <w:rPr>
                <w:rFonts w:hint="eastAsia" w:ascii="宋体" w:hAnsi="宋体"/>
              </w:rPr>
              <w:t>。</w:t>
            </w:r>
          </w:p>
          <w:p>
            <w:pPr>
              <w:snapToGrid w:val="0"/>
              <w:spacing w:line="276" w:lineRule="auto"/>
              <w:ind w:right="-57" w:rightChars="-27"/>
              <w:jc w:val="left"/>
              <w:rPr>
                <w:rFonts w:ascii="宋体" w:hAnsi="宋体"/>
              </w:rPr>
            </w:pPr>
            <w:r>
              <w:rPr>
                <w:rFonts w:hint="eastAsia" w:ascii="宋体" w:hAnsi="宋体"/>
              </w:rPr>
              <w:t>实施地点：采购人指定地点。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848" w:type="dxa"/>
            <w:vAlign w:val="center"/>
          </w:tcPr>
          <w:p>
            <w:pPr>
              <w:snapToGrid w:val="0"/>
              <w:spacing w:line="276" w:lineRule="auto"/>
              <w:ind w:firstLine="422"/>
              <w:rPr>
                <w:rFonts w:ascii="宋体" w:hAnsi="宋体"/>
                <w:bCs/>
              </w:rPr>
            </w:pPr>
            <w:r>
              <w:rPr>
                <w:rFonts w:hint="eastAsia" w:ascii="宋体" w:hAnsi="宋体"/>
                <w:b/>
              </w:rPr>
              <w:t>服务期限</w:t>
            </w:r>
          </w:p>
        </w:tc>
        <w:tc>
          <w:tcPr>
            <w:tcW w:w="7938" w:type="dxa"/>
            <w:vAlign w:val="center"/>
          </w:tcPr>
          <w:p>
            <w:pPr>
              <w:spacing w:line="276" w:lineRule="auto"/>
              <w:ind w:right="-57" w:rightChars="-27"/>
              <w:jc w:val="left"/>
              <w:rPr>
                <w:rFonts w:ascii="宋体" w:hAnsi="宋体"/>
              </w:rPr>
            </w:pPr>
            <w:r>
              <w:rPr>
                <w:rFonts w:hint="eastAsia" w:hAnsi="宋体" w:cs="宋体"/>
              </w:rPr>
              <w:t>服务期限为</w:t>
            </w:r>
            <w:r>
              <w:rPr>
                <w:rFonts w:hint="eastAsia" w:hAnsi="宋体" w:cs="宋体"/>
                <w:u w:val="single"/>
              </w:rPr>
              <w:t xml:space="preserve"> </w:t>
            </w:r>
            <w:r>
              <w:rPr>
                <w:rFonts w:hint="eastAsia" w:ascii="宋体" w:hAnsi="宋体" w:cs="宋体"/>
                <w:u w:val="single"/>
                <w:lang w:val="en-US" w:eastAsia="zh-CN"/>
              </w:rPr>
              <w:t>叁</w:t>
            </w:r>
            <w:r>
              <w:rPr>
                <w:rFonts w:hint="eastAsia" w:ascii="宋体" w:hAnsi="宋体" w:cs="宋体"/>
                <w:u w:val="single"/>
              </w:rPr>
              <w:t>年</w:t>
            </w:r>
            <w:r>
              <w:rPr>
                <w:rFonts w:hint="eastAsia" w:hAnsi="宋体" w:cs="宋体"/>
                <w:u w:val="single"/>
              </w:rPr>
              <w:t xml:space="preserve"> </w:t>
            </w:r>
            <w:r>
              <w:rPr>
                <w:rFonts w:hint="eastAsia" w:hAnsi="宋体" w:cs="宋体"/>
              </w:rPr>
              <w:t>。若期间成交供应商未能按约定履行合同，采购人有权扣罚合同金额或终止合同，</w:t>
            </w:r>
            <w:r>
              <w:rPr>
                <w:rFonts w:hAnsi="宋体" w:cs="宋体"/>
              </w:rPr>
              <w:t>并</w:t>
            </w:r>
            <w:r>
              <w:rPr>
                <w:rFonts w:hint="eastAsia" w:hAnsi="宋体" w:cs="宋体"/>
              </w:rPr>
              <w:t>要求成交供应商</w:t>
            </w:r>
            <w:r>
              <w:rPr>
                <w:rFonts w:hAnsi="宋体" w:cs="宋体"/>
              </w:rPr>
              <w:t>赔偿损失</w:t>
            </w:r>
            <w:r>
              <w:rPr>
                <w:rFonts w:hint="eastAsia"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848" w:type="dxa"/>
            <w:vAlign w:val="center"/>
          </w:tcPr>
          <w:p>
            <w:pPr>
              <w:spacing w:line="276" w:lineRule="auto"/>
              <w:ind w:firstLine="422" w:firstLineChars="0"/>
              <w:rPr>
                <w:rFonts w:hint="eastAsia" w:ascii="宋体" w:hAnsi="宋体"/>
                <w:b/>
              </w:rPr>
            </w:pPr>
            <w:r>
              <w:rPr>
                <w:rFonts w:hint="eastAsia" w:ascii="宋体" w:hAnsi="宋体"/>
                <w:b/>
              </w:rPr>
              <w:t>付款条件</w:t>
            </w:r>
          </w:p>
        </w:tc>
        <w:tc>
          <w:tcPr>
            <w:tcW w:w="7938" w:type="dxa"/>
            <w:vAlign w:val="center"/>
          </w:tcPr>
          <w:p>
            <w:pPr>
              <w:spacing w:line="276" w:lineRule="auto"/>
              <w:ind w:left="-2" w:leftChars="-1" w:right="-57" w:rightChars="-27" w:firstLine="243" w:firstLineChars="116"/>
              <w:jc w:val="left"/>
              <w:rPr>
                <w:rFonts w:hint="eastAsia" w:hAnsi="宋体" w:cs="宋体"/>
              </w:rPr>
            </w:pPr>
            <w:r>
              <w:rPr>
                <w:rFonts w:hint="eastAsia" w:hAnsi="宋体" w:cs="宋体"/>
              </w:rPr>
              <w:t>采购人在收到成交供应商开具的真实、准确、正规全额发票，</w:t>
            </w:r>
            <w:r>
              <w:rPr>
                <w:rFonts w:hint="eastAsia" w:hAnsi="宋体" w:cs="宋体"/>
                <w:lang w:val="en-US" w:eastAsia="zh-CN"/>
              </w:rPr>
              <w:t>支付项目款</w:t>
            </w:r>
            <w:r>
              <w:rPr>
                <w:rFonts w:hint="eastAsia"/>
                <w:lang w:val="en-US" w:eastAsia="zh-CN"/>
              </w:rPr>
              <w:t>90%，剩余10%项目款于服务到期后无质量问题支付。</w:t>
            </w:r>
          </w:p>
        </w:tc>
      </w:tr>
    </w:tbl>
    <w:p>
      <w:pPr>
        <w:pStyle w:val="2"/>
        <w:numPr>
          <w:ilvl w:val="0"/>
          <w:numId w:val="0"/>
        </w:numPr>
        <w:ind w:leftChars="-337"/>
        <w:rPr>
          <w:rFonts w:hint="eastAsia" w:cs="宋体"/>
          <w:b/>
          <w:bCs/>
        </w:rPr>
      </w:pPr>
    </w:p>
    <w:p>
      <w:pPr>
        <w:pStyle w:val="2"/>
        <w:ind w:left="-708" w:leftChars="-337"/>
        <w:rPr>
          <w:rFonts w:hint="default" w:eastAsia="宋体" w:cs="宋体"/>
          <w:b w:val="0"/>
          <w:bCs w:val="0"/>
          <w:lang w:val="en-US" w:eastAsia="zh-CN"/>
        </w:rPr>
      </w:pPr>
      <w:r>
        <w:rPr>
          <w:rFonts w:hint="eastAsia" w:cs="宋体"/>
          <w:b/>
          <w:bCs/>
          <w:lang w:val="en-US" w:eastAsia="zh-CN"/>
        </w:rPr>
        <w:t>1、投标人资格要求</w:t>
      </w:r>
    </w:p>
    <w:p>
      <w:pPr>
        <w:pStyle w:val="2"/>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（1）符合《中华人民共和国政府采购法》第二十二条规定：</w:t>
      </w:r>
    </w:p>
    <w:p>
      <w:pPr>
        <w:pStyle w:val="2"/>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1）具备独立承担民事责任的能力；</w:t>
      </w:r>
    </w:p>
    <w:p>
      <w:pPr>
        <w:pStyle w:val="2"/>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2）具有良好的商业信誉和健全的财务会计制度；</w:t>
      </w:r>
    </w:p>
    <w:p>
      <w:pPr>
        <w:pStyle w:val="2"/>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3）具有履行合同所必需的设备和专业技术能力；</w:t>
      </w:r>
    </w:p>
    <w:p>
      <w:pPr>
        <w:pStyle w:val="2"/>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4）有依法缴纳税收和社会保障资金的良好记录；</w:t>
      </w:r>
    </w:p>
    <w:p>
      <w:pPr>
        <w:pStyle w:val="2"/>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5）参加政府采购活动前三年内，在经营活动中没有重大违法记录。</w:t>
      </w:r>
    </w:p>
    <w:p>
      <w:pPr>
        <w:pStyle w:val="2"/>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（2）国内注册（指按国家有关规定要求注册的）具备法人资格的供应商，生产或经营达到本次招标采购内容。</w:t>
      </w:r>
    </w:p>
    <w:p>
      <w:pPr>
        <w:pStyle w:val="2"/>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w:t>
      </w:r>
      <w:r>
        <w:rPr>
          <w:rFonts w:hint="eastAsia" w:ascii="Times New Roman" w:hAnsi="Times New Roman" w:eastAsia="宋体" w:cs="宋体"/>
          <w:lang w:val="en-US" w:eastAsia="zh-CN"/>
        </w:rPr>
        <w:t>3）</w:t>
      </w:r>
      <w:r>
        <w:rPr>
          <w:rFonts w:hint="eastAsia" w:ascii="Times New Roman" w:hAnsi="Times New Roman" w:eastAsia="宋体" w:cs="宋体"/>
          <w:lang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2"/>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w:t>
      </w:r>
      <w:r>
        <w:rPr>
          <w:rFonts w:hint="eastAsia" w:ascii="Times New Roman" w:hAnsi="Times New Roman" w:eastAsia="宋体" w:cs="宋体"/>
          <w:lang w:val="en-US" w:eastAsia="zh-CN"/>
        </w:rPr>
        <w:t>4</w:t>
      </w:r>
      <w:r>
        <w:rPr>
          <w:rFonts w:hint="eastAsia" w:ascii="Times New Roman" w:hAnsi="Times New Roman" w:eastAsia="宋体" w:cs="宋体"/>
          <w:lang w:eastAsia="zh-CN"/>
        </w:rPr>
        <w:t>）对在“信用中国”网站(www.creditchina.gov.cn)、中国政府采购网(www.ccgp.gov.cn)等渠道列入失信被执行人、重大税收违法案件当事人名单、政府采购严重违法失信行为记录名单的供应商，不得参与政府采购活动。</w:t>
      </w:r>
    </w:p>
    <w:p>
      <w:pPr>
        <w:pStyle w:val="2"/>
        <w:ind w:left="-708" w:leftChars="-337"/>
        <w:rPr>
          <w:rFonts w:hint="eastAsia" w:ascii="Times New Roman" w:hAnsi="Times New Roman" w:eastAsia="宋体" w:cs="宋体"/>
          <w:b/>
          <w:bCs/>
          <w:lang w:val="en-US" w:eastAsia="zh-CN"/>
        </w:rPr>
      </w:pPr>
      <w:r>
        <w:rPr>
          <w:rFonts w:hint="eastAsia" w:ascii="Times New Roman" w:hAnsi="Times New Roman" w:eastAsia="宋体" w:cs="宋体"/>
          <w:b/>
          <w:bCs/>
          <w:lang w:val="en-US" w:eastAsia="zh-CN"/>
        </w:rPr>
        <w:t>2、售后服务和资质</w:t>
      </w:r>
    </w:p>
    <w:p>
      <w:pPr>
        <w:pStyle w:val="2"/>
        <w:ind w:left="-708" w:leftChars="-33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（1）技术支持：提供7×24小时的技术支持服务。</w:t>
      </w:r>
    </w:p>
    <w:p>
      <w:pPr>
        <w:pStyle w:val="2"/>
        <w:ind w:left="-708" w:leftChars="-33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（2）巡检服务：提供每季度一次例行巡检服务，检测系统运行情况并提供巡检报告。</w:t>
      </w:r>
    </w:p>
    <w:p>
      <w:pPr>
        <w:pStyle w:val="2"/>
        <w:ind w:left="-708" w:leftChars="-33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每季度提供一次升级服务</w:t>
      </w:r>
      <w:r>
        <w:rPr>
          <w:rFonts w:hint="eastAsia" w:ascii="宋体" w:hAnsi="宋体" w:eastAsia="宋体" w:cs="宋体"/>
          <w:color w:val="auto"/>
          <w:sz w:val="24"/>
          <w:szCs w:val="24"/>
          <w:highlight w:val="none"/>
          <w:lang w:eastAsia="zh-CN"/>
        </w:rPr>
        <w:t>；</w:t>
      </w:r>
    </w:p>
    <w:p>
      <w:pPr>
        <w:pStyle w:val="2"/>
        <w:ind w:left="-708" w:leftChars="-33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）提供7×24小时的故障受理，30分钟内故障处理响应服务。</w:t>
      </w:r>
    </w:p>
    <w:p>
      <w:pPr>
        <w:pStyle w:val="2"/>
        <w:ind w:left="-708" w:leftChars="-33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）故障服务的现场响应时间小于4小时,即4小时内有能够处理故障的技术人员到达现场，并立即投入对故障的处理。</w:t>
      </w:r>
    </w:p>
    <w:p>
      <w:pPr>
        <w:pStyle w:val="2"/>
        <w:ind w:left="-708" w:leftChars="-33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）故障分析服务。供应商在完成排障，系统恢复正常运行后，应于3日内向</w:t>
      </w:r>
      <w:r>
        <w:rPr>
          <w:rFonts w:hint="eastAsia" w:ascii="宋体" w:hAnsi="宋体" w:cs="宋体"/>
          <w:color w:val="auto"/>
          <w:sz w:val="24"/>
          <w:szCs w:val="24"/>
          <w:highlight w:val="none"/>
          <w:lang w:eastAsia="zh-CN"/>
        </w:rPr>
        <w:t>贺州市八步区人民医院广西壮族自治区桂东人民医院八步分院</w:t>
      </w:r>
      <w:r>
        <w:rPr>
          <w:rFonts w:hint="eastAsia" w:ascii="宋体" w:hAnsi="宋体" w:eastAsia="宋体" w:cs="宋体"/>
          <w:color w:val="auto"/>
          <w:sz w:val="24"/>
          <w:szCs w:val="24"/>
          <w:highlight w:val="none"/>
          <w:lang w:eastAsia="zh-CN"/>
        </w:rPr>
        <w:t>提交书面报告。报告内容包括故障现象、原因，处理方法、配置变更内容、处理结果、可能存在的隐患以及今后避免问题的具体措施等。</w:t>
      </w:r>
    </w:p>
    <w:p>
      <w:pPr>
        <w:pStyle w:val="2"/>
        <w:ind w:left="-708" w:leftChars="-33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eastAsia="zh-CN"/>
        </w:rPr>
        <w:t>期限内，供应商对保修范围内的全部系统进行的维护和保修，不得收取任何费用。</w:t>
      </w:r>
    </w:p>
    <w:p>
      <w:pPr>
        <w:pStyle w:val="2"/>
        <w:ind w:left="-708" w:leftChars="-33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）供应商在未得到采购方许可的情况下，不得从事以下行为：在非故障处理和恢复的情况，改动</w:t>
      </w:r>
      <w:r>
        <w:rPr>
          <w:rFonts w:hint="eastAsia" w:ascii="宋体" w:hAnsi="宋体" w:eastAsia="宋体" w:cs="宋体"/>
          <w:color w:val="auto"/>
          <w:sz w:val="24"/>
          <w:szCs w:val="24"/>
          <w:highlight w:val="none"/>
          <w:lang w:val="en-US" w:eastAsia="zh-CN"/>
        </w:rPr>
        <w:t>系统</w:t>
      </w:r>
      <w:r>
        <w:rPr>
          <w:rFonts w:hint="eastAsia" w:ascii="宋体" w:hAnsi="宋体" w:eastAsia="宋体" w:cs="宋体"/>
          <w:color w:val="auto"/>
          <w:sz w:val="24"/>
          <w:szCs w:val="24"/>
          <w:highlight w:val="none"/>
          <w:lang w:eastAsia="zh-CN"/>
        </w:rPr>
        <w:t>连接和配置；随意通过系统账户进入系统；改动系统软件配置和口令；修改和删除系统内的文件；实施系统、软件升级；任何业务系统数据访问操作。</w:t>
      </w:r>
    </w:p>
    <w:p>
      <w:pPr>
        <w:pStyle w:val="2"/>
        <w:ind w:left="-708" w:leftChars="-33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）保密要求。供应商必须与招标方签属保密协议，承担保密义务。供应商应采取有效预防措施，防止公司员工在合同执行期间将掌握的任何有关招标方的机密或专有信息透露给任何未经授权人。</w:t>
      </w:r>
    </w:p>
    <w:p>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p>
    <w:p>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lang w:val="en-US" w:eastAsia="zh-CN"/>
            </w:rPr>
            <w:t>7个</w:t>
          </w:r>
        </w:sdtContent>
      </w:sdt>
      <w:r>
        <w:rPr>
          <w:rFonts w:hint="eastAsia" w:cs="宋体"/>
          <w:kern w:val="0"/>
          <w:sz w:val="24"/>
          <w:szCs w:val="24"/>
          <w:lang w:val="en-US" w:eastAsia="zh-CN"/>
        </w:rPr>
        <w:t>工作日</w:t>
      </w:r>
      <w:r>
        <w:rPr>
          <w:rFonts w:hint="eastAsia" w:cs="宋体"/>
          <w:kern w:val="0"/>
          <w:sz w:val="24"/>
          <w:szCs w:val="24"/>
        </w:rPr>
        <w:t>内签订采购合同。</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b/>
          <w:bCs/>
          <w:kern w:val="0"/>
          <w:sz w:val="28"/>
          <w:szCs w:val="28"/>
          <w:lang w:val="en-US" w:eastAsia="zh-CN"/>
        </w:rPr>
        <w:t>三</w:t>
      </w:r>
      <w:r>
        <w:rPr>
          <w:rFonts w:hint="eastAsia" w:cs="宋体"/>
          <w:b/>
          <w:bCs/>
          <w:kern w:val="0"/>
          <w:sz w:val="28"/>
          <w:szCs w:val="28"/>
        </w:rPr>
        <w:t>、其他</w:t>
      </w:r>
    </w:p>
    <w:p>
      <w:pPr>
        <w:pStyle w:val="2"/>
        <w:ind w:left="-708" w:leftChars="-337"/>
        <w:rPr>
          <w:rFonts w:hint="eastAsia" w:ascii="Times New Roman" w:hAnsi="Times New Roman" w:eastAsia="宋体" w:cs="宋体"/>
          <w:lang w:eastAsia="zh-CN"/>
        </w:rPr>
      </w:pPr>
      <w:r>
        <w:rPr>
          <w:rFonts w:hint="eastAsia" w:ascii="Times New Roman" w:hAnsi="Times New Roman" w:eastAsia="宋体" w:cs="宋体"/>
          <w:lang w:val="en-US" w:eastAsia="zh-CN"/>
        </w:rPr>
        <w:t>1.</w:t>
      </w:r>
      <w:r>
        <w:rPr>
          <w:rFonts w:hint="eastAsia" w:ascii="Times New Roman" w:hAnsi="Times New Roman" w:eastAsia="宋体" w:cs="宋体"/>
          <w:lang w:eastAsia="zh-CN"/>
        </w:rPr>
        <w:t>培训和咨询服务。供应商在维护期内，至少组织一次不少于</w:t>
      </w:r>
      <w:r>
        <w:rPr>
          <w:rFonts w:hint="eastAsia" w:cs="宋体"/>
          <w:lang w:val="en-US" w:eastAsia="zh-CN"/>
        </w:rPr>
        <w:t>半</w:t>
      </w:r>
      <w:r>
        <w:rPr>
          <w:rFonts w:hint="eastAsia" w:ascii="Times New Roman" w:hAnsi="Times New Roman" w:eastAsia="宋体" w:cs="宋体"/>
          <w:lang w:eastAsia="zh-CN"/>
        </w:rPr>
        <w:t>天的系统使用维护技能培训，并提供相关培训教材。</w:t>
      </w:r>
    </w:p>
    <w:p>
      <w:pPr>
        <w:pStyle w:val="2"/>
        <w:ind w:left="-708" w:leftChars="-337"/>
        <w:rPr>
          <w:rFonts w:hint="eastAsia" w:ascii="Times New Roman" w:hAnsi="Times New Roman" w:eastAsia="宋体" w:cs="宋体"/>
          <w:lang w:eastAsia="zh-CN"/>
        </w:rPr>
      </w:pPr>
      <w:r>
        <w:rPr>
          <w:rFonts w:hint="eastAsia" w:ascii="Times New Roman" w:hAnsi="Times New Roman" w:eastAsia="宋体" w:cs="宋体"/>
          <w:lang w:val="en-US" w:eastAsia="zh-CN"/>
        </w:rPr>
        <w:t>2.</w:t>
      </w:r>
      <w:r>
        <w:rPr>
          <w:rFonts w:hint="eastAsia" w:ascii="Times New Roman" w:hAnsi="Times New Roman" w:eastAsia="宋体" w:cs="宋体"/>
          <w:lang w:eastAsia="zh-CN"/>
        </w:rPr>
        <w:t>扩容和升级服务支持。供应商需要派出专业系统和软件工程师，配合广西壮族自治区桂东人民医院完成对保修范围内</w:t>
      </w:r>
      <w:r>
        <w:rPr>
          <w:rFonts w:hint="eastAsia" w:cs="宋体"/>
          <w:lang w:val="en-US" w:eastAsia="zh-CN"/>
        </w:rPr>
        <w:t>系统</w:t>
      </w:r>
      <w:r>
        <w:rPr>
          <w:rFonts w:hint="eastAsia" w:ascii="Times New Roman" w:hAnsi="Times New Roman" w:eastAsia="宋体" w:cs="宋体"/>
          <w:lang w:eastAsia="zh-CN"/>
        </w:rPr>
        <w:t>扩容、升级以及非保修和维护范围的业务应用软件的维护、升级等技术支持工作。</w:t>
      </w:r>
    </w:p>
    <w:p>
      <w:pPr>
        <w:pStyle w:val="2"/>
        <w:ind w:left="-708" w:leftChars="-337"/>
        <w:rPr>
          <w:rFonts w:hint="eastAsia" w:ascii="Times New Roman" w:hAnsi="Times New Roman" w:eastAsia="宋体" w:cs="宋体"/>
          <w:lang w:eastAsia="zh-CN"/>
        </w:rPr>
      </w:pPr>
      <w:r>
        <w:rPr>
          <w:rFonts w:hint="eastAsia" w:ascii="Times New Roman" w:hAnsi="Times New Roman" w:eastAsia="宋体" w:cs="宋体"/>
          <w:lang w:val="en-US" w:eastAsia="zh-CN"/>
        </w:rPr>
        <w:t>3.</w:t>
      </w:r>
      <w:r>
        <w:rPr>
          <w:rFonts w:hint="eastAsia" w:ascii="Times New Roman" w:hAnsi="Times New Roman" w:eastAsia="宋体" w:cs="宋体"/>
          <w:lang w:eastAsia="zh-CN"/>
        </w:rPr>
        <w:t>故障排除技术支持。对在保内</w:t>
      </w:r>
      <w:r>
        <w:rPr>
          <w:rFonts w:hint="eastAsia" w:cs="宋体"/>
          <w:lang w:val="en-US" w:eastAsia="zh-CN"/>
        </w:rPr>
        <w:t>计算机终端</w:t>
      </w:r>
      <w:r>
        <w:rPr>
          <w:rFonts w:hint="eastAsia" w:ascii="Times New Roman" w:hAnsi="Times New Roman" w:eastAsia="宋体" w:cs="宋体"/>
          <w:lang w:eastAsia="zh-CN"/>
        </w:rPr>
        <w:t>、</w:t>
      </w:r>
      <w:r>
        <w:rPr>
          <w:rFonts w:hint="eastAsia" w:cs="宋体"/>
          <w:lang w:val="en-US" w:eastAsia="zh-CN"/>
        </w:rPr>
        <w:t>服务器等因运行终端安全系统导致</w:t>
      </w:r>
      <w:r>
        <w:rPr>
          <w:rFonts w:hint="eastAsia" w:ascii="Times New Roman" w:hAnsi="Times New Roman" w:eastAsia="宋体" w:cs="宋体"/>
          <w:lang w:eastAsia="zh-CN"/>
        </w:rPr>
        <w:t>出现</w:t>
      </w:r>
      <w:r>
        <w:rPr>
          <w:rFonts w:hint="eastAsia" w:cs="宋体"/>
          <w:lang w:val="en-US" w:eastAsia="zh-CN"/>
        </w:rPr>
        <w:t>通信、业务不可用</w:t>
      </w:r>
      <w:r>
        <w:rPr>
          <w:rFonts w:hint="eastAsia" w:ascii="Times New Roman" w:hAnsi="Times New Roman" w:eastAsia="宋体" w:cs="宋体"/>
          <w:lang w:eastAsia="zh-CN"/>
        </w:rPr>
        <w:t>的问题</w:t>
      </w:r>
      <w:r>
        <w:rPr>
          <w:rFonts w:hint="eastAsia" w:cs="宋体"/>
          <w:lang w:val="en-US" w:eastAsia="zh-CN"/>
        </w:rPr>
        <w:t>时</w:t>
      </w:r>
      <w:r>
        <w:rPr>
          <w:rFonts w:hint="eastAsia" w:ascii="Times New Roman" w:hAnsi="Times New Roman" w:eastAsia="宋体" w:cs="宋体"/>
          <w:lang w:eastAsia="zh-CN"/>
        </w:rPr>
        <w:t>，供应商应积极配合分析和查找故障产生原因，并提出排除故障的建议和措施，不得推辞。</w:t>
      </w:r>
    </w:p>
    <w:p>
      <w:pPr>
        <w:widowControl/>
        <w:spacing w:line="360" w:lineRule="auto"/>
        <w:ind w:left="-708" w:leftChars="-338" w:hanging="2"/>
        <w:jc w:val="left"/>
        <w:rPr>
          <w:rFonts w:cs="宋体"/>
          <w:b/>
          <w:bCs/>
          <w:kern w:val="0"/>
          <w:sz w:val="28"/>
          <w:szCs w:val="28"/>
        </w:rPr>
      </w:pPr>
      <w:r>
        <w:rPr>
          <w:rFonts w:hint="eastAsia" w:cs="宋体"/>
          <w:b/>
          <w:bCs/>
          <w:kern w:val="0"/>
          <w:sz w:val="28"/>
          <w:szCs w:val="28"/>
          <w:lang w:val="en-US" w:eastAsia="zh-CN"/>
        </w:rPr>
        <w:t>四</w:t>
      </w:r>
      <w:r>
        <w:rPr>
          <w:rFonts w:hint="eastAsia" w:cs="宋体"/>
          <w:b/>
          <w:bCs/>
          <w:kern w:val="0"/>
          <w:sz w:val="28"/>
          <w:szCs w:val="28"/>
        </w:rPr>
        <w:t>、特别说明</w:t>
      </w:r>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spacing w:line="360" w:lineRule="auto"/>
        <w:ind w:firstLine="422" w:firstLineChars="200"/>
        <w:jc w:val="left"/>
        <w:rPr>
          <w:kern w:val="0"/>
          <w:sz w:val="24"/>
          <w:szCs w:val="24"/>
        </w:rPr>
      </w:pPr>
      <w:r>
        <w:rPr>
          <w:b/>
          <w:bCs/>
          <w:kern w:val="0"/>
        </w:rPr>
        <w:br w:type="page"/>
      </w:r>
    </w:p>
    <w:p>
      <w:pPr>
        <w:widowControl/>
        <w:jc w:val="center"/>
        <w:rPr>
          <w:b/>
          <w:bCs/>
          <w:kern w:val="0"/>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 xml:space="preserve">评委会将对确定为实质性响应招标文件要求的投标文件进行评价和比较，评标方法采用 </w:t>
      </w:r>
      <w:r>
        <w:rPr>
          <w:rFonts w:hint="eastAsia" w:cs="宋体"/>
          <w:b/>
          <w:bCs/>
          <w:kern w:val="0"/>
          <w:sz w:val="24"/>
          <w:szCs w:val="24"/>
          <w:u w:val="single"/>
          <w:lang w:val="en-US" w:eastAsia="zh-CN"/>
        </w:rPr>
        <w:t>最低价</w:t>
      </w:r>
      <w:r>
        <w:rPr>
          <w:rFonts w:hint="eastAsia" w:cs="宋体"/>
          <w:kern w:val="0"/>
          <w:sz w:val="24"/>
          <w:szCs w:val="24"/>
        </w:rPr>
        <w:t>确定中标候选人。</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二、评分标准</w:t>
      </w:r>
    </w:p>
    <w:p>
      <w:pPr>
        <w:pStyle w:val="2"/>
        <w:ind w:firstLine="480" w:firstLineChars="200"/>
        <w:rPr>
          <w:rFonts w:hint="eastAsia"/>
          <w:lang w:val="en-US" w:eastAsia="zh-CN"/>
        </w:rPr>
      </w:pPr>
      <w:r>
        <w:rPr>
          <w:rFonts w:hint="eastAsia"/>
          <w:lang w:val="en-US" w:eastAsia="zh-CN"/>
        </w:rPr>
        <w:t>无</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sectPr>
      <w:pgSz w:w="11906" w:h="16838"/>
      <w:pgMar w:top="1440" w:right="1800"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wNjE4Nzk1YzllM2JjNzZhYTQ1NzdkNzA4YjFmYzU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E14108"/>
    <w:rsid w:val="00E72BBE"/>
    <w:rsid w:val="00EB1C9B"/>
    <w:rsid w:val="00ED5546"/>
    <w:rsid w:val="06746AB3"/>
    <w:rsid w:val="0A072975"/>
    <w:rsid w:val="0C8B0CD1"/>
    <w:rsid w:val="0C8B6EFD"/>
    <w:rsid w:val="0CB14D94"/>
    <w:rsid w:val="0CC05EEA"/>
    <w:rsid w:val="10C97A40"/>
    <w:rsid w:val="11CA1BEB"/>
    <w:rsid w:val="122B15C9"/>
    <w:rsid w:val="12CF692A"/>
    <w:rsid w:val="1787702A"/>
    <w:rsid w:val="179F6CB9"/>
    <w:rsid w:val="197E5C0A"/>
    <w:rsid w:val="1AB14119"/>
    <w:rsid w:val="1AF4732D"/>
    <w:rsid w:val="1DAA6CA2"/>
    <w:rsid w:val="1F0C2535"/>
    <w:rsid w:val="1FF5205A"/>
    <w:rsid w:val="20407BC3"/>
    <w:rsid w:val="2218153E"/>
    <w:rsid w:val="238241FC"/>
    <w:rsid w:val="239959B8"/>
    <w:rsid w:val="24B1410B"/>
    <w:rsid w:val="24EC650D"/>
    <w:rsid w:val="25D6720D"/>
    <w:rsid w:val="260D7B7B"/>
    <w:rsid w:val="26431704"/>
    <w:rsid w:val="266C365A"/>
    <w:rsid w:val="2A251F29"/>
    <w:rsid w:val="2C7D5EC4"/>
    <w:rsid w:val="2E44559E"/>
    <w:rsid w:val="2F183876"/>
    <w:rsid w:val="2F864140"/>
    <w:rsid w:val="3194337D"/>
    <w:rsid w:val="31C012FB"/>
    <w:rsid w:val="34C447B5"/>
    <w:rsid w:val="36F866E1"/>
    <w:rsid w:val="3737378F"/>
    <w:rsid w:val="3806606D"/>
    <w:rsid w:val="397701BE"/>
    <w:rsid w:val="3A46288C"/>
    <w:rsid w:val="3C794178"/>
    <w:rsid w:val="3F8769CB"/>
    <w:rsid w:val="405728EC"/>
    <w:rsid w:val="41366ED0"/>
    <w:rsid w:val="41BF166E"/>
    <w:rsid w:val="42CC1407"/>
    <w:rsid w:val="45A83EF3"/>
    <w:rsid w:val="484C09DB"/>
    <w:rsid w:val="49E4274B"/>
    <w:rsid w:val="4A504A9B"/>
    <w:rsid w:val="4EAF0F12"/>
    <w:rsid w:val="51F37303"/>
    <w:rsid w:val="52730525"/>
    <w:rsid w:val="565D1B35"/>
    <w:rsid w:val="5C8450CB"/>
    <w:rsid w:val="5C9C3F1C"/>
    <w:rsid w:val="5CFB672C"/>
    <w:rsid w:val="5E5E45E7"/>
    <w:rsid w:val="609415B5"/>
    <w:rsid w:val="615D53B0"/>
    <w:rsid w:val="62565A43"/>
    <w:rsid w:val="632D110E"/>
    <w:rsid w:val="63955374"/>
    <w:rsid w:val="64FB6417"/>
    <w:rsid w:val="650D23B7"/>
    <w:rsid w:val="677F6F32"/>
    <w:rsid w:val="67E4014C"/>
    <w:rsid w:val="6A513DD5"/>
    <w:rsid w:val="6A843074"/>
    <w:rsid w:val="6BCA696E"/>
    <w:rsid w:val="6D313433"/>
    <w:rsid w:val="6DD0797D"/>
    <w:rsid w:val="6F717E7F"/>
    <w:rsid w:val="71754026"/>
    <w:rsid w:val="71764D5A"/>
    <w:rsid w:val="72FD52CD"/>
    <w:rsid w:val="74B5471E"/>
    <w:rsid w:val="77E41C8F"/>
    <w:rsid w:val="77E80D46"/>
    <w:rsid w:val="77F76AF8"/>
    <w:rsid w:val="7C5A1D85"/>
    <w:rsid w:val="7CA91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5"/>
    <w:qFormat/>
    <w:uiPriority w:val="99"/>
    <w:pPr>
      <w:jc w:val="left"/>
    </w:pPr>
  </w:style>
  <w:style w:type="paragraph" w:styleId="4">
    <w:name w:val="Body Text"/>
    <w:basedOn w:val="1"/>
    <w:next w:val="1"/>
    <w:qFormat/>
    <w:uiPriority w:val="0"/>
    <w:rPr>
      <w:rFonts w:ascii="Calibri" w:eastAsia="Calibri"/>
      <w:b/>
      <w:spacing w:val="-8"/>
      <w:sz w:val="44"/>
    </w:rPr>
  </w:style>
  <w:style w:type="paragraph" w:styleId="5">
    <w:name w:val="Plain Text"/>
    <w:basedOn w:val="1"/>
    <w:link w:val="17"/>
    <w:qFormat/>
    <w:uiPriority w:val="99"/>
    <w:rPr>
      <w:rFonts w:ascii="宋体" w:hAnsi="Courier New"/>
    </w:rPr>
  </w:style>
  <w:style w:type="paragraph" w:styleId="6">
    <w:name w:val="Date"/>
    <w:basedOn w:val="1"/>
    <w:next w:val="1"/>
    <w:qFormat/>
    <w:uiPriority w:val="0"/>
    <w:pPr>
      <w:ind w:left="100" w:leftChars="2500"/>
    </w:pPr>
    <w:rPr>
      <w:rFonts w:ascii="宋体" w:hAnsi="Courier New"/>
      <w:bCs/>
      <w:kern w:val="0"/>
      <w:sz w:val="24"/>
      <w:szCs w:val="20"/>
    </w:r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16"/>
    <w:semiHidden/>
    <w:unhideWhenUsed/>
    <w:qFormat/>
    <w:uiPriority w:val="99"/>
    <w:rPr>
      <w:b/>
      <w:bCs/>
    </w:rPr>
  </w:style>
  <w:style w:type="table" w:styleId="11">
    <w:name w:val="Table Grid"/>
    <w:basedOn w:val="10"/>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semiHidden/>
    <w:qFormat/>
    <w:uiPriority w:val="99"/>
    <w:rPr>
      <w:sz w:val="21"/>
      <w:szCs w:val="21"/>
    </w:rPr>
  </w:style>
  <w:style w:type="character" w:customStyle="1" w:styleId="14">
    <w:name w:val="批注文字 字符"/>
    <w:basedOn w:val="12"/>
    <w:qFormat/>
    <w:uiPriority w:val="99"/>
    <w:rPr>
      <w:rFonts w:ascii="Times New Roman" w:hAnsi="Times New Roman" w:eastAsia="宋体" w:cs="Times New Roman"/>
      <w:szCs w:val="21"/>
    </w:rPr>
  </w:style>
  <w:style w:type="character" w:customStyle="1" w:styleId="15">
    <w:name w:val="批注文字 字符1"/>
    <w:link w:val="3"/>
    <w:semiHidden/>
    <w:qFormat/>
    <w:uiPriority w:val="99"/>
    <w:rPr>
      <w:rFonts w:ascii="Times New Roman" w:hAnsi="Times New Roman" w:eastAsia="宋体" w:cs="Times New Roman"/>
      <w:szCs w:val="21"/>
    </w:rPr>
  </w:style>
  <w:style w:type="character" w:customStyle="1" w:styleId="16">
    <w:name w:val="批注主题 字符"/>
    <w:basedOn w:val="15"/>
    <w:link w:val="9"/>
    <w:semiHidden/>
    <w:qFormat/>
    <w:uiPriority w:val="99"/>
    <w:rPr>
      <w:rFonts w:ascii="Times New Roman" w:hAnsi="Times New Roman" w:eastAsia="宋体" w:cs="Times New Roman"/>
      <w:b/>
      <w:bCs/>
      <w:szCs w:val="21"/>
    </w:rPr>
  </w:style>
  <w:style w:type="character" w:customStyle="1" w:styleId="17">
    <w:name w:val="纯文本 字符"/>
    <w:basedOn w:val="12"/>
    <w:link w:val="5"/>
    <w:qFormat/>
    <w:uiPriority w:val="99"/>
    <w:rPr>
      <w:rFonts w:ascii="宋体" w:hAnsi="Courier New" w:eastAsia="宋体" w:cs="Times New Roman"/>
      <w:szCs w:val="21"/>
    </w:rPr>
  </w:style>
  <w:style w:type="paragraph" w:customStyle="1" w:styleId="18">
    <w:name w:val="表格文字"/>
    <w:basedOn w:val="1"/>
    <w:qFormat/>
    <w:uiPriority w:val="0"/>
    <w:pPr>
      <w:spacing w:before="25" w:after="25"/>
      <w:jc w:val="left"/>
    </w:pPr>
    <w:rPr>
      <w:rFonts w:ascii="Calibri" w:hAnsi="Calibri"/>
      <w:bCs/>
      <w:spacing w:val="10"/>
      <w:kern w:val="0"/>
      <w:sz w:val="24"/>
      <w:szCs w:val="20"/>
    </w:rPr>
  </w:style>
  <w:style w:type="character" w:customStyle="1" w:styleId="19">
    <w:name w:val="fontstyle01"/>
    <w:qFormat/>
    <w:uiPriority w:val="0"/>
    <w:rPr>
      <w:rFonts w:hint="eastAsia" w:ascii="宋体" w:hAnsi="宋体" w:eastAsia="宋体"/>
      <w:color w:val="000000"/>
      <w:sz w:val="24"/>
      <w:szCs w:val="24"/>
    </w:rPr>
  </w:style>
  <w:style w:type="character" w:customStyle="1" w:styleId="20">
    <w:name w:val="页眉 字符"/>
    <w:basedOn w:val="12"/>
    <w:link w:val="8"/>
    <w:qFormat/>
    <w:uiPriority w:val="99"/>
    <w:rPr>
      <w:rFonts w:ascii="Times New Roman" w:hAnsi="Times New Roman" w:eastAsia="宋体" w:cs="Times New Roman"/>
      <w:sz w:val="18"/>
      <w:szCs w:val="18"/>
    </w:rPr>
  </w:style>
  <w:style w:type="character" w:customStyle="1" w:styleId="21">
    <w:name w:val="页脚 字符"/>
    <w:basedOn w:val="12"/>
    <w:link w:val="7"/>
    <w:qFormat/>
    <w:uiPriority w:val="99"/>
    <w:rPr>
      <w:rFonts w:ascii="Times New Roman" w:hAnsi="Times New Roman" w:eastAsia="宋体" w:cs="Times New Roman"/>
      <w:sz w:val="18"/>
      <w:szCs w:val="18"/>
    </w:rPr>
  </w:style>
  <w:style w:type="character" w:styleId="22">
    <w:name w:val="Placeholder Text"/>
    <w:basedOn w:val="12"/>
    <w:semiHidden/>
    <w:qFormat/>
    <w:uiPriority w:val="99"/>
    <w:rPr>
      <w:color w:val="808080"/>
    </w:rPr>
  </w:style>
  <w:style w:type="paragraph" w:customStyle="1" w:styleId="23">
    <w:name w:val="样式1"/>
    <w:basedOn w:val="1"/>
    <w:qFormat/>
    <w:uiPriority w:val="0"/>
  </w:style>
  <w:style w:type="paragraph" w:styleId="2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4FFA341BA8343FD9C88DFD9A2E7E14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4</Pages>
  <Words>838</Words>
  <Characters>884</Characters>
  <Lines>26</Lines>
  <Paragraphs>7</Paragraphs>
  <TotalTime>1</TotalTime>
  <ScaleCrop>false</ScaleCrop>
  <LinksUpToDate>false</LinksUpToDate>
  <CharactersWithSpaces>917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lenovo</cp:lastModifiedBy>
  <cp:lastPrinted>2021-01-18T07:59:00Z</cp:lastPrinted>
  <dcterms:modified xsi:type="dcterms:W3CDTF">2024-07-17T03:43:35Z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BC6B623858AD4EF6B8932C9852D63447</vt:lpwstr>
  </property>
</Properties>
</file>